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B7A4A"/>
          <w:sz w:val="56"/>
          <w:szCs w:val="56"/>
        </w:rPr>
        <w:t xml:space="preserve">CALOLEAN</w:t>
      </w:r>
    </w:p>
    <w:p>
      <w:pPr>
        <w:spacing w:after="240"/>
      </w:pPr>
      <w:r>
        <w:rPr>
          <w:color w:val="1A1A1A"/>
          <w:sz w:val="34"/>
          <w:szCs w:val="34"/>
        </w:rPr>
        <w:t xml:space="preserve">Post-Launch Roadmap</w:t>
      </w:r>
    </w:p>
    <w:p>
      <w:pPr>
        <w:pBdr>
          <w:bottom w:val="single" w:color="1B7A4A" w:sz="12"/>
        </w:pBdr>
        <w:spacing w:after="100"/>
      </w:pPr>
      <w:r>
        <w:rPr>
          <w:sz w:val="2"/>
          <w:szCs w:val="2"/>
        </w:rPr>
        <w:t xml:space="preserve"/>
      </w:r>
    </w:p>
    <w:p>
      <w:pPr>
        <w:spacing w:after="400" w:line="276"/>
      </w:pPr>
      <w:r>
        <w:rPr>
          <w:color w:val="5F6B66"/>
          <w:sz w:val="22"/>
          <w:szCs w:val="22"/>
        </w:rPr>
        <w:t xml:space="preserve">Marketing website · Ads &amp; monetization · Android app with Health Connect · Play Store launch</w:t>
      </w:r>
    </w:p>
    <w:p>
      <w:pPr>
        <w:spacing w:after="60" w:line="276"/>
      </w:pPr>
      <w:r>
        <w:rPr>
          <w:color w:val="5F6B66"/>
          <w:sz w:val="20"/>
          <w:szCs w:val="20"/>
        </w:rPr>
        <w:t xml:space="preserve">Prepared 4 September 2026</w:t>
      </w:r>
    </w:p>
    <w:p>
      <w:pPr>
        <w:spacing w:after="600" w:line="276"/>
      </w:pPr>
      <w:r>
        <w:rPr>
          <w:color w:val="5F6B66"/>
          <w:sz w:val="20"/>
          <w:szCs w:val="20"/>
        </w:rPr>
        <w:t xml:space="preserve">Status: calolean.com is live on Firebase Hosting → Cloud Run (asia-south1)</w:t>
      </w:r>
    </w:p>
    <w:tbl>
      <w:tblPr>
        <w:tblW w:type="dxa" w:w="9360"/>
        <w:tblBorders>
          <w:top w:val="single" w:color="8A5A00" w:sz="2"/>
          <w:left w:val="single" w:color="8A5A00" w:sz="18"/>
          <w:bottom w:val="single" w:color="8A5A00" w:sz="2"/>
          <w:right w:val="single" w:color="8A5A00" w:sz="2"/>
          <w:insideH w:val="none" w:color="auto" w:sz="0"/>
          <w:insideV w:val="none" w:color="auto" w:sz="0"/>
        </w:tblBorders>
      </w:tblPr>
      <w:tblGrid>
        <w:gridCol w:w="9360"/>
      </w:tblGrid>
      <w:tr>
        <w:tc>
          <w:tcPr>
            <w:tcW w:type="dxa" w:w="9360"/>
            <w:shd w:fill="FDF6E8" w:val="clear"/>
            <w:tcMar>
              <w:top w:type="dxa" w:w="140"/>
              <w:left w:type="dxa" w:w="180"/>
              <w:bottom w:type="dxa" w:w="140"/>
              <w:right w:type="dxa" w:w="180"/>
            </w:tcMar>
          </w:tcPr>
          <w:p>
            <w:pPr>
              <w:spacing w:after="60"/>
            </w:pPr>
            <w:r>
              <w:rPr>
                <w:b/>
                <w:bCs/>
                <w:color w:val="8A5A00"/>
                <w:sz w:val="21"/>
                <w:szCs w:val="21"/>
              </w:rPr>
              <w:t xml:space="preserve">Read Section 2 first</w:t>
            </w:r>
          </w:p>
          <w:p>
            <w:pPr>
              <w:spacing w:after="40" w:line="276"/>
            </w:pPr>
            <w:r>
              <w:rPr>
                <w:color w:val="1A1A1A"/>
                <w:sz w:val="20"/>
                <w:szCs w:val="20"/>
              </w:rPr>
              <w:t xml:space="preserve">Three findings from your codebase and from current Google policy change the order of this plan. One of them (the Google Fit shutdown) makes a feature you already budgeted for impossible to build the way it was planned, and another (the Play Store testing rule) can add three weeks to your launch if you pick the wrong account type.</w:t>
            </w:r>
          </w:p>
        </w:tc>
      </w:tr>
    </w:tbl>
    <w:p>
      <w:r>
        <w:br w:type="page"/>
      </w:r>
    </w:p>
    <w:p>
      <w:pPr>
        <w:pStyle w:val="Heading1"/>
        <w:spacing w:after="160" w:before="360"/>
      </w:pPr>
      <w:r>
        <w:rPr>
          <w:b/>
          <w:bCs/>
          <w:color w:val="1B7A4A"/>
          <w:sz w:val="30"/>
          <w:szCs w:val="30"/>
        </w:rPr>
        <w:t xml:space="preserve">1. Where You Stand Today</w:t>
      </w:r>
    </w:p>
    <w:p>
      <w:pPr>
        <w:spacing w:after="120" w:line="276"/>
      </w:pPr>
      <w:r>
        <w:rPr>
          <w:color w:val="1A1A1A"/>
          <w:sz w:val="21"/>
          <w:szCs w:val="21"/>
        </w:rPr>
        <w:t xml:space="preserve">An honest inventory, taken from the actual codebase rather than from plans — so the roadmap builds on what exists, not on what was intended.</w:t>
      </w:r>
    </w:p>
    <w:p>
      <w:pPr>
        <w:pStyle w:val="Heading2"/>
        <w:spacing w:after="120" w:before="260"/>
      </w:pPr>
      <w:r>
        <w:rPr>
          <w:b/>
          <w:bCs/>
          <w:color w:val="1A1A1A"/>
          <w:sz w:val="24"/>
          <w:szCs w:val="24"/>
        </w:rPr>
        <w:t xml:space="preserve">Live in production</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2100"/>
        <w:gridCol w:w="7260"/>
      </w:tblGrid>
      <w:tr>
        <w:trPr>
          <w:tblHeader/>
        </w:trPr>
        <w:tc>
          <w:tcPr>
            <w:tcW w:type="dxa" w:w="2100"/>
            <w:shd w:fill="EEF4F0" w:val="clear"/>
            <w:tcMar>
              <w:top w:type="dxa" w:w="90"/>
              <w:left w:type="dxa" w:w="130"/>
              <w:bottom w:type="dxa" w:w="90"/>
              <w:right w:type="dxa" w:w="130"/>
            </w:tcMar>
          </w:tcPr>
          <w:p>
            <w:pPr>
              <w:spacing w:after="0" w:line="264"/>
            </w:pPr>
            <w:r>
              <w:rPr>
                <w:b/>
                <w:bCs/>
                <w:color w:val="1B7A4A"/>
                <w:sz w:val="19"/>
                <w:szCs w:val="19"/>
              </w:rPr>
              <w:t xml:space="preserve">Layer</w:t>
            </w:r>
          </w:p>
        </w:tc>
        <w:tc>
          <w:tcPr>
            <w:tcW w:type="dxa" w:w="7260"/>
            <w:shd w:fill="EEF4F0" w:val="clear"/>
            <w:tcMar>
              <w:top w:type="dxa" w:w="90"/>
              <w:left w:type="dxa" w:w="130"/>
              <w:bottom w:type="dxa" w:w="90"/>
              <w:right w:type="dxa" w:w="130"/>
            </w:tcMar>
          </w:tcPr>
          <w:p>
            <w:pPr>
              <w:spacing w:after="0" w:line="264"/>
            </w:pPr>
            <w:r>
              <w:rPr>
                <w:b/>
                <w:bCs/>
                <w:color w:val="1B7A4A"/>
                <w:sz w:val="19"/>
                <w:szCs w:val="19"/>
              </w:rPr>
              <w:t xml:space="preserve">What is running</w:t>
            </w:r>
          </w:p>
        </w:tc>
      </w:tr>
      <w:tr>
        <w:tc>
          <w:tcPr>
            <w:tcW w:type="dxa" w:w="2100"/>
            <w:tcMar>
              <w:top w:type="dxa" w:w="90"/>
              <w:left w:type="dxa" w:w="130"/>
              <w:bottom w:type="dxa" w:w="90"/>
              <w:right w:type="dxa" w:w="130"/>
            </w:tcMar>
          </w:tcPr>
          <w:p>
            <w:pPr>
              <w:spacing w:after="0" w:line="264"/>
            </w:pPr>
            <w:r>
              <w:rPr>
                <w:color w:val="1A1A1A"/>
                <w:sz w:val="19"/>
                <w:szCs w:val="19"/>
              </w:rPr>
              <w:t xml:space="preserve">Domain &amp; TLS</w:t>
            </w:r>
          </w:p>
        </w:tc>
        <w:tc>
          <w:tcPr>
            <w:tcW w:type="dxa" w:w="7260"/>
            <w:tcMar>
              <w:top w:type="dxa" w:w="90"/>
              <w:left w:type="dxa" w:w="130"/>
              <w:bottom w:type="dxa" w:w="90"/>
              <w:right w:type="dxa" w:w="130"/>
            </w:tcMar>
          </w:tcPr>
          <w:p>
            <w:pPr>
              <w:spacing w:after="0" w:line="264"/>
            </w:pPr>
            <w:r>
              <w:rPr>
                <w:color w:val="1A1A1A"/>
                <w:sz w:val="19"/>
                <w:szCs w:val="19"/>
              </w:rPr>
              <w:t xml:space="preserve">calolean.com + www, Firebase Hosting, Google-managed SSL, www → apex redirect</w:t>
            </w:r>
          </w:p>
        </w:tc>
      </w:tr>
      <w:tr>
        <w:tc>
          <w:tcPr>
            <w:tcW w:type="dxa" w:w="2100"/>
            <w:tcMar>
              <w:top w:type="dxa" w:w="90"/>
              <w:left w:type="dxa" w:w="130"/>
              <w:bottom w:type="dxa" w:w="90"/>
              <w:right w:type="dxa" w:w="130"/>
            </w:tcMar>
          </w:tcPr>
          <w:p>
            <w:pPr>
              <w:spacing w:after="0" w:line="264"/>
            </w:pPr>
            <w:r>
              <w:rPr>
                <w:color w:val="1A1A1A"/>
                <w:sz w:val="19"/>
                <w:szCs w:val="19"/>
              </w:rPr>
              <w:t xml:space="preserve">Hosting</w:t>
            </w:r>
          </w:p>
        </w:tc>
        <w:tc>
          <w:tcPr>
            <w:tcW w:type="dxa" w:w="7260"/>
            <w:tcMar>
              <w:top w:type="dxa" w:w="90"/>
              <w:left w:type="dxa" w:w="130"/>
              <w:bottom w:type="dxa" w:w="90"/>
              <w:right w:type="dxa" w:w="130"/>
            </w:tcMar>
          </w:tcPr>
          <w:p>
            <w:pPr>
              <w:spacing w:after="0" w:line="264"/>
            </w:pPr>
            <w:r>
              <w:rPr>
                <w:color w:val="1A1A1A"/>
                <w:sz w:val="19"/>
                <w:szCs w:val="19"/>
              </w:rPr>
              <w:t xml:space="preserve">Firebase Hosting catch-all rewrite → Cloud Run service 'calolean' (asia-south1)</w:t>
            </w:r>
          </w:p>
        </w:tc>
      </w:tr>
      <w:tr>
        <w:tc>
          <w:tcPr>
            <w:tcW w:type="dxa" w:w="2100"/>
            <w:tcMar>
              <w:top w:type="dxa" w:w="90"/>
              <w:left w:type="dxa" w:w="130"/>
              <w:bottom w:type="dxa" w:w="90"/>
              <w:right w:type="dxa" w:w="130"/>
            </w:tcMar>
          </w:tcPr>
          <w:p>
            <w:pPr>
              <w:spacing w:after="0" w:line="264"/>
            </w:pPr>
            <w:r>
              <w:rPr>
                <w:color w:val="1A1A1A"/>
                <w:sz w:val="19"/>
                <w:szCs w:val="19"/>
              </w:rPr>
              <w:t xml:space="preserve">App</w:t>
            </w:r>
          </w:p>
        </w:tc>
        <w:tc>
          <w:tcPr>
            <w:tcW w:type="dxa" w:w="7260"/>
            <w:tcMar>
              <w:top w:type="dxa" w:w="90"/>
              <w:left w:type="dxa" w:w="130"/>
              <w:bottom w:type="dxa" w:w="90"/>
              <w:right w:type="dxa" w:w="130"/>
            </w:tcMar>
          </w:tcPr>
          <w:p>
            <w:pPr>
              <w:spacing w:after="0" w:line="264"/>
            </w:pPr>
            <w:r>
              <w:rPr>
                <w:color w:val="1A1A1A"/>
                <w:sz w:val="19"/>
                <w:szCs w:val="19"/>
              </w:rPr>
              <w:t xml:space="preserve">Next.js 'standalone' build, scale-to-zero Cloud Run, 1 GiB memory</w:t>
            </w:r>
          </w:p>
        </w:tc>
      </w:tr>
      <w:tr>
        <w:tc>
          <w:tcPr>
            <w:tcW w:type="dxa" w:w="2100"/>
            <w:tcMar>
              <w:top w:type="dxa" w:w="90"/>
              <w:left w:type="dxa" w:w="130"/>
              <w:bottom w:type="dxa" w:w="90"/>
              <w:right w:type="dxa" w:w="130"/>
            </w:tcMar>
          </w:tcPr>
          <w:p>
            <w:pPr>
              <w:spacing w:after="0" w:line="264"/>
            </w:pPr>
            <w:r>
              <w:rPr>
                <w:color w:val="1A1A1A"/>
                <w:sz w:val="19"/>
                <w:szCs w:val="19"/>
              </w:rPr>
              <w:t xml:space="preserve">Auth</w:t>
            </w:r>
          </w:p>
        </w:tc>
        <w:tc>
          <w:tcPr>
            <w:tcW w:type="dxa" w:w="7260"/>
            <w:tcMar>
              <w:top w:type="dxa" w:w="90"/>
              <w:left w:type="dxa" w:w="130"/>
              <w:bottom w:type="dxa" w:w="90"/>
              <w:right w:type="dxa" w:w="130"/>
            </w:tcMar>
          </w:tcPr>
          <w:p>
            <w:pPr>
              <w:spacing w:after="0" w:line="264"/>
            </w:pPr>
            <w:r>
              <w:rPr>
                <w:color w:val="1A1A1A"/>
                <w:sz w:val="19"/>
                <w:szCs w:val="19"/>
              </w:rPr>
              <w:t xml:space="preserve">Firebase Auth — Google popup, email/password, email-link sign-in</w:t>
            </w:r>
          </w:p>
        </w:tc>
      </w:tr>
      <w:tr>
        <w:tc>
          <w:tcPr>
            <w:tcW w:type="dxa" w:w="2100"/>
            <w:tcMar>
              <w:top w:type="dxa" w:w="90"/>
              <w:left w:type="dxa" w:w="130"/>
              <w:bottom w:type="dxa" w:w="90"/>
              <w:right w:type="dxa" w:w="130"/>
            </w:tcMar>
          </w:tcPr>
          <w:p>
            <w:pPr>
              <w:spacing w:after="0" w:line="264"/>
            </w:pPr>
            <w:r>
              <w:rPr>
                <w:color w:val="1A1A1A"/>
                <w:sz w:val="19"/>
                <w:szCs w:val="19"/>
              </w:rPr>
              <w:t xml:space="preserve">Data</w:t>
            </w:r>
          </w:p>
        </w:tc>
        <w:tc>
          <w:tcPr>
            <w:tcW w:type="dxa" w:w="7260"/>
            <w:tcMar>
              <w:top w:type="dxa" w:w="90"/>
              <w:left w:type="dxa" w:w="130"/>
              <w:bottom w:type="dxa" w:w="90"/>
              <w:right w:type="dxa" w:w="130"/>
            </w:tcMar>
          </w:tcPr>
          <w:p>
            <w:pPr>
              <w:spacing w:after="0" w:line="264"/>
            </w:pPr>
            <w:r>
              <w:rPr>
                <w:color w:val="1A1A1A"/>
                <w:sz w:val="19"/>
                <w:szCs w:val="19"/>
              </w:rPr>
              <w:t xml:space="preserve">Firestore (user data, logs, chats) + Cloud SQL Postgres 16 'calolean-db' (foods, exercises, cache)</w:t>
            </w:r>
          </w:p>
        </w:tc>
      </w:tr>
      <w:tr>
        <w:tc>
          <w:tcPr>
            <w:tcW w:type="dxa" w:w="2100"/>
            <w:tcMar>
              <w:top w:type="dxa" w:w="90"/>
              <w:left w:type="dxa" w:w="130"/>
              <w:bottom w:type="dxa" w:w="90"/>
              <w:right w:type="dxa" w:w="130"/>
            </w:tcMar>
          </w:tcPr>
          <w:p>
            <w:pPr>
              <w:spacing w:after="0" w:line="264"/>
            </w:pPr>
            <w:r>
              <w:rPr>
                <w:color w:val="1A1A1A"/>
                <w:sz w:val="19"/>
                <w:szCs w:val="19"/>
              </w:rPr>
              <w:t xml:space="preserve">AI</w:t>
            </w:r>
          </w:p>
        </w:tc>
        <w:tc>
          <w:tcPr>
            <w:tcW w:type="dxa" w:w="7260"/>
            <w:tcMar>
              <w:top w:type="dxa" w:w="90"/>
              <w:left w:type="dxa" w:w="130"/>
              <w:bottom w:type="dxa" w:w="90"/>
              <w:right w:type="dxa" w:w="130"/>
            </w:tcMar>
          </w:tcPr>
          <w:p>
            <w:pPr>
              <w:spacing w:after="0" w:line="264"/>
            </w:pPr>
            <w:r>
              <w:rPr>
                <w:color w:val="1A1A1A"/>
                <w:sz w:val="19"/>
                <w:szCs w:val="19"/>
              </w:rPr>
              <w:t xml:space="preserve">Vertex AI Gemini — chat, food scan, workout parse, form analysis, plan builder</w:t>
            </w:r>
          </w:p>
        </w:tc>
      </w:tr>
    </w:tbl>
    <w:p>
      <w:pPr>
        <w:pStyle w:val="Heading2"/>
        <w:spacing w:after="120" w:before="260"/>
      </w:pPr>
      <w:r>
        <w:rPr>
          <w:b/>
          <w:bCs/>
          <w:color w:val="1A1A1A"/>
          <w:sz w:val="24"/>
          <w:szCs w:val="24"/>
        </w:rPr>
        <w:t xml:space="preserve">Built but not yet switched on</w:t>
      </w:r>
    </w:p>
    <w:p>
      <w:pPr>
        <w:pStyle w:val="ListParagraph"/>
        <w:numPr>
          <w:ilvl w:val="0"/>
          <w:numId w:val="2"/>
        </w:numPr>
        <w:spacing w:after="80" w:line="276"/>
      </w:pPr>
      <w:r>
        <w:rPr>
          <w:b/>
          <w:bCs/>
          <w:color w:val="1A1A1A"/>
          <w:sz w:val="21"/>
          <w:szCs w:val="21"/>
        </w:rPr>
        <w:t xml:space="preserve">Ad rendering — </w:t>
      </w:r>
      <w:r>
        <w:rPr>
          <w:color w:val="1A1A1A"/>
          <w:sz w:val="21"/>
          <w:szCs w:val="21"/>
        </w:rPr>
        <w:t xml:space="preserve">components/ads/AdCard.tsx renders a native 'Sponsored' card with a house-promo fallback that reserves the exact slot size, so nothing reflows when real ads appear. It only needs the two AdSense environment variables.</w:t>
      </w:r>
    </w:p>
    <w:p>
      <w:pPr>
        <w:pStyle w:val="ListParagraph"/>
        <w:numPr>
          <w:ilvl w:val="0"/>
          <w:numId w:val="2"/>
        </w:numPr>
        <w:spacing w:after="80" w:line="276"/>
      </w:pPr>
      <w:r>
        <w:rPr>
          <w:b/>
          <w:bCs/>
          <w:color w:val="1A1A1A"/>
          <w:sz w:val="21"/>
          <w:szCs w:val="21"/>
        </w:rPr>
        <w:t xml:space="preserve">Consent (CMP) — </w:t>
      </w:r>
      <w:r>
        <w:rPr>
          <w:color w:val="1A1A1A"/>
          <w:sz w:val="21"/>
          <w:szCs w:val="21"/>
        </w:rPr>
        <w:t xml:space="preserve">components/ads/ConsentManager.tsx already loads Google Funding Choices for EEA/UK plus the AdSense script, gated on the publisher ID being set.</w:t>
      </w:r>
    </w:p>
    <w:p>
      <w:pPr>
        <w:pStyle w:val="ListParagraph"/>
        <w:numPr>
          <w:ilvl w:val="0"/>
          <w:numId w:val="2"/>
        </w:numPr>
        <w:spacing w:after="80" w:line="276"/>
      </w:pPr>
      <w:r>
        <w:rPr>
          <w:b/>
          <w:bCs/>
          <w:color w:val="1A1A1A"/>
          <w:sz w:val="21"/>
          <w:szCs w:val="21"/>
        </w:rPr>
        <w:t xml:space="preserve">Tier system — </w:t>
      </w:r>
      <w:r>
        <w:rPr>
          <w:color w:val="1A1A1A"/>
          <w:sz w:val="21"/>
          <w:szCs w:val="21"/>
        </w:rPr>
        <w:t xml:space="preserve">lib/entitlements.ts defines free (ads on, usage divisor 1) and premium (ads off, divisor 5). The entitlement is read on every API call. There is no payment path to actually grant 'premium'.</w:t>
      </w:r>
    </w:p>
    <w:p>
      <w:pPr>
        <w:pStyle w:val="ListParagraph"/>
        <w:numPr>
          <w:ilvl w:val="0"/>
          <w:numId w:val="2"/>
        </w:numPr>
        <w:spacing w:after="80" w:line="276"/>
      </w:pPr>
      <w:r>
        <w:rPr>
          <w:b/>
          <w:bCs/>
          <w:color w:val="1A1A1A"/>
          <w:sz w:val="21"/>
          <w:szCs w:val="21"/>
        </w:rPr>
        <w:t xml:space="preserve">Affiliate slots — </w:t>
      </w:r>
      <w:r>
        <w:rPr>
          <w:color w:val="1A1A1A"/>
          <w:sz w:val="21"/>
          <w:szCs w:val="21"/>
        </w:rPr>
        <w:t xml:space="preserve">lib/config/affiliate-links.ts plus NEXT_PUBLIC_AMAZON_AFFILIATE_TAG plumbing.</w:t>
      </w:r>
    </w:p>
    <w:p>
      <w:pPr>
        <w:pStyle w:val="ListParagraph"/>
        <w:numPr>
          <w:ilvl w:val="0"/>
          <w:numId w:val="2"/>
        </w:numPr>
        <w:spacing w:after="80" w:line="276"/>
      </w:pPr>
      <w:r>
        <w:rPr>
          <w:b/>
          <w:bCs/>
          <w:color w:val="1A1A1A"/>
          <w:sz w:val="21"/>
          <w:szCs w:val="21"/>
        </w:rPr>
        <w:t xml:space="preserve">SEO scaffolding — </w:t>
      </w:r>
      <w:r>
        <w:rPr>
          <w:color w:val="1A1A1A"/>
          <w:sz w:val="21"/>
          <w:szCs w:val="21"/>
        </w:rPr>
        <w:t xml:space="preserve">app/robots.ts and app/sitemap.ts exist (both need correcting — see Section 2).</w:t>
      </w:r>
    </w:p>
    <w:p>
      <w:pPr>
        <w:pStyle w:val="Heading2"/>
        <w:spacing w:after="120" w:before="260"/>
      </w:pPr>
      <w:r>
        <w:rPr>
          <w:b/>
          <w:bCs/>
          <w:color w:val="1A1A1A"/>
          <w:sz w:val="24"/>
          <w:szCs w:val="24"/>
        </w:rPr>
        <w:t xml:space="preserve">Not built at all</w:t>
      </w:r>
    </w:p>
    <w:p>
      <w:pPr>
        <w:pStyle w:val="ListParagraph"/>
        <w:numPr>
          <w:ilvl w:val="0"/>
          <w:numId w:val="2"/>
        </w:numPr>
        <w:spacing w:after="80" w:line="276"/>
      </w:pPr>
      <w:r>
        <w:rPr>
          <w:color w:val="1A1A1A"/>
          <w:sz w:val="21"/>
          <w:szCs w:val="21"/>
        </w:rPr>
        <w:t xml:space="preserve">A public marketing website — there is no landing page; calolean.com/ is the signed-in chat app itself.</w:t>
      </w:r>
    </w:p>
    <w:p>
      <w:pPr>
        <w:pStyle w:val="ListParagraph"/>
        <w:numPr>
          <w:ilvl w:val="0"/>
          <w:numId w:val="2"/>
        </w:numPr>
        <w:spacing w:after="80" w:line="276"/>
      </w:pPr>
      <w:r>
        <w:rPr>
          <w:color w:val="1A1A1A"/>
          <w:sz w:val="21"/>
          <w:szCs w:val="21"/>
        </w:rPr>
        <w:t xml:space="preserve">Any payment or subscription flow — no Razorpay, Stripe, or Play Billing code exists.</w:t>
      </w:r>
    </w:p>
    <w:p>
      <w:pPr>
        <w:pStyle w:val="ListParagraph"/>
        <w:numPr>
          <w:ilvl w:val="0"/>
          <w:numId w:val="2"/>
        </w:numPr>
        <w:spacing w:after="80" w:line="276"/>
      </w:pPr>
      <w:r>
        <w:rPr>
          <w:color w:val="1A1A1A"/>
          <w:sz w:val="21"/>
          <w:szCs w:val="21"/>
        </w:rPr>
        <w:t xml:space="preserve">Google Health / Fit integration — only environment-variable names and planning notes exist. There is no /api/health/callback route and no OAuth code.</w:t>
      </w:r>
    </w:p>
    <w:p>
      <w:pPr>
        <w:pStyle w:val="ListParagraph"/>
        <w:numPr>
          <w:ilvl w:val="0"/>
          <w:numId w:val="2"/>
        </w:numPr>
        <w:spacing w:after="80" w:line="276"/>
      </w:pPr>
      <w:r>
        <w:rPr>
          <w:color w:val="1A1A1A"/>
          <w:sz w:val="21"/>
          <w:szCs w:val="21"/>
        </w:rPr>
        <w:t xml:space="preserve">Any Android application — no android/, no Capacitor, no React Native.</w:t>
      </w:r>
    </w:p>
    <w:p>
      <w:pPr>
        <w:pStyle w:val="Heading2"/>
        <w:spacing w:after="120" w:before="260"/>
      </w:pPr>
      <w:r>
        <w:rPr>
          <w:b/>
          <w:bCs/>
          <w:color w:val="1A1A1A"/>
          <w:sz w:val="24"/>
          <w:szCs w:val="24"/>
        </w:rPr>
        <w:t xml:space="preserve">Cost position</w:t>
      </w:r>
    </w:p>
    <w:p>
      <w:pPr>
        <w:spacing w:after="120" w:line="276"/>
      </w:pPr>
      <w:r>
        <w:rPr>
          <w:color w:val="1A1A1A"/>
          <w:sz w:val="21"/>
          <w:szCs w:val="21"/>
        </w:rPr>
        <w:t xml:space="preserve">August was ₹1,547. The Secret Manager version leak and the Gemini thinking-token overhead are fixed, which removes roughly ₹160/month. The remainder is dominated by Cloud SQL and is now effectively fixed:</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3900"/>
        <w:gridCol w:w="1500"/>
        <w:gridCol w:w="3960"/>
      </w:tblGrid>
      <w:tr>
        <w:trPr>
          <w:tblHeader/>
        </w:trPr>
        <w:tc>
          <w:tcPr>
            <w:tcW w:type="dxa" w:w="3900"/>
            <w:shd w:fill="EEF4F0" w:val="clear"/>
            <w:tcMar>
              <w:top w:type="dxa" w:w="90"/>
              <w:left w:type="dxa" w:w="130"/>
              <w:bottom w:type="dxa" w:w="90"/>
              <w:right w:type="dxa" w:w="130"/>
            </w:tcMar>
          </w:tcPr>
          <w:p>
            <w:pPr>
              <w:spacing w:after="0" w:line="264"/>
            </w:pPr>
            <w:r>
              <w:rPr>
                <w:b/>
                <w:bCs/>
                <w:color w:val="1B7A4A"/>
                <w:sz w:val="19"/>
                <w:szCs w:val="19"/>
              </w:rPr>
              <w:t xml:space="preserve">Item</w:t>
            </w:r>
          </w:p>
        </w:tc>
        <w:tc>
          <w:tcPr>
            <w:tcW w:type="dxa" w:w="1500"/>
            <w:shd w:fill="EEF4F0" w:val="clear"/>
            <w:tcMar>
              <w:top w:type="dxa" w:w="90"/>
              <w:left w:type="dxa" w:w="130"/>
              <w:bottom w:type="dxa" w:w="90"/>
              <w:right w:type="dxa" w:w="130"/>
            </w:tcMar>
          </w:tcPr>
          <w:p>
            <w:pPr>
              <w:spacing w:after="0" w:line="264"/>
            </w:pPr>
            <w:r>
              <w:rPr>
                <w:b/>
                <w:bCs/>
                <w:color w:val="1B7A4A"/>
                <w:sz w:val="19"/>
                <w:szCs w:val="19"/>
              </w:rPr>
              <w:t xml:space="preserve">Monthly</w:t>
            </w:r>
          </w:p>
        </w:tc>
        <w:tc>
          <w:tcPr>
            <w:tcW w:type="dxa" w:w="3960"/>
            <w:shd w:fill="EEF4F0" w:val="clear"/>
            <w:tcMar>
              <w:top w:type="dxa" w:w="90"/>
              <w:left w:type="dxa" w:w="130"/>
              <w:bottom w:type="dxa" w:w="90"/>
              <w:right w:type="dxa" w:w="130"/>
            </w:tcMar>
          </w:tcPr>
          <w:p>
            <w:pPr>
              <w:spacing w:after="0" w:line="264"/>
            </w:pPr>
            <w:r>
              <w:rPr>
                <w:b/>
                <w:bCs/>
                <w:color w:val="1B7A4A"/>
                <w:sz w:val="19"/>
                <w:szCs w:val="19"/>
              </w:rPr>
              <w:t xml:space="preserve">Can it be reduced?</w:t>
            </w:r>
          </w:p>
        </w:tc>
      </w:tr>
      <w:tr>
        <w:tc>
          <w:tcPr>
            <w:tcW w:type="dxa" w:w="3900"/>
            <w:tcMar>
              <w:top w:type="dxa" w:w="90"/>
              <w:left w:type="dxa" w:w="130"/>
              <w:bottom w:type="dxa" w:w="90"/>
              <w:right w:type="dxa" w:w="130"/>
            </w:tcMar>
          </w:tcPr>
          <w:p>
            <w:pPr>
              <w:spacing w:after="0" w:line="264"/>
            </w:pPr>
            <w:r>
              <w:rPr>
                <w:color w:val="1A1A1A"/>
                <w:sz w:val="19"/>
                <w:szCs w:val="19"/>
              </w:rPr>
              <w:t xml:space="preserve">Cloud SQL instance (db-f1-micro)</w:t>
            </w:r>
          </w:p>
        </w:tc>
        <w:tc>
          <w:tcPr>
            <w:tcW w:type="dxa" w:w="1500"/>
            <w:tcMar>
              <w:top w:type="dxa" w:w="90"/>
              <w:left w:type="dxa" w:w="130"/>
              <w:bottom w:type="dxa" w:w="90"/>
              <w:right w:type="dxa" w:w="130"/>
            </w:tcMar>
          </w:tcPr>
          <w:p>
            <w:pPr>
              <w:spacing w:after="0" w:line="264"/>
            </w:pPr>
            <w:r>
              <w:rPr>
                <w:color w:val="1A1A1A"/>
                <w:sz w:val="19"/>
                <w:szCs w:val="19"/>
              </w:rPr>
              <w:t xml:space="preserve">≈ ₹882</w:t>
            </w:r>
          </w:p>
        </w:tc>
        <w:tc>
          <w:tcPr>
            <w:tcW w:type="dxa" w:w="3960"/>
            <w:tcMar>
              <w:top w:type="dxa" w:w="90"/>
              <w:left w:type="dxa" w:w="130"/>
              <w:bottom w:type="dxa" w:w="90"/>
              <w:right w:type="dxa" w:w="130"/>
            </w:tcMar>
          </w:tcPr>
          <w:p>
            <w:pPr>
              <w:spacing w:after="0" w:line="264"/>
            </w:pPr>
            <w:r>
              <w:rPr>
                <w:color w:val="1A1A1A"/>
                <w:sz w:val="19"/>
                <w:szCs w:val="19"/>
              </w:rPr>
              <w:t xml:space="preserve">No — already the cheapest tier Google offers</w:t>
            </w:r>
          </w:p>
        </w:tc>
      </w:tr>
      <w:tr>
        <w:tc>
          <w:tcPr>
            <w:tcW w:type="dxa" w:w="3900"/>
            <w:tcMar>
              <w:top w:type="dxa" w:w="90"/>
              <w:left w:type="dxa" w:w="130"/>
              <w:bottom w:type="dxa" w:w="90"/>
              <w:right w:type="dxa" w:w="130"/>
            </w:tcMar>
          </w:tcPr>
          <w:p>
            <w:pPr>
              <w:spacing w:after="0" w:line="264"/>
            </w:pPr>
            <w:r>
              <w:rPr>
                <w:color w:val="1A1A1A"/>
                <w:sz w:val="19"/>
                <w:szCs w:val="19"/>
              </w:rPr>
              <w:t xml:space="preserve">Cloud SQL storage (25 GB SSD)</w:t>
            </w:r>
          </w:p>
        </w:tc>
        <w:tc>
          <w:tcPr>
            <w:tcW w:type="dxa" w:w="1500"/>
            <w:tcMar>
              <w:top w:type="dxa" w:w="90"/>
              <w:left w:type="dxa" w:w="130"/>
              <w:bottom w:type="dxa" w:w="90"/>
              <w:right w:type="dxa" w:w="130"/>
            </w:tcMar>
          </w:tcPr>
          <w:p>
            <w:pPr>
              <w:spacing w:after="0" w:line="264"/>
            </w:pPr>
            <w:r>
              <w:rPr>
                <w:color w:val="1A1A1A"/>
                <w:sz w:val="19"/>
                <w:szCs w:val="19"/>
              </w:rPr>
              <w:t xml:space="preserve">≈ ₹482</w:t>
            </w:r>
          </w:p>
        </w:tc>
        <w:tc>
          <w:tcPr>
            <w:tcW w:type="dxa" w:w="3960"/>
            <w:tcMar>
              <w:top w:type="dxa" w:w="90"/>
              <w:left w:type="dxa" w:w="130"/>
              <w:bottom w:type="dxa" w:w="90"/>
              <w:right w:type="dxa" w:w="130"/>
            </w:tcMar>
          </w:tcPr>
          <w:p>
            <w:pPr>
              <w:spacing w:after="0" w:line="264"/>
            </w:pPr>
            <w:r>
              <w:rPr>
                <w:color w:val="1A1A1A"/>
                <w:sz w:val="19"/>
                <w:szCs w:val="19"/>
              </w:rPr>
              <w:t xml:space="preserve">No — Cloud SQL storage can never be decreased</w:t>
            </w:r>
          </w:p>
        </w:tc>
      </w:tr>
      <w:tr>
        <w:tc>
          <w:tcPr>
            <w:tcW w:type="dxa" w:w="3900"/>
            <w:tcMar>
              <w:top w:type="dxa" w:w="90"/>
              <w:left w:type="dxa" w:w="130"/>
              <w:bottom w:type="dxa" w:w="90"/>
              <w:right w:type="dxa" w:w="130"/>
            </w:tcMar>
          </w:tcPr>
          <w:p>
            <w:pPr>
              <w:spacing w:after="0" w:line="264"/>
            </w:pPr>
            <w:r>
              <w:rPr>
                <w:color w:val="1A1A1A"/>
                <w:sz w:val="19"/>
                <w:szCs w:val="19"/>
              </w:rPr>
              <w:t xml:space="preserve">Vertex AI (Gemini)</w:t>
            </w:r>
          </w:p>
        </w:tc>
        <w:tc>
          <w:tcPr>
            <w:tcW w:type="dxa" w:w="1500"/>
            <w:tcMar>
              <w:top w:type="dxa" w:w="90"/>
              <w:left w:type="dxa" w:w="130"/>
              <w:bottom w:type="dxa" w:w="90"/>
              <w:right w:type="dxa" w:w="130"/>
            </w:tcMar>
          </w:tcPr>
          <w:p>
            <w:pPr>
              <w:spacing w:after="0" w:line="264"/>
            </w:pPr>
            <w:r>
              <w:rPr>
                <w:color w:val="1A1A1A"/>
                <w:sz w:val="19"/>
                <w:szCs w:val="19"/>
              </w:rPr>
              <w:t xml:space="preserve">≈ ₹11</w:t>
            </w:r>
          </w:p>
        </w:tc>
        <w:tc>
          <w:tcPr>
            <w:tcW w:type="dxa" w:w="3960"/>
            <w:tcMar>
              <w:top w:type="dxa" w:w="90"/>
              <w:left w:type="dxa" w:w="130"/>
              <w:bottom w:type="dxa" w:w="90"/>
              <w:right w:type="dxa" w:w="130"/>
            </w:tcMar>
          </w:tcPr>
          <w:p>
            <w:pPr>
              <w:spacing w:after="0" w:line="264"/>
            </w:pPr>
            <w:r>
              <w:rPr>
                <w:color w:val="1A1A1A"/>
                <w:sz w:val="19"/>
                <w:szCs w:val="19"/>
              </w:rPr>
              <w:t xml:space="preserve">Already optimised; scales with real usage</w:t>
            </w:r>
          </w:p>
        </w:tc>
      </w:tr>
      <w:tr>
        <w:tc>
          <w:tcPr>
            <w:tcW w:type="dxa" w:w="3900"/>
            <w:tcMar>
              <w:top w:type="dxa" w:w="90"/>
              <w:left w:type="dxa" w:w="130"/>
              <w:bottom w:type="dxa" w:w="90"/>
              <w:right w:type="dxa" w:w="130"/>
            </w:tcMar>
          </w:tcPr>
          <w:p>
            <w:pPr>
              <w:spacing w:after="0" w:line="264"/>
            </w:pPr>
            <w:r>
              <w:rPr>
                <w:color w:val="1A1A1A"/>
                <w:sz w:val="19"/>
                <w:szCs w:val="19"/>
              </w:rPr>
              <w:t xml:space="preserve">Secret Manager</w:t>
            </w:r>
          </w:p>
        </w:tc>
        <w:tc>
          <w:tcPr>
            <w:tcW w:type="dxa" w:w="1500"/>
            <w:tcMar>
              <w:top w:type="dxa" w:w="90"/>
              <w:left w:type="dxa" w:w="130"/>
              <w:bottom w:type="dxa" w:w="90"/>
              <w:right w:type="dxa" w:w="130"/>
            </w:tcMar>
          </w:tcPr>
          <w:p>
            <w:pPr>
              <w:spacing w:after="0" w:line="264"/>
            </w:pPr>
            <w:r>
              <w:rPr>
                <w:color w:val="1A1A1A"/>
                <w:sz w:val="19"/>
                <w:szCs w:val="19"/>
              </w:rPr>
              <w:t xml:space="preserve">≈ ₹5</w:t>
            </w:r>
          </w:p>
        </w:tc>
        <w:tc>
          <w:tcPr>
            <w:tcW w:type="dxa" w:w="3960"/>
            <w:tcMar>
              <w:top w:type="dxa" w:w="90"/>
              <w:left w:type="dxa" w:w="130"/>
              <w:bottom w:type="dxa" w:w="90"/>
              <w:right w:type="dxa" w:w="130"/>
            </w:tcMar>
          </w:tcPr>
          <w:p>
            <w:pPr>
              <w:spacing w:after="0" w:line="264"/>
            </w:pPr>
            <w:r>
              <w:rPr>
                <w:color w:val="1A1A1A"/>
                <w:sz w:val="19"/>
                <w:szCs w:val="19"/>
              </w:rPr>
              <w:t xml:space="preserve">Fixed (was ₹157)</w:t>
            </w:r>
          </w:p>
        </w:tc>
      </w:tr>
      <w:tr>
        <w:tc>
          <w:tcPr>
            <w:tcW w:type="dxa" w:w="3900"/>
            <w:tcMar>
              <w:top w:type="dxa" w:w="90"/>
              <w:left w:type="dxa" w:w="130"/>
              <w:bottom w:type="dxa" w:w="90"/>
              <w:right w:type="dxa" w:w="130"/>
            </w:tcMar>
          </w:tcPr>
          <w:p>
            <w:pPr>
              <w:spacing w:after="0" w:line="264"/>
            </w:pPr>
            <w:r>
              <w:rPr>
                <w:color w:val="1A1A1A"/>
                <w:sz w:val="19"/>
                <w:szCs w:val="19"/>
              </w:rPr>
              <w:t xml:space="preserve">Cloud Run / Firestore / other</w:t>
            </w:r>
          </w:p>
        </w:tc>
        <w:tc>
          <w:tcPr>
            <w:tcW w:type="dxa" w:w="1500"/>
            <w:tcMar>
              <w:top w:type="dxa" w:w="90"/>
              <w:left w:type="dxa" w:w="130"/>
              <w:bottom w:type="dxa" w:w="90"/>
              <w:right w:type="dxa" w:w="130"/>
            </w:tcMar>
          </w:tcPr>
          <w:p>
            <w:pPr>
              <w:spacing w:after="0" w:line="264"/>
            </w:pPr>
            <w:r>
              <w:rPr>
                <w:color w:val="1A1A1A"/>
                <w:sz w:val="19"/>
                <w:szCs w:val="19"/>
              </w:rPr>
              <w:t xml:space="preserve">≈ ₹10</w:t>
            </w:r>
          </w:p>
        </w:tc>
        <w:tc>
          <w:tcPr>
            <w:tcW w:type="dxa" w:w="3960"/>
            <w:tcMar>
              <w:top w:type="dxa" w:w="90"/>
              <w:left w:type="dxa" w:w="130"/>
              <w:bottom w:type="dxa" w:w="90"/>
              <w:right w:type="dxa" w:w="130"/>
            </w:tcMar>
          </w:tcPr>
          <w:p>
            <w:pPr>
              <w:spacing w:after="0" w:line="264"/>
            </w:pPr>
            <w:r>
              <w:rPr>
                <w:color w:val="1A1A1A"/>
                <w:sz w:val="19"/>
                <w:szCs w:val="19"/>
              </w:rPr>
              <w:t xml:space="preserve">Scale-to-zero; scales with real usage</w:t>
            </w:r>
          </w:p>
        </w:tc>
      </w:tr>
    </w:tbl>
    <w:tbl>
      <w:tblPr>
        <w:tblW w:type="dxa" w:w="9360"/>
        <w:tblBorders>
          <w:top w:val="single" w:color="8A5A00" w:sz="2"/>
          <w:left w:val="single" w:color="8A5A00" w:sz="18"/>
          <w:bottom w:val="single" w:color="8A5A00" w:sz="2"/>
          <w:right w:val="single" w:color="8A5A00" w:sz="2"/>
          <w:insideH w:val="none" w:color="auto" w:sz="0"/>
          <w:insideV w:val="none" w:color="auto" w:sz="0"/>
        </w:tblBorders>
      </w:tblPr>
      <w:tblGrid>
        <w:gridCol w:w="9360"/>
      </w:tblGrid>
      <w:tr>
        <w:tc>
          <w:tcPr>
            <w:tcW w:type="dxa" w:w="9360"/>
            <w:shd w:fill="FDF6E8" w:val="clear"/>
            <w:tcMar>
              <w:top w:type="dxa" w:w="140"/>
              <w:left w:type="dxa" w:w="180"/>
              <w:bottom w:type="dxa" w:w="140"/>
              <w:right w:type="dxa" w:w="180"/>
            </w:tcMar>
          </w:tcPr>
          <w:p>
            <w:pPr>
              <w:spacing w:after="60"/>
            </w:pPr>
            <w:r>
              <w:rPr>
                <w:b/>
                <w:bCs/>
                <w:color w:val="8A5A00"/>
                <w:sz w:val="21"/>
                <w:szCs w:val="21"/>
              </w:rPr>
              <w:t xml:space="preserve">Two cost levers still open on Cloud SQL</w:t>
            </w:r>
          </w:p>
          <w:p>
            <w:pPr>
              <w:spacing w:after="40" w:line="276"/>
            </w:pPr>
            <w:r>
              <w:rPr>
                <w:color w:val="1A1A1A"/>
                <w:sz w:val="20"/>
                <w:szCs w:val="20"/>
              </w:rPr>
              <w:t xml:space="preserve">Point-in-time recovery is currently Enabled — it bills for write-ahead-log storage on top of your 25 GB. With one to three users and automated daily backups already on, PITR is buying very little.</w:t>
            </w:r>
          </w:p>
          <w:p>
            <w:pPr>
              <w:spacing w:after="40" w:line="276"/>
            </w:pPr>
            <w:r>
              <w:rPr>
                <w:color w:val="1A1A1A"/>
                <w:sz w:val="20"/>
                <w:szCs w:val="20"/>
              </w:rPr>
              <w:t xml:space="preserve">'Enable automatic storage increases' is currently checked. Because storage can never be decreased, any automatic growth is permanent and permanently billed. Unchecking it makes 25 GB a hard ceiling rather than a floor.</w:t>
            </w:r>
          </w:p>
        </w:tc>
      </w:tr>
    </w:tbl>
    <w:p>
      <w:r>
        <w:br w:type="page"/>
      </w:r>
    </w:p>
    <w:p>
      <w:pPr>
        <w:pStyle w:val="Heading1"/>
        <w:spacing w:after="160" w:before="360"/>
      </w:pPr>
      <w:r>
        <w:rPr>
          <w:b/>
          <w:bCs/>
          <w:color w:val="1B7A4A"/>
          <w:sz w:val="30"/>
          <w:szCs w:val="30"/>
        </w:rPr>
        <w:t xml:space="preserve">2. Three Findings That Change the Plan</w:t>
      </w:r>
    </w:p>
    <w:p>
      <w:pPr>
        <w:spacing w:after="120" w:line="276"/>
      </w:pPr>
      <w:r>
        <w:rPr>
          <w:color w:val="1A1A1A"/>
          <w:sz w:val="21"/>
          <w:szCs w:val="21"/>
        </w:rPr>
        <w:t xml:space="preserve">These are not opinions about polish. Each one blocks or reshapes something already on your list.</w:t>
      </w:r>
    </w:p>
    <w:p>
      <w:pPr>
        <w:pStyle w:val="Heading2"/>
        <w:spacing w:after="120" w:before="260"/>
      </w:pPr>
      <w:r>
        <w:rPr>
          <w:b/>
          <w:bCs/>
          <w:color w:val="1A1A1A"/>
          <w:sz w:val="24"/>
          <w:szCs w:val="24"/>
        </w:rPr>
        <w:t xml:space="preserve">Finding 1 — calolean.com/ is the app, not a landing page</w:t>
      </w:r>
    </w:p>
    <w:p>
      <w:pPr>
        <w:spacing w:after="120" w:line="276"/>
      </w:pPr>
      <w:r>
        <w:rPr>
          <w:color w:val="1A1A1A"/>
          <w:sz w:val="21"/>
          <w:szCs w:val="21"/>
        </w:rPr>
        <w:t xml:space="preserve">app/page.tsx is a client component that calls useAuth() and renders the chat interface inside AppLayout. There is no public page describing what Calolean is.</w:t>
      </w:r>
    </w:p>
    <w:p>
      <w:pPr>
        <w:spacing w:after="120" w:line="276"/>
      </w:pPr>
      <w:r>
        <w:rPr>
          <w:b/>
          <w:bCs/>
          <w:color w:val="1A1A1A"/>
          <w:sz w:val="21"/>
          <w:szCs w:val="21"/>
        </w:rPr>
        <w:t xml:space="preserve">Why it matters: </w:t>
      </w:r>
      <w:r>
        <w:rPr>
          <w:color w:val="1A1A1A"/>
          <w:sz w:val="21"/>
          <w:szCs w:val="21"/>
        </w:rPr>
        <w:t xml:space="preserve">Google's crawler, the AdSense reviewer, and a first-time visitor who has never heard of you all arrive at the same URL and all see the same thing — a login wall or an empty client-rendered shell. AdSense rejects sites that are mostly login-gated with little original content, and a site with no crawlable content cannot rank for anything.</w:t>
      </w:r>
    </w:p>
    <w:p>
      <w:pPr>
        <w:spacing w:after="120" w:line="276"/>
      </w:pPr>
      <w:r>
        <w:rPr>
          <w:b/>
          <w:bCs/>
          <w:color w:val="1A1A1A"/>
          <w:sz w:val="21"/>
          <w:szCs w:val="21"/>
        </w:rPr>
        <w:t xml:space="preserve">Consequence for the plan: </w:t>
      </w:r>
      <w:r>
        <w:rPr>
          <w:color w:val="1A1A1A"/>
          <w:sz w:val="21"/>
          <w:szCs w:val="21"/>
        </w:rPr>
        <w:t xml:space="preserve">the marketing site is not a 'nice to have later'. It is the gate in front of AdSense approval, in front of all organic acquisition, and (via the privacy-policy URL) in front of the Play Store listing.</w:t>
      </w:r>
    </w:p>
    <w:p>
      <w:pPr>
        <w:pStyle w:val="Heading2"/>
        <w:spacing w:after="120" w:before="260"/>
      </w:pPr>
      <w:r>
        <w:rPr>
          <w:b/>
          <w:bCs/>
          <w:color w:val="1A1A1A"/>
          <w:sz w:val="24"/>
          <w:szCs w:val="24"/>
        </w:rPr>
        <w:t xml:space="preserve">Finding 2 — your privacy policy is blocked from Google, and the sitemap contradicts robots.txt</w:t>
      </w:r>
    </w:p>
    <w:p>
      <w:pPr>
        <w:spacing w:after="120" w:line="276"/>
      </w:pPr>
      <w:r>
        <w:rPr>
          <w:color w:val="1A1A1A"/>
          <w:sz w:val="21"/>
          <w:szCs w:val="21"/>
        </w:rPr>
        <w:t xml:space="preserve">app/robots.ts disallows /profile. Your privacy policy lives at /profile/privacy-policy and your terms at /profile/terms. Yet app/sitemap.ts submits both of those exact URLs to Google.</w:t>
      </w:r>
    </w:p>
    <w:p>
      <w:pPr>
        <w:pStyle w:val="ListParagraph"/>
        <w:numPr>
          <w:ilvl w:val="0"/>
          <w:numId w:val="2"/>
        </w:numPr>
        <w:spacing w:after="80" w:line="276"/>
      </w:pPr>
      <w:r>
        <w:rPr>
          <w:color w:val="1A1A1A"/>
          <w:sz w:val="21"/>
          <w:szCs w:val="21"/>
        </w:rPr>
        <w:t xml:space="preserve">The sitemap tells Google to index two pages that robots.txt forbids it from fetching.</w:t>
      </w:r>
    </w:p>
    <w:p>
      <w:pPr>
        <w:pStyle w:val="ListParagraph"/>
        <w:numPr>
          <w:ilvl w:val="0"/>
          <w:numId w:val="2"/>
        </w:numPr>
        <w:spacing w:after="80" w:line="276"/>
      </w:pPr>
      <w:r>
        <w:rPr>
          <w:color w:val="1A1A1A"/>
          <w:sz w:val="21"/>
          <w:szCs w:val="21"/>
        </w:rPr>
        <w:t xml:space="preserve">AdSense requires a reachable privacy policy that discloses ad cookies and third-party vendors.</w:t>
      </w:r>
    </w:p>
    <w:p>
      <w:pPr>
        <w:pStyle w:val="ListParagraph"/>
        <w:numPr>
          <w:ilvl w:val="0"/>
          <w:numId w:val="2"/>
        </w:numPr>
        <w:spacing w:after="80" w:line="276"/>
      </w:pPr>
      <w:r>
        <w:rPr>
          <w:color w:val="1A1A1A"/>
          <w:sz w:val="21"/>
          <w:szCs w:val="21"/>
        </w:rPr>
        <w:t xml:space="preserve">Google Play requires a publicly accessible privacy-policy URL on the store listing — reachable without signing in.</w:t>
      </w:r>
    </w:p>
    <w:p>
      <w:pPr>
        <w:spacing w:after="120" w:line="276"/>
      </w:pPr>
      <w:r>
        <w:rPr>
          <w:b/>
          <w:bCs/>
          <w:color w:val="1A1A1A"/>
          <w:sz w:val="21"/>
          <w:szCs w:val="21"/>
        </w:rPr>
        <w:t xml:space="preserve">Fix: </w:t>
      </w:r>
      <w:r>
        <w:rPr>
          <w:color w:val="1A1A1A"/>
          <w:sz w:val="21"/>
          <w:szCs w:val="21"/>
        </w:rPr>
        <w:t xml:space="preserve">move both documents to public top-level routes (/privacy and /terms), keep redirects from the old /profile/... paths so existing links survive, and correct robots.ts and sitemap.ts together. This is small work with outsized consequences — it unblocks two separate approval processes.</w:t>
      </w:r>
    </w:p>
    <w:p>
      <w:pPr>
        <w:pStyle w:val="Heading2"/>
        <w:spacing w:after="120" w:before="260"/>
      </w:pPr>
      <w:r>
        <w:rPr>
          <w:b/>
          <w:bCs/>
          <w:color w:val="1A1A1A"/>
          <w:sz w:val="24"/>
          <w:szCs w:val="24"/>
        </w:rPr>
        <w:t xml:space="preserve">Finding 3 — the Google Fit integration you planned cannot be built</w:t>
      </w:r>
    </w:p>
    <w:p>
      <w:pPr>
        <w:spacing w:after="120" w:line="276"/>
      </w:pPr>
      <w:r>
        <w:rPr>
          <w:color w:val="1A1A1A"/>
          <w:sz w:val="21"/>
          <w:szCs w:val="21"/>
        </w:rPr>
        <w:t xml:space="preserve">Your notes and environment variables describe a web OAuth flow (GOOGLE_HEALTH_CLIENT_ID, GOOGLE_HEALTH_REDIRECT_URI, /api/health/callback) against the Google Fit REST API. Two facts make that a dead end:</w:t>
      </w:r>
    </w:p>
    <w:p>
      <w:pPr>
        <w:pStyle w:val="ListParagraph"/>
        <w:numPr>
          <w:ilvl w:val="0"/>
          <w:numId w:val="2"/>
        </w:numPr>
        <w:spacing w:after="80" w:line="276"/>
      </w:pPr>
      <w:r>
        <w:rPr>
          <w:b/>
          <w:bCs/>
          <w:color w:val="1A1A1A"/>
          <w:sz w:val="21"/>
          <w:szCs w:val="21"/>
        </w:rPr>
        <w:t xml:space="preserve">New sign-ups closed on 1 May 2024. </w:t>
      </w:r>
      <w:r>
        <w:rPr>
          <w:color w:val="1A1A1A"/>
          <w:sz w:val="21"/>
          <w:szCs w:val="21"/>
        </w:rPr>
        <w:t xml:space="preserve">You cannot register a new project for the Fit APIs at all.</w:t>
      </w:r>
    </w:p>
    <w:p>
      <w:pPr>
        <w:pStyle w:val="ListParagraph"/>
        <w:numPr>
          <w:ilvl w:val="0"/>
          <w:numId w:val="2"/>
        </w:numPr>
        <w:spacing w:after="80" w:line="276"/>
      </w:pPr>
      <w:r>
        <w:rPr>
          <w:b/>
          <w:bCs/>
          <w:color w:val="1A1A1A"/>
          <w:sz w:val="21"/>
          <w:szCs w:val="21"/>
        </w:rPr>
        <w:t xml:space="preserve">The Fit APIs shut down at the end of 2026 — roughly three months from now. </w:t>
      </w:r>
      <w:r>
        <w:rPr>
          <w:color w:val="1A1A1A"/>
          <w:sz w:val="21"/>
          <w:szCs w:val="21"/>
        </w:rPr>
        <w:t xml:space="preserve">Even if you had access, you would be building on something with a published end date inside your own development window.</w:t>
      </w:r>
    </w:p>
    <w:tbl>
      <w:tblPr>
        <w:tblW w:type="dxa" w:w="9360"/>
        <w:tblBorders>
          <w:top w:val="single" w:color="A32020" w:sz="2"/>
          <w:left w:val="single" w:color="A32020" w:sz="18"/>
          <w:bottom w:val="single" w:color="A32020" w:sz="2"/>
          <w:right w:val="single" w:color="A32020" w:sz="2"/>
          <w:insideH w:val="none" w:color="auto" w:sz="0"/>
          <w:insideV w:val="none" w:color="auto" w:sz="0"/>
        </w:tblBorders>
      </w:tblPr>
      <w:tblGrid>
        <w:gridCol w:w="9360"/>
      </w:tblGrid>
      <w:tr>
        <w:tc>
          <w:tcPr>
            <w:tcW w:type="dxa" w:w="9360"/>
            <w:shd w:fill="FBEDED" w:val="clear"/>
            <w:tcMar>
              <w:top w:type="dxa" w:w="140"/>
              <w:left w:type="dxa" w:w="180"/>
              <w:bottom w:type="dxa" w:w="140"/>
              <w:right w:type="dxa" w:w="180"/>
            </w:tcMar>
          </w:tcPr>
          <w:p>
            <w:pPr>
              <w:spacing w:after="60"/>
            </w:pPr>
            <w:r>
              <w:rPr>
                <w:b/>
                <w:bCs/>
                <w:color w:val="A32020"/>
                <w:sz w:val="21"/>
                <w:szCs w:val="21"/>
              </w:rPr>
              <w:t xml:space="preserve">What this actually means for Calolean</w:t>
            </w:r>
          </w:p>
          <w:p>
            <w:pPr>
              <w:spacing w:after="40" w:line="276"/>
            </w:pPr>
            <w:r>
              <w:rPr>
                <w:color w:val="1A1A1A"/>
                <w:sz w:val="20"/>
                <w:szCs w:val="20"/>
              </w:rPr>
              <w:t xml:space="preserve">Health Connect is the replacement, and Health Connect is an on-device Android API — not a web OAuth service. There is no browser equivalent. Step counts, heart rate and sleep therefore cannot be read by calolean.com in a browser at all.</w:t>
            </w:r>
          </w:p>
          <w:p>
            <w:pPr>
              <w:spacing w:after="40" w:line="276"/>
            </w:pPr>
            <w:r>
              <w:rPr>
                <w:color w:val="1A1A1A"/>
                <w:sz w:val="20"/>
                <w:szCs w:val="20"/>
              </w:rPr>
              <w:t xml:space="preserve">So 'Google Health integration' is not a web feature that the Android app happens to share. It is an Android-app-only feature, and it is one of the strongest reasons for the Android app to exist.</w:t>
            </w:r>
          </w:p>
          <w:p>
            <w:pPr>
              <w:spacing w:after="40" w:line="276"/>
            </w:pPr>
            <w:r>
              <w:rPr>
                <w:color w:val="1A1A1A"/>
                <w:sz w:val="20"/>
                <w:szCs w:val="20"/>
              </w:rPr>
              <w:t xml:space="preserve">Practical effect: stop treating the GOOGLE_HEALTH_* environment variables as pending work on the web app. Health data moves to Phase 5 (Android), and the web app keeps manual entry, which it already supports.</w:t>
            </w:r>
          </w:p>
        </w:tc>
      </w:tr>
    </w:tbl>
    <w:p>
      <w:r>
        <w:br w:type="page"/>
      </w:r>
    </w:p>
    <w:p>
      <w:pPr>
        <w:pStyle w:val="Heading1"/>
        <w:spacing w:after="160" w:before="360"/>
      </w:pPr>
      <w:r>
        <w:rPr>
          <w:b/>
          <w:bCs/>
          <w:color w:val="1B7A4A"/>
          <w:sz w:val="30"/>
          <w:szCs w:val="30"/>
        </w:rPr>
        <w:t xml:space="preserve">3. Phase 1 — The Public Marketing Website</w:t>
      </w:r>
    </w:p>
    <w:p>
      <w:pPr>
        <w:spacing w:after="120" w:line="276"/>
      </w:pPr>
      <w:r>
        <w:rPr>
          <w:b/>
          <w:bCs/>
          <w:color w:val="1A1A1A"/>
          <w:sz w:val="21"/>
          <w:szCs w:val="21"/>
        </w:rPr>
        <w:t xml:space="preserve">Duration: </w:t>
      </w:r>
      <w:r>
        <w:rPr>
          <w:color w:val="1A1A1A"/>
          <w:sz w:val="21"/>
          <w:szCs w:val="21"/>
        </w:rPr>
        <w:t xml:space="preserve">2–3 weeks. </w:t>
      </w:r>
      <w:r>
        <w:rPr>
          <w:b/>
          <w:bCs/>
          <w:color w:val="1A1A1A"/>
          <w:sz w:val="21"/>
          <w:szCs w:val="21"/>
        </w:rPr>
        <w:t xml:space="preserve">Blocks: </w:t>
      </w:r>
      <w:r>
        <w:rPr>
          <w:color w:val="1A1A1A"/>
          <w:sz w:val="21"/>
          <w:szCs w:val="21"/>
        </w:rPr>
        <w:t xml:space="preserve">AdSense approval, all SEO, the Play Store listing. Nothing else should start before this ships.</w:t>
      </w:r>
    </w:p>
    <w:p>
      <w:pPr>
        <w:pStyle w:val="Heading2"/>
        <w:spacing w:after="120" w:before="260"/>
      </w:pPr>
      <w:r>
        <w:rPr>
          <w:b/>
          <w:bCs/>
          <w:color w:val="1A1A1A"/>
          <w:sz w:val="24"/>
          <w:szCs w:val="24"/>
        </w:rPr>
        <w:t xml:space="preserve">3.1 The architectural decision</w:t>
      </w:r>
    </w:p>
    <w:p>
      <w:pPr>
        <w:spacing w:after="120" w:line="276"/>
      </w:pPr>
      <w:r>
        <w:rPr>
          <w:color w:val="1A1A1A"/>
          <w:sz w:val="21"/>
          <w:szCs w:val="21"/>
        </w:rPr>
        <w:t xml:space="preserve">Next.js route groups let one codebase serve two very different kinds of page from the same deployment, with no duplicated infrastructure:</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1900"/>
        <w:gridCol w:w="2900"/>
        <w:gridCol w:w="4560"/>
      </w:tblGrid>
      <w:tr>
        <w:trPr>
          <w:tblHeader/>
        </w:trPr>
        <w:tc>
          <w:tcPr>
            <w:tcW w:type="dxa" w:w="1900"/>
            <w:shd w:fill="EEF4F0" w:val="clear"/>
            <w:tcMar>
              <w:top w:type="dxa" w:w="90"/>
              <w:left w:type="dxa" w:w="130"/>
              <w:bottom w:type="dxa" w:w="90"/>
              <w:right w:type="dxa" w:w="130"/>
            </w:tcMar>
          </w:tcPr>
          <w:p>
            <w:pPr>
              <w:spacing w:after="0" w:line="264"/>
            </w:pPr>
            <w:r>
              <w:rPr>
                <w:b/>
                <w:bCs/>
                <w:color w:val="1B7A4A"/>
                <w:sz w:val="19"/>
                <w:szCs w:val="19"/>
              </w:rPr>
              <w:t xml:space="preserve">Route group</w:t>
            </w:r>
          </w:p>
        </w:tc>
        <w:tc>
          <w:tcPr>
            <w:tcW w:type="dxa" w:w="2900"/>
            <w:shd w:fill="EEF4F0" w:val="clear"/>
            <w:tcMar>
              <w:top w:type="dxa" w:w="90"/>
              <w:left w:type="dxa" w:w="130"/>
              <w:bottom w:type="dxa" w:w="90"/>
              <w:right w:type="dxa" w:w="130"/>
            </w:tcMar>
          </w:tcPr>
          <w:p>
            <w:pPr>
              <w:spacing w:after="0" w:line="264"/>
            </w:pPr>
            <w:r>
              <w:rPr>
                <w:b/>
                <w:bCs/>
                <w:color w:val="1B7A4A"/>
                <w:sz w:val="19"/>
                <w:szCs w:val="19"/>
              </w:rPr>
              <w:t xml:space="preserve">Rendering</w:t>
            </w:r>
          </w:p>
        </w:tc>
        <w:tc>
          <w:tcPr>
            <w:tcW w:type="dxa" w:w="4560"/>
            <w:shd w:fill="EEF4F0" w:val="clear"/>
            <w:tcMar>
              <w:top w:type="dxa" w:w="90"/>
              <w:left w:type="dxa" w:w="130"/>
              <w:bottom w:type="dxa" w:w="90"/>
              <w:right w:type="dxa" w:w="130"/>
            </w:tcMar>
          </w:tcPr>
          <w:p>
            <w:pPr>
              <w:spacing w:after="0" w:line="264"/>
            </w:pPr>
            <w:r>
              <w:rPr>
                <w:b/>
                <w:bCs/>
                <w:color w:val="1B7A4A"/>
                <w:sz w:val="19"/>
                <w:szCs w:val="19"/>
              </w:rPr>
              <w:t xml:space="preserve">Contains</w:t>
            </w:r>
          </w:p>
        </w:tc>
      </w:tr>
      <w:tr>
        <w:tc>
          <w:tcPr>
            <w:tcW w:type="dxa" w:w="1900"/>
            <w:tcMar>
              <w:top w:type="dxa" w:w="90"/>
              <w:left w:type="dxa" w:w="130"/>
              <w:bottom w:type="dxa" w:w="90"/>
              <w:right w:type="dxa" w:w="130"/>
            </w:tcMar>
          </w:tcPr>
          <w:p>
            <w:pPr>
              <w:spacing w:after="0" w:line="264"/>
            </w:pPr>
            <w:r>
              <w:rPr>
                <w:color w:val="1A1A1A"/>
                <w:sz w:val="19"/>
                <w:szCs w:val="19"/>
              </w:rPr>
              <w:t xml:space="preserve">(marketing)</w:t>
            </w:r>
          </w:p>
        </w:tc>
        <w:tc>
          <w:tcPr>
            <w:tcW w:type="dxa" w:w="2900"/>
            <w:tcMar>
              <w:top w:type="dxa" w:w="90"/>
              <w:left w:type="dxa" w:w="130"/>
              <w:bottom w:type="dxa" w:w="90"/>
              <w:right w:type="dxa" w:w="130"/>
            </w:tcMar>
          </w:tcPr>
          <w:p>
            <w:pPr>
              <w:spacing w:after="0" w:line="264"/>
            </w:pPr>
            <w:r>
              <w:rPr>
                <w:color w:val="1A1A1A"/>
                <w:sz w:val="19"/>
                <w:szCs w:val="19"/>
              </w:rPr>
              <w:t xml:space="preserve">Server-rendered, public, crawlable, cacheable</w:t>
            </w:r>
          </w:p>
        </w:tc>
        <w:tc>
          <w:tcPr>
            <w:tcW w:type="dxa" w:w="4560"/>
            <w:tcMar>
              <w:top w:type="dxa" w:w="90"/>
              <w:left w:type="dxa" w:w="130"/>
              <w:bottom w:type="dxa" w:w="90"/>
              <w:right w:type="dxa" w:w="130"/>
            </w:tcMar>
          </w:tcPr>
          <w:p>
            <w:pPr>
              <w:spacing w:after="0" w:line="264"/>
            </w:pPr>
            <w:r>
              <w:rPr>
                <w:color w:val="1A1A1A"/>
                <w:sz w:val="19"/>
                <w:szCs w:val="19"/>
              </w:rPr>
              <w:t xml:space="preserve">Landing page, features, pricing, about, blog, FAQ, contact, privacy, terms</w:t>
            </w:r>
          </w:p>
        </w:tc>
      </w:tr>
      <w:tr>
        <w:tc>
          <w:tcPr>
            <w:tcW w:type="dxa" w:w="1900"/>
            <w:tcMar>
              <w:top w:type="dxa" w:w="90"/>
              <w:left w:type="dxa" w:w="130"/>
              <w:bottom w:type="dxa" w:w="90"/>
              <w:right w:type="dxa" w:w="130"/>
            </w:tcMar>
          </w:tcPr>
          <w:p>
            <w:pPr>
              <w:spacing w:after="0" w:line="264"/>
            </w:pPr>
            <w:r>
              <w:rPr>
                <w:color w:val="1A1A1A"/>
                <w:sz w:val="19"/>
                <w:szCs w:val="19"/>
              </w:rPr>
              <w:t xml:space="preserve">(app)</w:t>
            </w:r>
          </w:p>
        </w:tc>
        <w:tc>
          <w:tcPr>
            <w:tcW w:type="dxa" w:w="2900"/>
            <w:tcMar>
              <w:top w:type="dxa" w:w="90"/>
              <w:left w:type="dxa" w:w="130"/>
              <w:bottom w:type="dxa" w:w="90"/>
              <w:right w:type="dxa" w:w="130"/>
            </w:tcMar>
          </w:tcPr>
          <w:p>
            <w:pPr>
              <w:spacing w:after="0" w:line="264"/>
            </w:pPr>
            <w:r>
              <w:rPr>
                <w:color w:val="1A1A1A"/>
                <w:sz w:val="19"/>
                <w:szCs w:val="19"/>
              </w:rPr>
              <w:t xml:space="preserve">Client-side, auth-gated (as today)</w:t>
            </w:r>
          </w:p>
        </w:tc>
        <w:tc>
          <w:tcPr>
            <w:tcW w:type="dxa" w:w="4560"/>
            <w:tcMar>
              <w:top w:type="dxa" w:w="90"/>
              <w:left w:type="dxa" w:w="130"/>
              <w:bottom w:type="dxa" w:w="90"/>
              <w:right w:type="dxa" w:w="130"/>
            </w:tcMar>
          </w:tcPr>
          <w:p>
            <w:pPr>
              <w:spacing w:after="0" w:line="264"/>
            </w:pPr>
            <w:r>
              <w:rPr>
                <w:color w:val="1A1A1A"/>
                <w:sz w:val="19"/>
                <w:szCs w:val="19"/>
              </w:rPr>
              <w:t xml:space="preserve">Chat, diet, exercise, shop, profile, onboarding</w:t>
            </w:r>
          </w:p>
        </w:tc>
      </w:tr>
    </w:tbl>
    <w:p>
      <w:pPr>
        <w:spacing w:after="120" w:line="276"/>
      </w:pPr>
      <w:r>
        <w:rPr>
          <w:color w:val="1A1A1A"/>
          <w:sz w:val="21"/>
          <w:szCs w:val="21"/>
        </w:rPr>
        <w:t xml:space="preserve">The signed-in app moves from / to /app (or /chat), and / becomes the landing page. Add a redirect so an authenticated visitor landing on / is sent straight to /app — returning users should never have to click through marketing copy.</w:t>
      </w:r>
    </w:p>
    <w:tbl>
      <w:tblPr>
        <w:tblW w:type="dxa" w:w="9360"/>
        <w:tblBorders>
          <w:top w:val="single" w:color="8A5A00" w:sz="2"/>
          <w:left w:val="single" w:color="8A5A00" w:sz="18"/>
          <w:bottom w:val="single" w:color="8A5A00" w:sz="2"/>
          <w:right w:val="single" w:color="8A5A00" w:sz="2"/>
          <w:insideH w:val="none" w:color="auto" w:sz="0"/>
          <w:insideV w:val="none" w:color="auto" w:sz="0"/>
        </w:tblBorders>
      </w:tblPr>
      <w:tblGrid>
        <w:gridCol w:w="9360"/>
      </w:tblGrid>
      <w:tr>
        <w:tc>
          <w:tcPr>
            <w:tcW w:type="dxa" w:w="9360"/>
            <w:shd w:fill="FDF6E8" w:val="clear"/>
            <w:tcMar>
              <w:top w:type="dxa" w:w="140"/>
              <w:left w:type="dxa" w:w="180"/>
              <w:bottom w:type="dxa" w:w="140"/>
              <w:right w:type="dxa" w:w="180"/>
            </w:tcMar>
          </w:tcPr>
          <w:p>
            <w:pPr>
              <w:spacing w:after="60"/>
            </w:pPr>
            <w:r>
              <w:rPr>
                <w:b/>
                <w:bCs/>
                <w:color w:val="8A5A00"/>
                <w:sz w:val="21"/>
                <w:szCs w:val="21"/>
              </w:rPr>
              <w:t xml:space="preserve">Do not skip server rendering here</w:t>
            </w:r>
          </w:p>
          <w:p>
            <w:pPr>
              <w:spacing w:after="40" w:line="276"/>
            </w:pPr>
            <w:r>
              <w:rPr>
                <w:color w:val="1A1A1A"/>
                <w:sz w:val="20"/>
                <w:szCs w:val="20"/>
              </w:rPr>
              <w:t xml:space="preserve">The whole point of the marketing pages is that Googlebot and the AdSense reviewer can read them without executing JavaScript or holding a session. If you build the landing page as a client component, you have rebuilt the exact problem you are trying to solve.</w:t>
            </w:r>
          </w:p>
        </w:tc>
      </w:tr>
    </w:tbl>
    <w:p>
      <w:pPr>
        <w:pStyle w:val="Heading2"/>
        <w:spacing w:after="120" w:before="260"/>
      </w:pPr>
      <w:r>
        <w:rPr>
          <w:b/>
          <w:bCs/>
          <w:color w:val="1A1A1A"/>
          <w:sz w:val="24"/>
          <w:szCs w:val="24"/>
        </w:rPr>
        <w:t xml:space="preserve">3.2 Pages to build</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1750"/>
        <w:gridCol w:w="1750"/>
        <w:gridCol w:w="5860"/>
      </w:tblGrid>
      <w:tr>
        <w:trPr>
          <w:tblHeader/>
        </w:trPr>
        <w:tc>
          <w:tcPr>
            <w:tcW w:type="dxa" w:w="1750"/>
            <w:shd w:fill="EEF4F0" w:val="clear"/>
            <w:tcMar>
              <w:top w:type="dxa" w:w="90"/>
              <w:left w:type="dxa" w:w="130"/>
              <w:bottom w:type="dxa" w:w="90"/>
              <w:right w:type="dxa" w:w="130"/>
            </w:tcMar>
          </w:tcPr>
          <w:p>
            <w:pPr>
              <w:spacing w:after="0" w:line="264"/>
            </w:pPr>
            <w:r>
              <w:rPr>
                <w:b/>
                <w:bCs/>
                <w:color w:val="1B7A4A"/>
                <w:sz w:val="19"/>
                <w:szCs w:val="19"/>
              </w:rPr>
              <w:t xml:space="preserve">Page</w:t>
            </w:r>
          </w:p>
        </w:tc>
        <w:tc>
          <w:tcPr>
            <w:tcW w:type="dxa" w:w="1750"/>
            <w:shd w:fill="EEF4F0" w:val="clear"/>
            <w:tcMar>
              <w:top w:type="dxa" w:w="90"/>
              <w:left w:type="dxa" w:w="130"/>
              <w:bottom w:type="dxa" w:w="90"/>
              <w:right w:type="dxa" w:w="130"/>
            </w:tcMar>
          </w:tcPr>
          <w:p>
            <w:pPr>
              <w:spacing w:after="0" w:line="264"/>
            </w:pPr>
            <w:r>
              <w:rPr>
                <w:b/>
                <w:bCs/>
                <w:color w:val="1B7A4A"/>
                <w:sz w:val="19"/>
                <w:szCs w:val="19"/>
              </w:rPr>
              <w:t xml:space="preserve">Route</w:t>
            </w:r>
          </w:p>
        </w:tc>
        <w:tc>
          <w:tcPr>
            <w:tcW w:type="dxa" w:w="5860"/>
            <w:shd w:fill="EEF4F0" w:val="clear"/>
            <w:tcMar>
              <w:top w:type="dxa" w:w="90"/>
              <w:left w:type="dxa" w:w="130"/>
              <w:bottom w:type="dxa" w:w="90"/>
              <w:right w:type="dxa" w:w="130"/>
            </w:tcMar>
          </w:tcPr>
          <w:p>
            <w:pPr>
              <w:spacing w:after="0" w:line="264"/>
            </w:pPr>
            <w:r>
              <w:rPr>
                <w:b/>
                <w:bCs/>
                <w:color w:val="1B7A4A"/>
                <w:sz w:val="19"/>
                <w:szCs w:val="19"/>
              </w:rPr>
              <w:t xml:space="preserve">Purpose &amp; priority</w:t>
            </w:r>
          </w:p>
        </w:tc>
      </w:tr>
      <w:tr>
        <w:tc>
          <w:tcPr>
            <w:tcW w:type="dxa" w:w="1750"/>
            <w:tcMar>
              <w:top w:type="dxa" w:w="90"/>
              <w:left w:type="dxa" w:w="130"/>
              <w:bottom w:type="dxa" w:w="90"/>
              <w:right w:type="dxa" w:w="130"/>
            </w:tcMar>
          </w:tcPr>
          <w:p>
            <w:pPr>
              <w:spacing w:after="0" w:line="264"/>
            </w:pPr>
            <w:r>
              <w:rPr>
                <w:color w:val="1A1A1A"/>
                <w:sz w:val="19"/>
                <w:szCs w:val="19"/>
              </w:rPr>
              <w:t xml:space="preserve">Home / landing</w:t>
            </w:r>
          </w:p>
        </w:tc>
        <w:tc>
          <w:tcPr>
            <w:tcW w:type="dxa" w:w="1750"/>
            <w:tcMar>
              <w:top w:type="dxa" w:w="90"/>
              <w:left w:type="dxa" w:w="130"/>
              <w:bottom w:type="dxa" w:w="90"/>
              <w:right w:type="dxa" w:w="130"/>
            </w:tcMar>
          </w:tcPr>
          <w:p>
            <w:pPr>
              <w:spacing w:after="0" w:line="264"/>
            </w:pPr>
            <w:r>
              <w:rPr>
                <w:color w:val="1A1A1A"/>
                <w:sz w:val="19"/>
                <w:szCs w:val="19"/>
              </w:rPr>
              <w:t xml:space="preserve">/</w:t>
            </w:r>
          </w:p>
        </w:tc>
        <w:tc>
          <w:tcPr>
            <w:tcW w:type="dxa" w:w="5860"/>
            <w:tcMar>
              <w:top w:type="dxa" w:w="90"/>
              <w:left w:type="dxa" w:w="130"/>
              <w:bottom w:type="dxa" w:w="90"/>
              <w:right w:type="dxa" w:w="130"/>
            </w:tcMar>
          </w:tcPr>
          <w:p>
            <w:pPr>
              <w:spacing w:after="0" w:line="264"/>
            </w:pPr>
            <w:r>
              <w:rPr>
                <w:color w:val="1A1A1A"/>
                <w:sz w:val="19"/>
                <w:szCs w:val="19"/>
              </w:rPr>
              <w:t xml:space="preserve">ESSENTIAL. What Calolean is, who it's for, the AI food-scan hook, screenshots, sign-up CTA.</w:t>
            </w:r>
          </w:p>
        </w:tc>
      </w:tr>
      <w:tr>
        <w:tc>
          <w:tcPr>
            <w:tcW w:type="dxa" w:w="1750"/>
            <w:tcMar>
              <w:top w:type="dxa" w:w="90"/>
              <w:left w:type="dxa" w:w="130"/>
              <w:bottom w:type="dxa" w:w="90"/>
              <w:right w:type="dxa" w:w="130"/>
            </w:tcMar>
          </w:tcPr>
          <w:p>
            <w:pPr>
              <w:spacing w:after="0" w:line="264"/>
            </w:pPr>
            <w:r>
              <w:rPr>
                <w:color w:val="1A1A1A"/>
                <w:sz w:val="19"/>
                <w:szCs w:val="19"/>
              </w:rPr>
              <w:t xml:space="preserve">Features</w:t>
            </w:r>
          </w:p>
        </w:tc>
        <w:tc>
          <w:tcPr>
            <w:tcW w:type="dxa" w:w="1750"/>
            <w:tcMar>
              <w:top w:type="dxa" w:w="90"/>
              <w:left w:type="dxa" w:w="130"/>
              <w:bottom w:type="dxa" w:w="90"/>
              <w:right w:type="dxa" w:w="130"/>
            </w:tcMar>
          </w:tcPr>
          <w:p>
            <w:pPr>
              <w:spacing w:after="0" w:line="264"/>
            </w:pPr>
            <w:r>
              <w:rPr>
                <w:color w:val="1A1A1A"/>
                <w:sz w:val="19"/>
                <w:szCs w:val="19"/>
              </w:rPr>
              <w:t xml:space="preserve">/features</w:t>
            </w:r>
          </w:p>
        </w:tc>
        <w:tc>
          <w:tcPr>
            <w:tcW w:type="dxa" w:w="5860"/>
            <w:tcMar>
              <w:top w:type="dxa" w:w="90"/>
              <w:left w:type="dxa" w:w="130"/>
              <w:bottom w:type="dxa" w:w="90"/>
              <w:right w:type="dxa" w:w="130"/>
            </w:tcMar>
          </w:tcPr>
          <w:p>
            <w:pPr>
              <w:spacing w:after="0" w:line="264"/>
            </w:pPr>
            <w:r>
              <w:rPr>
                <w:color w:val="1A1A1A"/>
                <w:sz w:val="19"/>
                <w:szCs w:val="19"/>
              </w:rPr>
              <w:t xml:space="preserve">ESSENTIAL. One section per pillar: AI food scan, chat coach, exercise library, diet tracking, plans.</w:t>
            </w:r>
          </w:p>
        </w:tc>
      </w:tr>
      <w:tr>
        <w:tc>
          <w:tcPr>
            <w:tcW w:type="dxa" w:w="1750"/>
            <w:tcMar>
              <w:top w:type="dxa" w:w="90"/>
              <w:left w:type="dxa" w:w="130"/>
              <w:bottom w:type="dxa" w:w="90"/>
              <w:right w:type="dxa" w:w="130"/>
            </w:tcMar>
          </w:tcPr>
          <w:p>
            <w:pPr>
              <w:spacing w:after="0" w:line="264"/>
            </w:pPr>
            <w:r>
              <w:rPr>
                <w:color w:val="1A1A1A"/>
                <w:sz w:val="19"/>
                <w:szCs w:val="19"/>
              </w:rPr>
              <w:t xml:space="preserve">How it works</w:t>
            </w:r>
          </w:p>
        </w:tc>
        <w:tc>
          <w:tcPr>
            <w:tcW w:type="dxa" w:w="1750"/>
            <w:tcMar>
              <w:top w:type="dxa" w:w="90"/>
              <w:left w:type="dxa" w:w="130"/>
              <w:bottom w:type="dxa" w:w="90"/>
              <w:right w:type="dxa" w:w="130"/>
            </w:tcMar>
          </w:tcPr>
          <w:p>
            <w:pPr>
              <w:spacing w:after="0" w:line="264"/>
            </w:pPr>
            <w:r>
              <w:rPr>
                <w:color w:val="1A1A1A"/>
                <w:sz w:val="19"/>
                <w:szCs w:val="19"/>
              </w:rPr>
              <w:t xml:space="preserve">/how-it-works</w:t>
            </w:r>
          </w:p>
        </w:tc>
        <w:tc>
          <w:tcPr>
            <w:tcW w:type="dxa" w:w="5860"/>
            <w:tcMar>
              <w:top w:type="dxa" w:w="90"/>
              <w:left w:type="dxa" w:w="130"/>
              <w:bottom w:type="dxa" w:w="90"/>
              <w:right w:type="dxa" w:w="130"/>
            </w:tcMar>
          </w:tcPr>
          <w:p>
            <w:pPr>
              <w:spacing w:after="0" w:line="264"/>
            </w:pPr>
            <w:r>
              <w:rPr>
                <w:color w:val="1A1A1A"/>
                <w:sz w:val="19"/>
                <w:szCs w:val="19"/>
              </w:rPr>
              <w:t xml:space="preserve">High value. Three or four steps with real screenshots. Removes the main objection: 'is this just another calorie app?'</w:t>
            </w:r>
          </w:p>
        </w:tc>
      </w:tr>
      <w:tr>
        <w:tc>
          <w:tcPr>
            <w:tcW w:type="dxa" w:w="1750"/>
            <w:tcMar>
              <w:top w:type="dxa" w:w="90"/>
              <w:left w:type="dxa" w:w="130"/>
              <w:bottom w:type="dxa" w:w="90"/>
              <w:right w:type="dxa" w:w="130"/>
            </w:tcMar>
          </w:tcPr>
          <w:p>
            <w:pPr>
              <w:spacing w:after="0" w:line="264"/>
            </w:pPr>
            <w:r>
              <w:rPr>
                <w:color w:val="1A1A1A"/>
                <w:sz w:val="19"/>
                <w:szCs w:val="19"/>
              </w:rPr>
              <w:t xml:space="preserve">Pricing</w:t>
            </w:r>
          </w:p>
        </w:tc>
        <w:tc>
          <w:tcPr>
            <w:tcW w:type="dxa" w:w="1750"/>
            <w:tcMar>
              <w:top w:type="dxa" w:w="90"/>
              <w:left w:type="dxa" w:w="130"/>
              <w:bottom w:type="dxa" w:w="90"/>
              <w:right w:type="dxa" w:w="130"/>
            </w:tcMar>
          </w:tcPr>
          <w:p>
            <w:pPr>
              <w:spacing w:after="0" w:line="264"/>
            </w:pPr>
            <w:r>
              <w:rPr>
                <w:color w:val="1A1A1A"/>
                <w:sz w:val="19"/>
                <w:szCs w:val="19"/>
              </w:rPr>
              <w:t xml:space="preserve">/pricing</w:t>
            </w:r>
          </w:p>
        </w:tc>
        <w:tc>
          <w:tcPr>
            <w:tcW w:type="dxa" w:w="5860"/>
            <w:tcMar>
              <w:top w:type="dxa" w:w="90"/>
              <w:left w:type="dxa" w:w="130"/>
              <w:bottom w:type="dxa" w:w="90"/>
              <w:right w:type="dxa" w:w="130"/>
            </w:tcMar>
          </w:tcPr>
          <w:p>
            <w:pPr>
              <w:spacing w:after="0" w:line="264"/>
            </w:pPr>
            <w:r>
              <w:rPr>
                <w:color w:val="1A1A1A"/>
                <w:sz w:val="19"/>
                <w:szCs w:val="19"/>
              </w:rPr>
              <w:t xml:space="preserve">ESSENTIAL. Free vs Premium. Must exist before you can sell anything (Phase 3).</w:t>
            </w:r>
          </w:p>
        </w:tc>
      </w:tr>
      <w:tr>
        <w:tc>
          <w:tcPr>
            <w:tcW w:type="dxa" w:w="1750"/>
            <w:tcMar>
              <w:top w:type="dxa" w:w="90"/>
              <w:left w:type="dxa" w:w="130"/>
              <w:bottom w:type="dxa" w:w="90"/>
              <w:right w:type="dxa" w:w="130"/>
            </w:tcMar>
          </w:tcPr>
          <w:p>
            <w:pPr>
              <w:spacing w:after="0" w:line="264"/>
            </w:pPr>
            <w:r>
              <w:rPr>
                <w:color w:val="1A1A1A"/>
                <w:sz w:val="19"/>
                <w:szCs w:val="19"/>
              </w:rPr>
              <w:t xml:space="preserve">Privacy policy</w:t>
            </w:r>
          </w:p>
        </w:tc>
        <w:tc>
          <w:tcPr>
            <w:tcW w:type="dxa" w:w="1750"/>
            <w:tcMar>
              <w:top w:type="dxa" w:w="90"/>
              <w:left w:type="dxa" w:w="130"/>
              <w:bottom w:type="dxa" w:w="90"/>
              <w:right w:type="dxa" w:w="130"/>
            </w:tcMar>
          </w:tcPr>
          <w:p>
            <w:pPr>
              <w:spacing w:after="0" w:line="264"/>
            </w:pPr>
            <w:r>
              <w:rPr>
                <w:color w:val="1A1A1A"/>
                <w:sz w:val="19"/>
                <w:szCs w:val="19"/>
              </w:rPr>
              <w:t xml:space="preserve">/privacy</w:t>
            </w:r>
          </w:p>
        </w:tc>
        <w:tc>
          <w:tcPr>
            <w:tcW w:type="dxa" w:w="5860"/>
            <w:tcMar>
              <w:top w:type="dxa" w:w="90"/>
              <w:left w:type="dxa" w:w="130"/>
              <w:bottom w:type="dxa" w:w="90"/>
              <w:right w:type="dxa" w:w="130"/>
            </w:tcMar>
          </w:tcPr>
          <w:p>
            <w:pPr>
              <w:spacing w:after="0" w:line="264"/>
            </w:pPr>
            <w:r>
              <w:rPr>
                <w:color w:val="1A1A1A"/>
                <w:sz w:val="19"/>
                <w:szCs w:val="19"/>
              </w:rPr>
              <w:t xml:space="preserve">MANDATORY. Public. Required by AdSense and Play. Must disclose ad cookies, analytics, health data and AI processing.</w:t>
            </w:r>
          </w:p>
        </w:tc>
      </w:tr>
      <w:tr>
        <w:tc>
          <w:tcPr>
            <w:tcW w:type="dxa" w:w="1750"/>
            <w:tcMar>
              <w:top w:type="dxa" w:w="90"/>
              <w:left w:type="dxa" w:w="130"/>
              <w:bottom w:type="dxa" w:w="90"/>
              <w:right w:type="dxa" w:w="130"/>
            </w:tcMar>
          </w:tcPr>
          <w:p>
            <w:pPr>
              <w:spacing w:after="0" w:line="264"/>
            </w:pPr>
            <w:r>
              <w:rPr>
                <w:color w:val="1A1A1A"/>
                <w:sz w:val="19"/>
                <w:szCs w:val="19"/>
              </w:rPr>
              <w:t xml:space="preserve">Terms of service</w:t>
            </w:r>
          </w:p>
        </w:tc>
        <w:tc>
          <w:tcPr>
            <w:tcW w:type="dxa" w:w="1750"/>
            <w:tcMar>
              <w:top w:type="dxa" w:w="90"/>
              <w:left w:type="dxa" w:w="130"/>
              <w:bottom w:type="dxa" w:w="90"/>
              <w:right w:type="dxa" w:w="130"/>
            </w:tcMar>
          </w:tcPr>
          <w:p>
            <w:pPr>
              <w:spacing w:after="0" w:line="264"/>
            </w:pPr>
            <w:r>
              <w:rPr>
                <w:color w:val="1A1A1A"/>
                <w:sz w:val="19"/>
                <w:szCs w:val="19"/>
              </w:rPr>
              <w:t xml:space="preserve">/terms</w:t>
            </w:r>
          </w:p>
        </w:tc>
        <w:tc>
          <w:tcPr>
            <w:tcW w:type="dxa" w:w="5860"/>
            <w:tcMar>
              <w:top w:type="dxa" w:w="90"/>
              <w:left w:type="dxa" w:w="130"/>
              <w:bottom w:type="dxa" w:w="90"/>
              <w:right w:type="dxa" w:w="130"/>
            </w:tcMar>
          </w:tcPr>
          <w:p>
            <w:pPr>
              <w:spacing w:after="0" w:line="264"/>
            </w:pPr>
            <w:r>
              <w:rPr>
                <w:color w:val="1A1A1A"/>
                <w:sz w:val="19"/>
                <w:szCs w:val="19"/>
              </w:rPr>
              <w:t xml:space="preserve">MANDATORY. Public.</w:t>
            </w:r>
          </w:p>
        </w:tc>
      </w:tr>
      <w:tr>
        <w:tc>
          <w:tcPr>
            <w:tcW w:type="dxa" w:w="1750"/>
            <w:tcMar>
              <w:top w:type="dxa" w:w="90"/>
              <w:left w:type="dxa" w:w="130"/>
              <w:bottom w:type="dxa" w:w="90"/>
              <w:right w:type="dxa" w:w="130"/>
            </w:tcMar>
          </w:tcPr>
          <w:p>
            <w:pPr>
              <w:spacing w:after="0" w:line="264"/>
            </w:pPr>
            <w:r>
              <w:rPr>
                <w:color w:val="1A1A1A"/>
                <w:sz w:val="19"/>
                <w:szCs w:val="19"/>
              </w:rPr>
              <w:t xml:space="preserve">About</w:t>
            </w:r>
          </w:p>
        </w:tc>
        <w:tc>
          <w:tcPr>
            <w:tcW w:type="dxa" w:w="1750"/>
            <w:tcMar>
              <w:top w:type="dxa" w:w="90"/>
              <w:left w:type="dxa" w:w="130"/>
              <w:bottom w:type="dxa" w:w="90"/>
              <w:right w:type="dxa" w:w="130"/>
            </w:tcMar>
          </w:tcPr>
          <w:p>
            <w:pPr>
              <w:spacing w:after="0" w:line="264"/>
            </w:pPr>
            <w:r>
              <w:rPr>
                <w:color w:val="1A1A1A"/>
                <w:sz w:val="19"/>
                <w:szCs w:val="19"/>
              </w:rPr>
              <w:t xml:space="preserve">/about</w:t>
            </w:r>
          </w:p>
        </w:tc>
        <w:tc>
          <w:tcPr>
            <w:tcW w:type="dxa" w:w="5860"/>
            <w:tcMar>
              <w:top w:type="dxa" w:w="90"/>
              <w:left w:type="dxa" w:w="130"/>
              <w:bottom w:type="dxa" w:w="90"/>
              <w:right w:type="dxa" w:w="130"/>
            </w:tcMar>
          </w:tcPr>
          <w:p>
            <w:pPr>
              <w:spacing w:after="0" w:line="264"/>
            </w:pPr>
            <w:r>
              <w:rPr>
                <w:color w:val="1A1A1A"/>
                <w:sz w:val="19"/>
                <w:szCs w:val="19"/>
              </w:rPr>
              <w:t xml:space="preserve">Trust signal. A real founder story materially helps AdSense review and user trust.</w:t>
            </w:r>
          </w:p>
        </w:tc>
      </w:tr>
      <w:tr>
        <w:tc>
          <w:tcPr>
            <w:tcW w:type="dxa" w:w="1750"/>
            <w:tcMar>
              <w:top w:type="dxa" w:w="90"/>
              <w:left w:type="dxa" w:w="130"/>
              <w:bottom w:type="dxa" w:w="90"/>
              <w:right w:type="dxa" w:w="130"/>
            </w:tcMar>
          </w:tcPr>
          <w:p>
            <w:pPr>
              <w:spacing w:after="0" w:line="264"/>
            </w:pPr>
            <w:r>
              <w:rPr>
                <w:color w:val="1A1A1A"/>
                <w:sz w:val="19"/>
                <w:szCs w:val="19"/>
              </w:rPr>
              <w:t xml:space="preserve">Contact / support</w:t>
            </w:r>
          </w:p>
        </w:tc>
        <w:tc>
          <w:tcPr>
            <w:tcW w:type="dxa" w:w="1750"/>
            <w:tcMar>
              <w:top w:type="dxa" w:w="90"/>
              <w:left w:type="dxa" w:w="130"/>
              <w:bottom w:type="dxa" w:w="90"/>
              <w:right w:type="dxa" w:w="130"/>
            </w:tcMar>
          </w:tcPr>
          <w:p>
            <w:pPr>
              <w:spacing w:after="0" w:line="264"/>
            </w:pPr>
            <w:r>
              <w:rPr>
                <w:color w:val="1A1A1A"/>
                <w:sz w:val="19"/>
                <w:szCs w:val="19"/>
              </w:rPr>
              <w:t xml:space="preserve">/contact</w:t>
            </w:r>
          </w:p>
        </w:tc>
        <w:tc>
          <w:tcPr>
            <w:tcW w:type="dxa" w:w="5860"/>
            <w:tcMar>
              <w:top w:type="dxa" w:w="90"/>
              <w:left w:type="dxa" w:w="130"/>
              <w:bottom w:type="dxa" w:w="90"/>
              <w:right w:type="dxa" w:w="130"/>
            </w:tcMar>
          </w:tcPr>
          <w:p>
            <w:pPr>
              <w:spacing w:after="0" w:line="264"/>
            </w:pPr>
            <w:r>
              <w:rPr>
                <w:color w:val="1A1A1A"/>
                <w:sz w:val="19"/>
                <w:szCs w:val="19"/>
              </w:rPr>
              <w:t xml:space="preserve">MANDATORY for Play. A monitored support email is a store-listing requirement.</w:t>
            </w:r>
          </w:p>
        </w:tc>
      </w:tr>
      <w:tr>
        <w:tc>
          <w:tcPr>
            <w:tcW w:type="dxa" w:w="1750"/>
            <w:tcMar>
              <w:top w:type="dxa" w:w="90"/>
              <w:left w:type="dxa" w:w="130"/>
              <w:bottom w:type="dxa" w:w="90"/>
              <w:right w:type="dxa" w:w="130"/>
            </w:tcMar>
          </w:tcPr>
          <w:p>
            <w:pPr>
              <w:spacing w:after="0" w:line="264"/>
            </w:pPr>
            <w:r>
              <w:rPr>
                <w:color w:val="1A1A1A"/>
                <w:sz w:val="19"/>
                <w:szCs w:val="19"/>
              </w:rPr>
              <w:t xml:space="preserve">FAQ</w:t>
            </w:r>
          </w:p>
        </w:tc>
        <w:tc>
          <w:tcPr>
            <w:tcW w:type="dxa" w:w="1750"/>
            <w:tcMar>
              <w:top w:type="dxa" w:w="90"/>
              <w:left w:type="dxa" w:w="130"/>
              <w:bottom w:type="dxa" w:w="90"/>
              <w:right w:type="dxa" w:w="130"/>
            </w:tcMar>
          </w:tcPr>
          <w:p>
            <w:pPr>
              <w:spacing w:after="0" w:line="264"/>
            </w:pPr>
            <w:r>
              <w:rPr>
                <w:color w:val="1A1A1A"/>
                <w:sz w:val="19"/>
                <w:szCs w:val="19"/>
              </w:rPr>
              <w:t xml:space="preserve">/faq</w:t>
            </w:r>
          </w:p>
        </w:tc>
        <w:tc>
          <w:tcPr>
            <w:tcW w:type="dxa" w:w="5860"/>
            <w:tcMar>
              <w:top w:type="dxa" w:w="90"/>
              <w:left w:type="dxa" w:w="130"/>
              <w:bottom w:type="dxa" w:w="90"/>
              <w:right w:type="dxa" w:w="130"/>
            </w:tcMar>
          </w:tcPr>
          <w:p>
            <w:pPr>
              <w:spacing w:after="0" w:line="264"/>
            </w:pPr>
            <w:r>
              <w:rPr>
                <w:color w:val="1A1A1A"/>
                <w:sz w:val="19"/>
                <w:szCs w:val="19"/>
              </w:rPr>
              <w:t xml:space="preserve">High SEO value; add FAQPage structured data.</w:t>
            </w:r>
          </w:p>
        </w:tc>
      </w:tr>
      <w:tr>
        <w:tc>
          <w:tcPr>
            <w:tcW w:type="dxa" w:w="1750"/>
            <w:tcMar>
              <w:top w:type="dxa" w:w="90"/>
              <w:left w:type="dxa" w:w="130"/>
              <w:bottom w:type="dxa" w:w="90"/>
              <w:right w:type="dxa" w:w="130"/>
            </w:tcMar>
          </w:tcPr>
          <w:p>
            <w:pPr>
              <w:spacing w:after="0" w:line="264"/>
            </w:pPr>
            <w:r>
              <w:rPr>
                <w:color w:val="1A1A1A"/>
                <w:sz w:val="19"/>
                <w:szCs w:val="19"/>
              </w:rPr>
              <w:t xml:space="preserve">Blog index + posts</w:t>
            </w:r>
          </w:p>
        </w:tc>
        <w:tc>
          <w:tcPr>
            <w:tcW w:type="dxa" w:w="1750"/>
            <w:tcMar>
              <w:top w:type="dxa" w:w="90"/>
              <w:left w:type="dxa" w:w="130"/>
              <w:bottom w:type="dxa" w:w="90"/>
              <w:right w:type="dxa" w:w="130"/>
            </w:tcMar>
          </w:tcPr>
          <w:p>
            <w:pPr>
              <w:spacing w:after="0" w:line="264"/>
            </w:pPr>
            <w:r>
              <w:rPr>
                <w:color w:val="1A1A1A"/>
                <w:sz w:val="19"/>
                <w:szCs w:val="19"/>
              </w:rPr>
              <w:t xml:space="preserve">/blog, /blog/[slug]</w:t>
            </w:r>
          </w:p>
        </w:tc>
        <w:tc>
          <w:tcPr>
            <w:tcW w:type="dxa" w:w="5860"/>
            <w:tcMar>
              <w:top w:type="dxa" w:w="90"/>
              <w:left w:type="dxa" w:w="130"/>
              <w:bottom w:type="dxa" w:w="90"/>
              <w:right w:type="dxa" w:w="130"/>
            </w:tcMar>
          </w:tcPr>
          <w:p>
            <w:pPr>
              <w:spacing w:after="0" w:line="264"/>
            </w:pPr>
            <w:r>
              <w:rPr>
                <w:color w:val="1A1A1A"/>
                <w:sz w:val="19"/>
                <w:szCs w:val="19"/>
              </w:rPr>
              <w:t xml:space="preserve">ESSENTIAL for AdSense. This is where the original content lives.</w:t>
            </w:r>
          </w:p>
        </w:tc>
      </w:tr>
    </w:tbl>
    <w:p>
      <w:pPr>
        <w:pStyle w:val="Heading2"/>
        <w:spacing w:after="120" w:before="260"/>
      </w:pPr>
      <w:r>
        <w:rPr>
          <w:b/>
          <w:bCs/>
          <w:color w:val="1A1A1A"/>
          <w:sz w:val="24"/>
          <w:szCs w:val="24"/>
        </w:rPr>
        <w:t xml:space="preserve">3.3 The content that actually gets you approved</w:t>
      </w:r>
    </w:p>
    <w:p>
      <w:pPr>
        <w:spacing w:after="120" w:line="276"/>
      </w:pPr>
      <w:r>
        <w:rPr>
          <w:color w:val="1A1A1A"/>
          <w:sz w:val="21"/>
          <w:szCs w:val="21"/>
        </w:rPr>
        <w:t xml:space="preserve">AdSense does not reject applications for ugly design. It rejects them for thin or absent original content. A ten-page site where nine pages are UI and one is a form will not pass. Plan on 8–12 substantial articles (900–1,500 words each) before applying.</w:t>
      </w:r>
    </w:p>
    <w:p>
      <w:pPr>
        <w:spacing w:after="120" w:line="276"/>
      </w:pPr>
      <w:r>
        <w:rPr>
          <w:color w:val="1A1A1A"/>
          <w:sz w:val="21"/>
          <w:szCs w:val="21"/>
        </w:rPr>
        <w:t xml:space="preserve">Write for questions real Indian users type, which is also where your organic traffic will come from:</w:t>
      </w:r>
    </w:p>
    <w:p>
      <w:pPr>
        <w:pStyle w:val="ListParagraph"/>
        <w:numPr>
          <w:ilvl w:val="0"/>
          <w:numId w:val="2"/>
        </w:numPr>
        <w:spacing w:after="80" w:line="276"/>
      </w:pPr>
      <w:r>
        <w:rPr>
          <w:color w:val="1A1A1A"/>
          <w:sz w:val="21"/>
          <w:szCs w:val="21"/>
        </w:rPr>
        <w:t xml:space="preserve">Calorie and macro breakdowns of Indian foods — roti, dal, poha, dosa, biryani, paneer dishes</w:t>
      </w:r>
    </w:p>
    <w:p>
      <w:pPr>
        <w:pStyle w:val="ListParagraph"/>
        <w:numPr>
          <w:ilvl w:val="0"/>
          <w:numId w:val="2"/>
        </w:numPr>
        <w:spacing w:after="80" w:line="276"/>
      </w:pPr>
      <w:r>
        <w:rPr>
          <w:color w:val="1A1A1A"/>
          <w:sz w:val="21"/>
          <w:szCs w:val="21"/>
        </w:rPr>
        <w:t xml:space="preserve">"How many calories in ___" pages, which map directly onto the food database you already own</w:t>
      </w:r>
    </w:p>
    <w:p>
      <w:pPr>
        <w:pStyle w:val="ListParagraph"/>
        <w:numPr>
          <w:ilvl w:val="0"/>
          <w:numId w:val="2"/>
        </w:numPr>
        <w:spacing w:after="80" w:line="276"/>
      </w:pPr>
      <w:r>
        <w:rPr>
          <w:color w:val="1A1A1A"/>
          <w:sz w:val="21"/>
          <w:szCs w:val="21"/>
        </w:rPr>
        <w:t xml:space="preserve">Practical guides: protein targets for vegetarians in India, gym-free home workouts, reading Indian nutrition labels</w:t>
      </w:r>
    </w:p>
    <w:p>
      <w:pPr>
        <w:pStyle w:val="ListParagraph"/>
        <w:numPr>
          <w:ilvl w:val="0"/>
          <w:numId w:val="2"/>
        </w:numPr>
        <w:spacing w:after="80" w:line="276"/>
      </w:pPr>
      <w:r>
        <w:rPr>
          <w:color w:val="1A1A1A"/>
          <w:sz w:val="21"/>
          <w:szCs w:val="21"/>
        </w:rPr>
        <w:t xml:space="preserve">Comparisons and explainers where you can be genuinely useful rather than generic</w:t>
      </w:r>
    </w:p>
    <w:tbl>
      <w:tblPr>
        <w:tblW w:type="dxa" w:w="9360"/>
        <w:tblBorders>
          <w:top w:val="single" w:color="1B7A4A" w:sz="2"/>
          <w:left w:val="single" w:color="1B7A4A" w:sz="18"/>
          <w:bottom w:val="single" w:color="1B7A4A" w:sz="2"/>
          <w:right w:val="single" w:color="1B7A4A" w:sz="2"/>
          <w:insideH w:val="none" w:color="auto" w:sz="0"/>
          <w:insideV w:val="none" w:color="auto" w:sz="0"/>
        </w:tblBorders>
      </w:tblPr>
      <w:tblGrid>
        <w:gridCol w:w="9360"/>
      </w:tblGrid>
      <w:tr>
        <w:tc>
          <w:tcPr>
            <w:tcW w:type="dxa" w:w="9360"/>
            <w:shd w:fill="EEF4F0" w:val="clear"/>
            <w:tcMar>
              <w:top w:type="dxa" w:w="140"/>
              <w:left w:type="dxa" w:w="180"/>
              <w:bottom w:type="dxa" w:w="140"/>
              <w:right w:type="dxa" w:w="180"/>
            </w:tcMar>
          </w:tcPr>
          <w:p>
            <w:pPr>
              <w:spacing w:after="60"/>
            </w:pPr>
            <w:r>
              <w:rPr>
                <w:b/>
                <w:bCs/>
                <w:color w:val="1B7A4A"/>
                <w:sz w:val="21"/>
                <w:szCs w:val="21"/>
              </w:rPr>
              <w:t xml:space="preserve">Your food database is an unfair advantage here</w:t>
            </w:r>
          </w:p>
          <w:p>
            <w:pPr>
              <w:spacing w:after="40" w:line="276"/>
            </w:pPr>
            <w:r>
              <w:rPr>
                <w:color w:val="1A1A1A"/>
                <w:sz w:val="20"/>
                <w:szCs w:val="20"/>
              </w:rPr>
              <w:t xml:space="preserve">You already hold a fuzzy-searchable foods table in Cloud SQL. Programmatically generated, genuinely useful '/food/[slug]' pages — real nutrition data per food, server-rendered and crawlable — could become your largest source of organic traffic. Build a few by hand first and confirm they rank; only then generate at scale, and never publish thin auto-generated stubs, which Google penalises.</w:t>
            </w:r>
          </w:p>
        </w:tc>
      </w:tr>
    </w:tbl>
    <w:p>
      <w:pPr>
        <w:pStyle w:val="Heading2"/>
        <w:spacing w:after="120" w:before="260"/>
      </w:pPr>
      <w:r>
        <w:rPr>
          <w:b/>
          <w:bCs/>
          <w:color w:val="1A1A1A"/>
          <w:sz w:val="24"/>
          <w:szCs w:val="24"/>
        </w:rPr>
        <w:t xml:space="preserve">3.4 SEO foundation (do it once, properly)</w:t>
      </w:r>
    </w:p>
    <w:p>
      <w:pPr>
        <w:pStyle w:val="ListParagraph"/>
        <w:numPr>
          <w:ilvl w:val="0"/>
          <w:numId w:val="3"/>
        </w:numPr>
        <w:spacing w:after="80" w:line="276"/>
      </w:pPr>
      <w:r>
        <w:rPr>
          <w:color w:val="1A1A1A"/>
          <w:sz w:val="21"/>
          <w:szCs w:val="21"/>
        </w:rPr>
        <w:t xml:space="preserve">Per-page metadata: unique title and description on every marketing route via the Next.js metadata export.</w:t>
      </w:r>
    </w:p>
    <w:p>
      <w:pPr>
        <w:pStyle w:val="ListParagraph"/>
        <w:numPr>
          <w:ilvl w:val="0"/>
          <w:numId w:val="3"/>
        </w:numPr>
        <w:spacing w:after="80" w:line="276"/>
      </w:pPr>
      <w:r>
        <w:rPr>
          <w:color w:val="1A1A1A"/>
          <w:sz w:val="21"/>
          <w:szCs w:val="21"/>
        </w:rPr>
        <w:t xml:space="preserve">Open Graph and Twitter card images so shared links render properly.</w:t>
      </w:r>
    </w:p>
    <w:p>
      <w:pPr>
        <w:pStyle w:val="ListParagraph"/>
        <w:numPr>
          <w:ilvl w:val="0"/>
          <w:numId w:val="3"/>
        </w:numPr>
        <w:spacing w:after="80" w:line="276"/>
      </w:pPr>
      <w:r>
        <w:rPr>
          <w:color w:val="1A1A1A"/>
          <w:sz w:val="21"/>
          <w:szCs w:val="21"/>
        </w:rPr>
        <w:t xml:space="preserve">Structured data (JSON-LD): Organization and SoftwareApplication on the landing page, FAQPage on the FAQ, Article on blog posts.</w:t>
      </w:r>
    </w:p>
    <w:p>
      <w:pPr>
        <w:pStyle w:val="ListParagraph"/>
        <w:numPr>
          <w:ilvl w:val="0"/>
          <w:numId w:val="3"/>
        </w:numPr>
        <w:spacing w:after="80" w:line="276"/>
      </w:pPr>
      <w:r>
        <w:rPr>
          <w:color w:val="1A1A1A"/>
          <w:sz w:val="21"/>
          <w:szCs w:val="21"/>
        </w:rPr>
        <w:t xml:space="preserve">Fix robots.ts — keep /api/ and /profile disallowed, but ensure the new public /privacy and /terms are allowed.</w:t>
      </w:r>
    </w:p>
    <w:p>
      <w:pPr>
        <w:pStyle w:val="ListParagraph"/>
        <w:numPr>
          <w:ilvl w:val="0"/>
          <w:numId w:val="3"/>
        </w:numPr>
        <w:spacing w:after="80" w:line="276"/>
      </w:pPr>
      <w:r>
        <w:rPr>
          <w:color w:val="1A1A1A"/>
          <w:sz w:val="21"/>
          <w:szCs w:val="21"/>
        </w:rPr>
        <w:t xml:space="preserve">Fix sitemap.ts — remove the /profile/... entries, add every marketing route and every blog post.</w:t>
      </w:r>
    </w:p>
    <w:p>
      <w:pPr>
        <w:pStyle w:val="ListParagraph"/>
        <w:numPr>
          <w:ilvl w:val="0"/>
          <w:numId w:val="3"/>
        </w:numPr>
        <w:spacing w:after="80" w:line="276"/>
      </w:pPr>
      <w:r>
        <w:rPr>
          <w:color w:val="1A1A1A"/>
          <w:sz w:val="21"/>
          <w:szCs w:val="21"/>
        </w:rPr>
        <w:t xml:space="preserve">Verify calolean.com in Google Search Console and submit the sitemap.</w:t>
      </w:r>
    </w:p>
    <w:p>
      <w:pPr>
        <w:pStyle w:val="ListParagraph"/>
        <w:numPr>
          <w:ilvl w:val="0"/>
          <w:numId w:val="3"/>
        </w:numPr>
        <w:spacing w:after="80" w:line="276"/>
      </w:pPr>
      <w:r>
        <w:rPr>
          <w:color w:val="1A1A1A"/>
          <w:sz w:val="21"/>
          <w:szCs w:val="21"/>
        </w:rPr>
        <w:t xml:space="preserve">Confirm NEXT_PUBLIC_GA_MEASUREMENT_ID is set so GA4 is actually recording (the plumbing already exists).</w:t>
      </w:r>
    </w:p>
    <w:p>
      <w:pPr>
        <w:pStyle w:val="Heading2"/>
        <w:spacing w:after="120" w:before="260"/>
      </w:pPr>
      <w:r>
        <w:rPr>
          <w:b/>
          <w:bCs/>
          <w:color w:val="1A1A1A"/>
          <w:sz w:val="24"/>
          <w:szCs w:val="24"/>
        </w:rPr>
        <w:t xml:space="preserve">3.5 Definition of done</w:t>
      </w:r>
    </w:p>
    <w:p>
      <w:pPr>
        <w:pStyle w:val="ListParagraph"/>
        <w:numPr>
          <w:ilvl w:val="0"/>
          <w:numId w:val="2"/>
        </w:numPr>
        <w:spacing w:after="80" w:line="276"/>
      </w:pPr>
      <w:r>
        <w:rPr>
          <w:color w:val="1A1A1A"/>
          <w:sz w:val="21"/>
          <w:szCs w:val="21"/>
        </w:rPr>
        <w:t xml:space="preserve">calolean.com/ shows a real landing page to a signed-out visitor, server-rendered.</w:t>
      </w:r>
    </w:p>
    <w:p>
      <w:pPr>
        <w:pStyle w:val="ListParagraph"/>
        <w:numPr>
          <w:ilvl w:val="0"/>
          <w:numId w:val="2"/>
        </w:numPr>
        <w:spacing w:after="80" w:line="276"/>
      </w:pPr>
      <w:r>
        <w:rPr>
          <w:color w:val="1A1A1A"/>
          <w:sz w:val="21"/>
          <w:szCs w:val="21"/>
        </w:rPr>
        <w:t xml:space="preserve">Viewing source (JavaScript disabled) shows readable content, not an empty div.</w:t>
      </w:r>
    </w:p>
    <w:p>
      <w:pPr>
        <w:pStyle w:val="ListParagraph"/>
        <w:numPr>
          <w:ilvl w:val="0"/>
          <w:numId w:val="2"/>
        </w:numPr>
        <w:spacing w:after="80" w:line="276"/>
      </w:pPr>
      <w:r>
        <w:rPr>
          <w:color w:val="1A1A1A"/>
          <w:sz w:val="21"/>
          <w:szCs w:val="21"/>
        </w:rPr>
        <w:t xml:space="preserve">/privacy and /terms load publicly, with no sign-in and no redirect.</w:t>
      </w:r>
    </w:p>
    <w:p>
      <w:pPr>
        <w:pStyle w:val="ListParagraph"/>
        <w:numPr>
          <w:ilvl w:val="0"/>
          <w:numId w:val="2"/>
        </w:numPr>
        <w:spacing w:after="80" w:line="276"/>
      </w:pPr>
      <w:r>
        <w:rPr>
          <w:color w:val="1A1A1A"/>
          <w:sz w:val="21"/>
          <w:szCs w:val="21"/>
        </w:rPr>
        <w:t xml:space="preserve">At least 8 blog posts are published.</w:t>
      </w:r>
    </w:p>
    <w:p>
      <w:pPr>
        <w:pStyle w:val="ListParagraph"/>
        <w:numPr>
          <w:ilvl w:val="0"/>
          <w:numId w:val="2"/>
        </w:numPr>
        <w:spacing w:after="80" w:line="276"/>
      </w:pPr>
      <w:r>
        <w:rPr>
          <w:color w:val="1A1A1A"/>
          <w:sz w:val="21"/>
          <w:szCs w:val="21"/>
        </w:rPr>
        <w:t xml:space="preserve">Search Console is verified and the sitemap is submitted without errors.</w:t>
      </w:r>
    </w:p>
    <w:p>
      <w:pPr>
        <w:pStyle w:val="ListParagraph"/>
        <w:numPr>
          <w:ilvl w:val="0"/>
          <w:numId w:val="2"/>
        </w:numPr>
        <w:spacing w:after="80" w:line="276"/>
      </w:pPr>
      <w:r>
        <w:rPr>
          <w:color w:val="1A1A1A"/>
          <w:sz w:val="21"/>
          <w:szCs w:val="21"/>
        </w:rPr>
        <w:t xml:space="preserve">An authenticated user hitting / is redirected to the app rather than shown marketing copy.</w:t>
      </w:r>
    </w:p>
    <w:p>
      <w:r>
        <w:br w:type="page"/>
      </w:r>
    </w:p>
    <w:p>
      <w:pPr>
        <w:pStyle w:val="Heading1"/>
        <w:spacing w:after="160" w:before="360"/>
      </w:pPr>
      <w:r>
        <w:rPr>
          <w:b/>
          <w:bCs/>
          <w:color w:val="1B7A4A"/>
          <w:sz w:val="30"/>
          <w:szCs w:val="30"/>
        </w:rPr>
        <w:t xml:space="preserve">4. Phase 2 — Ads &amp; Affiliate Revenue</w:t>
      </w:r>
    </w:p>
    <w:p>
      <w:pPr>
        <w:spacing w:after="120" w:line="276"/>
      </w:pPr>
      <w:r>
        <w:rPr>
          <w:b/>
          <w:bCs/>
          <w:color w:val="1A1A1A"/>
          <w:sz w:val="21"/>
          <w:szCs w:val="21"/>
        </w:rPr>
        <w:t xml:space="preserve">Duration: </w:t>
      </w:r>
      <w:r>
        <w:rPr>
          <w:color w:val="1A1A1A"/>
          <w:sz w:val="21"/>
          <w:szCs w:val="21"/>
        </w:rPr>
        <w:t xml:space="preserve">2–3 days of work, then 1–4 weeks waiting on Google. </w:t>
      </w:r>
      <w:r>
        <w:rPr>
          <w:b/>
          <w:bCs/>
          <w:color w:val="1A1A1A"/>
          <w:sz w:val="21"/>
          <w:szCs w:val="21"/>
        </w:rPr>
        <w:t xml:space="preserve">Depends on: </w:t>
      </w:r>
      <w:r>
        <w:rPr>
          <w:color w:val="1A1A1A"/>
          <w:sz w:val="21"/>
          <w:szCs w:val="21"/>
        </w:rPr>
        <w:t xml:space="preserve">Phase 1 being genuinely complete.</w:t>
      </w:r>
    </w:p>
    <w:p>
      <w:pPr>
        <w:pStyle w:val="Heading2"/>
        <w:spacing w:after="120" w:before="260"/>
      </w:pPr>
      <w:r>
        <w:rPr>
          <w:b/>
          <w:bCs/>
          <w:color w:val="1A1A1A"/>
          <w:sz w:val="24"/>
          <w:szCs w:val="24"/>
        </w:rPr>
        <w:t xml:space="preserve">4.1 The good news</w:t>
      </w:r>
    </w:p>
    <w:p>
      <w:pPr>
        <w:spacing w:after="120" w:line="276"/>
      </w:pPr>
      <w:r>
        <w:rPr>
          <w:color w:val="1A1A1A"/>
          <w:sz w:val="21"/>
          <w:szCs w:val="21"/>
        </w:rPr>
        <w:t xml:space="preserve">Your ad implementation is already written and is unusually well designed for policy compliance. AdCard.tsx targets ads only from a database-verified keyword whitelist produced server-side — never from raw chat text — which keeps you clear of the rule against using personal or sensitive user content for ad targeting. ConsentManager.tsx already loads Funding Choices for EEA/UK consent. Nothing needs building; it needs switching on.</w:t>
      </w:r>
    </w:p>
    <w:p>
      <w:pPr>
        <w:pStyle w:val="Heading2"/>
        <w:spacing w:after="120" w:before="260"/>
      </w:pPr>
      <w:r>
        <w:rPr>
          <w:b/>
          <w:bCs/>
          <w:color w:val="1A1A1A"/>
          <w:sz w:val="24"/>
          <w:szCs w:val="24"/>
        </w:rPr>
        <w:t xml:space="preserve">4.2 Steps</w:t>
      </w:r>
    </w:p>
    <w:p>
      <w:pPr>
        <w:pStyle w:val="ListParagraph"/>
        <w:numPr>
          <w:ilvl w:val="0"/>
          <w:numId w:val="3"/>
        </w:numPr>
        <w:spacing w:after="80" w:line="276"/>
      </w:pPr>
      <w:r>
        <w:rPr>
          <w:color w:val="1A1A1A"/>
          <w:sz w:val="21"/>
          <w:szCs w:val="21"/>
        </w:rPr>
        <w:t xml:space="preserve">Apply at adsense.google.com with calolean.com, only after Phase 1 is live and the blog has real content.</w:t>
      </w:r>
    </w:p>
    <w:p>
      <w:pPr>
        <w:pStyle w:val="ListParagraph"/>
        <w:numPr>
          <w:ilvl w:val="0"/>
          <w:numId w:val="3"/>
        </w:numPr>
        <w:spacing w:after="80" w:line="276"/>
      </w:pPr>
      <w:r>
        <w:rPr>
          <w:color w:val="1A1A1A"/>
          <w:sz w:val="21"/>
          <w:szCs w:val="21"/>
        </w:rPr>
        <w:t xml:space="preserve">Add the verification snippet, or confirm ownership through Search Console.</w:t>
      </w:r>
    </w:p>
    <w:p>
      <w:pPr>
        <w:pStyle w:val="ListParagraph"/>
        <w:numPr>
          <w:ilvl w:val="0"/>
          <w:numId w:val="3"/>
        </w:numPr>
        <w:spacing w:after="80" w:line="276"/>
      </w:pPr>
      <w:r>
        <w:rPr>
          <w:color w:val="1A1A1A"/>
          <w:sz w:val="21"/>
          <w:szCs w:val="21"/>
        </w:rPr>
        <w:t xml:space="preserve">Wait for review. Two days to four weeks is normal. Rejections are common and almost always cite 'low value content' — that is a content problem, not a code problem.</w:t>
      </w:r>
    </w:p>
    <w:p>
      <w:pPr>
        <w:pStyle w:val="ListParagraph"/>
        <w:numPr>
          <w:ilvl w:val="0"/>
          <w:numId w:val="3"/>
        </w:numPr>
        <w:spacing w:after="80" w:line="276"/>
      </w:pPr>
      <w:r>
        <w:rPr>
          <w:color w:val="1A1A1A"/>
          <w:sz w:val="21"/>
          <w:szCs w:val="21"/>
        </w:rPr>
        <w:t xml:space="preserve">Once approved, create a native/in-feed ad unit matching the AdCard slot.</w:t>
      </w:r>
    </w:p>
    <w:p>
      <w:pPr>
        <w:pStyle w:val="ListParagraph"/>
        <w:numPr>
          <w:ilvl w:val="0"/>
          <w:numId w:val="3"/>
        </w:numPr>
        <w:spacing w:after="80" w:line="276"/>
      </w:pPr>
      <w:r>
        <w:rPr>
          <w:color w:val="1A1A1A"/>
          <w:sz w:val="21"/>
          <w:szCs w:val="21"/>
        </w:rPr>
        <w:t xml:space="preserve">Set NEXT_PUBLIC_ADSENSE_CLIENT_ID (the ca-pub-... value) and NEXT_PUBLIC_ADSENSE_SLOT_NATIVE in .env.local and redeploy. Both are NEXT_PUBLIC_, so they are baked at build time — a rebuild is required, not just a restart.</w:t>
      </w:r>
    </w:p>
    <w:p>
      <w:pPr>
        <w:pStyle w:val="ListParagraph"/>
        <w:numPr>
          <w:ilvl w:val="0"/>
          <w:numId w:val="3"/>
        </w:numPr>
        <w:spacing w:after="80" w:line="276"/>
      </w:pPr>
      <w:r>
        <w:rPr>
          <w:color w:val="1A1A1A"/>
          <w:sz w:val="21"/>
          <w:szCs w:val="21"/>
        </w:rPr>
        <w:t xml:space="preserve">Configure the consent message in AdSense → Privacy &amp; messaging (required for EEA/UK traffic).</w:t>
      </w:r>
    </w:p>
    <w:p>
      <w:pPr>
        <w:pStyle w:val="ListParagraph"/>
        <w:numPr>
          <w:ilvl w:val="0"/>
          <w:numId w:val="3"/>
        </w:numPr>
        <w:spacing w:after="80" w:line="276"/>
      </w:pPr>
      <w:r>
        <w:rPr>
          <w:color w:val="1A1A1A"/>
          <w:sz w:val="21"/>
          <w:szCs w:val="21"/>
        </w:rPr>
        <w:t xml:space="preserve">Verify a premium account sees no ads — the tierConfig(usage.tier).ads flag already governs this end to end.</w:t>
      </w:r>
    </w:p>
    <w:p>
      <w:pPr>
        <w:pStyle w:val="Heading2"/>
        <w:spacing w:after="120" w:before="260"/>
      </w:pPr>
      <w:r>
        <w:rPr>
          <w:b/>
          <w:bCs/>
          <w:color w:val="1A1A1A"/>
          <w:sz w:val="24"/>
          <w:szCs w:val="24"/>
        </w:rPr>
        <w:t xml:space="preserve">4.3 Amazon Associates</w:t>
      </w:r>
    </w:p>
    <w:p>
      <w:pPr>
        <w:spacing w:after="120" w:line="276"/>
      </w:pPr>
      <w:r>
        <w:rPr>
          <w:color w:val="1A1A1A"/>
          <w:sz w:val="21"/>
          <w:szCs w:val="21"/>
        </w:rPr>
        <w:t xml:space="preserve">NEXT_PUBLIC_AMAZON_AFFILIATE_TAG is already wired. Apply to the Indian Associates programme. Note the qualifying rule: you must record a small number of qualifying sales within 180 days of applying or the account is closed. Do not apply until you have traffic that could plausibly convert — applying early and idling is the usual way people lose the account.</w:t>
      </w:r>
    </w:p>
    <w:tbl>
      <w:tblPr>
        <w:tblW w:type="dxa" w:w="9360"/>
        <w:tblBorders>
          <w:top w:val="single" w:color="8A5A00" w:sz="2"/>
          <w:left w:val="single" w:color="8A5A00" w:sz="18"/>
          <w:bottom w:val="single" w:color="8A5A00" w:sz="2"/>
          <w:right w:val="single" w:color="8A5A00" w:sz="2"/>
          <w:insideH w:val="none" w:color="auto" w:sz="0"/>
          <w:insideV w:val="none" w:color="auto" w:sz="0"/>
        </w:tblBorders>
      </w:tblPr>
      <w:tblGrid>
        <w:gridCol w:w="9360"/>
      </w:tblGrid>
      <w:tr>
        <w:tc>
          <w:tcPr>
            <w:tcW w:type="dxa" w:w="9360"/>
            <w:shd w:fill="FDF6E8" w:val="clear"/>
            <w:tcMar>
              <w:top w:type="dxa" w:w="140"/>
              <w:left w:type="dxa" w:w="180"/>
              <w:bottom w:type="dxa" w:w="140"/>
              <w:right w:type="dxa" w:w="180"/>
            </w:tcMar>
          </w:tcPr>
          <w:p>
            <w:pPr>
              <w:spacing w:after="60"/>
            </w:pPr>
            <w:r>
              <w:rPr>
                <w:b/>
                <w:bCs/>
                <w:color w:val="8A5A00"/>
                <w:sz w:val="21"/>
                <w:szCs w:val="21"/>
              </w:rPr>
              <w:t xml:space="preserve">Set your revenue expectations honestly</w:t>
            </w:r>
          </w:p>
          <w:p>
            <w:pPr>
              <w:spacing w:after="40" w:line="276"/>
            </w:pPr>
            <w:r>
              <w:rPr>
                <w:color w:val="1A1A1A"/>
                <w:sz w:val="20"/>
                <w:szCs w:val="20"/>
              </w:rPr>
              <w:t xml:space="preserve">At a few hundred sessions a month, AdSense in India realistically returns tens of rupees, not thousands. Ads are worth switching on because they cost you nothing once built and they compound with traffic — but they will not pay your ₹1,390 Cloud SQL bill for a long time. Premium subscriptions (Phase 3) are the realistic path to covering infrastructure.</w:t>
            </w:r>
          </w:p>
        </w:tc>
      </w:tr>
    </w:tbl>
    <w:p>
      <w:r>
        <w:br w:type="page"/>
      </w:r>
    </w:p>
    <w:p>
      <w:pPr>
        <w:pStyle w:val="Heading1"/>
        <w:spacing w:after="160" w:before="360"/>
      </w:pPr>
      <w:r>
        <w:rPr>
          <w:b/>
          <w:bCs/>
          <w:color w:val="1B7A4A"/>
          <w:sz w:val="30"/>
          <w:szCs w:val="30"/>
        </w:rPr>
        <w:t xml:space="preserve">5. Phase 3 — Premium Tier &amp; Payments</w:t>
      </w:r>
    </w:p>
    <w:p>
      <w:pPr>
        <w:spacing w:after="120" w:line="276"/>
      </w:pPr>
      <w:r>
        <w:rPr>
          <w:b/>
          <w:bCs/>
          <w:color w:val="1A1A1A"/>
          <w:sz w:val="21"/>
          <w:szCs w:val="21"/>
        </w:rPr>
        <w:t xml:space="preserve">Duration: </w:t>
      </w:r>
      <w:r>
        <w:rPr>
          <w:color w:val="1A1A1A"/>
          <w:sz w:val="21"/>
          <w:szCs w:val="21"/>
        </w:rPr>
        <w:t xml:space="preserve">2–3 weeks. </w:t>
      </w:r>
      <w:r>
        <w:rPr>
          <w:b/>
          <w:bCs/>
          <w:color w:val="1A1A1A"/>
          <w:sz w:val="21"/>
          <w:szCs w:val="21"/>
        </w:rPr>
        <w:t xml:space="preserve">Depends on: </w:t>
      </w:r>
      <w:r>
        <w:rPr>
          <w:color w:val="1A1A1A"/>
          <w:sz w:val="21"/>
          <w:szCs w:val="21"/>
        </w:rPr>
        <w:t xml:space="preserve">a public /pricing page from Phase 1.</w:t>
      </w:r>
    </w:p>
    <w:p>
      <w:pPr>
        <w:pStyle w:val="Heading2"/>
        <w:spacing w:after="120" w:before="260"/>
      </w:pPr>
      <w:r>
        <w:rPr>
          <w:b/>
          <w:bCs/>
          <w:color w:val="1A1A1A"/>
          <w:sz w:val="24"/>
          <w:szCs w:val="24"/>
        </w:rPr>
        <w:t xml:space="preserve">5.1 What already exists</w:t>
      </w:r>
    </w:p>
    <w:p>
      <w:pPr>
        <w:spacing w:after="120" w:line="276"/>
      </w:pPr>
      <w:r>
        <w:rPr>
          <w:color w:val="1A1A1A"/>
          <w:sz w:val="21"/>
          <w:szCs w:val="21"/>
        </w:rPr>
        <w:t xml:space="preserve">Everything except the money. lib/entitlements.ts defines the two tiers, every AI route already calls consumeUsage() and reads the tier, ads already switch off for premium, and the usage divisor already stretches premium quotas five-fold. You are adding a way to set a field, not a permissions system.</w:t>
      </w:r>
    </w:p>
    <w:p>
      <w:pPr>
        <w:pStyle w:val="Heading2"/>
        <w:spacing w:after="120" w:before="260"/>
      </w:pPr>
      <w:r>
        <w:rPr>
          <w:b/>
          <w:bCs/>
          <w:color w:val="1A1A1A"/>
          <w:sz w:val="24"/>
          <w:szCs w:val="24"/>
        </w:rPr>
        <w:t xml:space="preserve">5.2 Choosing a processor</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1500"/>
        <w:gridCol w:w="7860"/>
      </w:tblGrid>
      <w:tr>
        <w:trPr>
          <w:tblHeader/>
        </w:trPr>
        <w:tc>
          <w:tcPr>
            <w:tcW w:type="dxa" w:w="1500"/>
            <w:shd w:fill="EEF4F0" w:val="clear"/>
            <w:tcMar>
              <w:top w:type="dxa" w:w="90"/>
              <w:left w:type="dxa" w:w="130"/>
              <w:bottom w:type="dxa" w:w="90"/>
              <w:right w:type="dxa" w:w="130"/>
            </w:tcMar>
          </w:tcPr>
          <w:p>
            <w:pPr>
              <w:spacing w:after="0" w:line="264"/>
            </w:pPr>
            <w:r>
              <w:rPr>
                <w:b/>
                <w:bCs/>
                <w:color w:val="1B7A4A"/>
                <w:sz w:val="19"/>
                <w:szCs w:val="19"/>
              </w:rPr>
              <w:t xml:space="preserve">Option</w:t>
            </w:r>
          </w:p>
        </w:tc>
        <w:tc>
          <w:tcPr>
            <w:tcW w:type="dxa" w:w="7860"/>
            <w:shd w:fill="EEF4F0" w:val="clear"/>
            <w:tcMar>
              <w:top w:type="dxa" w:w="90"/>
              <w:left w:type="dxa" w:w="130"/>
              <w:bottom w:type="dxa" w:w="90"/>
              <w:right w:type="dxa" w:w="130"/>
            </w:tcMar>
          </w:tcPr>
          <w:p>
            <w:pPr>
              <w:spacing w:after="0" w:line="264"/>
            </w:pPr>
            <w:r>
              <w:rPr>
                <w:b/>
                <w:bCs/>
                <w:color w:val="1B7A4A"/>
                <w:sz w:val="19"/>
                <w:szCs w:val="19"/>
              </w:rPr>
              <w:t xml:space="preserve">Fit for Calolean</w:t>
            </w:r>
          </w:p>
        </w:tc>
      </w:tr>
      <w:tr>
        <w:tc>
          <w:tcPr>
            <w:tcW w:type="dxa" w:w="1500"/>
            <w:tcMar>
              <w:top w:type="dxa" w:w="90"/>
              <w:left w:type="dxa" w:w="130"/>
              <w:bottom w:type="dxa" w:w="90"/>
              <w:right w:type="dxa" w:w="130"/>
            </w:tcMar>
          </w:tcPr>
          <w:p>
            <w:pPr>
              <w:spacing w:after="0" w:line="264"/>
            </w:pPr>
            <w:r>
              <w:rPr>
                <w:color w:val="1A1A1A"/>
                <w:sz w:val="19"/>
                <w:szCs w:val="19"/>
              </w:rPr>
              <w:t xml:space="preserve">Razorpay</w:t>
            </w:r>
          </w:p>
        </w:tc>
        <w:tc>
          <w:tcPr>
            <w:tcW w:type="dxa" w:w="7860"/>
            <w:tcMar>
              <w:top w:type="dxa" w:w="90"/>
              <w:left w:type="dxa" w:w="130"/>
              <w:bottom w:type="dxa" w:w="90"/>
              <w:right w:type="dxa" w:w="130"/>
            </w:tcMar>
          </w:tcPr>
          <w:p>
            <w:pPr>
              <w:spacing w:after="0" w:line="264"/>
            </w:pPr>
            <w:r>
              <w:rPr>
                <w:color w:val="1A1A1A"/>
                <w:sz w:val="19"/>
                <w:szCs w:val="19"/>
              </w:rPr>
              <w:t xml:space="preserve">Recommended for an India-first launch. Native UPI, cards, netbanking, INR settlement, and subscription support. UPI matters — it is how most Indian users will actually pay.</w:t>
            </w:r>
          </w:p>
        </w:tc>
      </w:tr>
      <w:tr>
        <w:tc>
          <w:tcPr>
            <w:tcW w:type="dxa" w:w="1500"/>
            <w:tcMar>
              <w:top w:type="dxa" w:w="90"/>
              <w:left w:type="dxa" w:w="130"/>
              <w:bottom w:type="dxa" w:w="90"/>
              <w:right w:type="dxa" w:w="130"/>
            </w:tcMar>
          </w:tcPr>
          <w:p>
            <w:pPr>
              <w:spacing w:after="0" w:line="264"/>
            </w:pPr>
            <w:r>
              <w:rPr>
                <w:color w:val="1A1A1A"/>
                <w:sz w:val="19"/>
                <w:szCs w:val="19"/>
              </w:rPr>
              <w:t xml:space="preserve">Stripe</w:t>
            </w:r>
          </w:p>
        </w:tc>
        <w:tc>
          <w:tcPr>
            <w:tcW w:type="dxa" w:w="7860"/>
            <w:tcMar>
              <w:top w:type="dxa" w:w="90"/>
              <w:left w:type="dxa" w:w="130"/>
              <w:bottom w:type="dxa" w:w="90"/>
              <w:right w:type="dxa" w:w="130"/>
            </w:tcMar>
          </w:tcPr>
          <w:p>
            <w:pPr>
              <w:spacing w:after="0" w:line="264"/>
            </w:pPr>
            <w:r>
              <w:rPr>
                <w:color w:val="1A1A1A"/>
                <w:sz w:val="19"/>
                <w:szCs w:val="19"/>
              </w:rPr>
              <w:t xml:space="preserve">Better if you expect meaningful international revenue early. India support exists but UPI coverage and onboarding are weaker for a domestic-first product.</w:t>
            </w:r>
          </w:p>
        </w:tc>
      </w:tr>
      <w:tr>
        <w:tc>
          <w:tcPr>
            <w:tcW w:type="dxa" w:w="1500"/>
            <w:tcMar>
              <w:top w:type="dxa" w:w="90"/>
              <w:left w:type="dxa" w:w="130"/>
              <w:bottom w:type="dxa" w:w="90"/>
              <w:right w:type="dxa" w:w="130"/>
            </w:tcMar>
          </w:tcPr>
          <w:p>
            <w:pPr>
              <w:spacing w:after="0" w:line="264"/>
            </w:pPr>
            <w:r>
              <w:rPr>
                <w:color w:val="1A1A1A"/>
                <w:sz w:val="19"/>
                <w:szCs w:val="19"/>
              </w:rPr>
              <w:t xml:space="preserve">Play Billing</w:t>
            </w:r>
          </w:p>
        </w:tc>
        <w:tc>
          <w:tcPr>
            <w:tcW w:type="dxa" w:w="7860"/>
            <w:tcMar>
              <w:top w:type="dxa" w:w="90"/>
              <w:left w:type="dxa" w:w="130"/>
              <w:bottom w:type="dxa" w:w="90"/>
              <w:right w:type="dxa" w:w="130"/>
            </w:tcMar>
          </w:tcPr>
          <w:p>
            <w:pPr>
              <w:spacing w:after="0" w:line="264"/>
            </w:pPr>
            <w:r>
              <w:rPr>
                <w:color w:val="1A1A1A"/>
                <w:sz w:val="19"/>
                <w:szCs w:val="19"/>
              </w:rPr>
              <w:t xml:space="preserve">Not optional later: if the Android app unlocks premium features, Google requires its billing for digital goods. Plan for both — web via Razorpay, Android via Play Billing.</w:t>
            </w:r>
          </w:p>
        </w:tc>
      </w:tr>
    </w:tbl>
    <w:p>
      <w:pPr>
        <w:pStyle w:val="Heading2"/>
        <w:spacing w:after="120" w:before="260"/>
      </w:pPr>
      <w:r>
        <w:rPr>
          <w:b/>
          <w:bCs/>
          <w:color w:val="1A1A1A"/>
          <w:sz w:val="24"/>
          <w:szCs w:val="24"/>
        </w:rPr>
        <w:t xml:space="preserve">5.3 What to build</w:t>
      </w:r>
    </w:p>
    <w:p>
      <w:pPr>
        <w:pStyle w:val="ListParagraph"/>
        <w:numPr>
          <w:ilvl w:val="0"/>
          <w:numId w:val="3"/>
        </w:numPr>
        <w:spacing w:after="80" w:line="276"/>
      </w:pPr>
      <w:r>
        <w:rPr>
          <w:color w:val="1A1A1A"/>
          <w:sz w:val="21"/>
          <w:szCs w:val="21"/>
        </w:rPr>
        <w:t xml:space="preserve">A /pricing page with a clear free-versus-premium comparison drawn from the real limits in USAGE_COSTS and usageDivisor.</w:t>
      </w:r>
    </w:p>
    <w:p>
      <w:pPr>
        <w:pStyle w:val="ListParagraph"/>
        <w:numPr>
          <w:ilvl w:val="0"/>
          <w:numId w:val="3"/>
        </w:numPr>
        <w:spacing w:after="80" w:line="276"/>
      </w:pPr>
      <w:r>
        <w:rPr>
          <w:color w:val="1A1A1A"/>
          <w:sz w:val="21"/>
          <w:szCs w:val="21"/>
        </w:rPr>
        <w:t xml:space="preserve">A checkout route that creates the order or subscription server-side.</w:t>
      </w:r>
    </w:p>
    <w:p>
      <w:pPr>
        <w:pStyle w:val="ListParagraph"/>
        <w:numPr>
          <w:ilvl w:val="0"/>
          <w:numId w:val="3"/>
        </w:numPr>
        <w:spacing w:after="80" w:line="276"/>
      </w:pPr>
      <w:r>
        <w:rPr>
          <w:color w:val="1A1A1A"/>
          <w:sz w:val="21"/>
          <w:szCs w:val="21"/>
        </w:rPr>
        <w:t xml:space="preserve">A webhook endpoint that verifies the processor's signature and, only on a verified event, writes tier: 'premium' plus an expiry to the user's Firestore document.</w:t>
      </w:r>
    </w:p>
    <w:p>
      <w:pPr>
        <w:pStyle w:val="ListParagraph"/>
        <w:numPr>
          <w:ilvl w:val="0"/>
          <w:numId w:val="3"/>
        </w:numPr>
        <w:spacing w:after="80" w:line="276"/>
      </w:pPr>
      <w:r>
        <w:rPr>
          <w:color w:val="1A1A1A"/>
          <w:sz w:val="21"/>
          <w:szCs w:val="21"/>
        </w:rPr>
        <w:t xml:space="preserve">Firestore rules that make the tier field server-writable only — a client that can set its own tier is a client that gets free premium.</w:t>
      </w:r>
    </w:p>
    <w:p>
      <w:pPr>
        <w:pStyle w:val="ListParagraph"/>
        <w:numPr>
          <w:ilvl w:val="0"/>
          <w:numId w:val="3"/>
        </w:numPr>
        <w:spacing w:after="80" w:line="276"/>
      </w:pPr>
      <w:r>
        <w:rPr>
          <w:color w:val="1A1A1A"/>
          <w:sz w:val="21"/>
          <w:szCs w:val="21"/>
        </w:rPr>
        <w:t xml:space="preserve">Handling for renewal, failure, cancellation and expiry, including a scheduled downgrade when the period lapses.</w:t>
      </w:r>
    </w:p>
    <w:p>
      <w:pPr>
        <w:pStyle w:val="ListParagraph"/>
        <w:numPr>
          <w:ilvl w:val="0"/>
          <w:numId w:val="3"/>
        </w:numPr>
        <w:spacing w:after="80" w:line="276"/>
      </w:pPr>
      <w:r>
        <w:rPr>
          <w:color w:val="1A1A1A"/>
          <w:sz w:val="21"/>
          <w:szCs w:val="21"/>
        </w:rPr>
        <w:t xml:space="preserve">A simple billing screen under /profile showing plan, renewal date and a cancel option.</w:t>
      </w:r>
    </w:p>
    <w:tbl>
      <w:tblPr>
        <w:tblW w:type="dxa" w:w="9360"/>
        <w:tblBorders>
          <w:top w:val="single" w:color="A32020" w:sz="2"/>
          <w:left w:val="single" w:color="A32020" w:sz="18"/>
          <w:bottom w:val="single" w:color="A32020" w:sz="2"/>
          <w:right w:val="single" w:color="A32020" w:sz="2"/>
          <w:insideH w:val="none" w:color="auto" w:sz="0"/>
          <w:insideV w:val="none" w:color="auto" w:sz="0"/>
        </w:tblBorders>
      </w:tblPr>
      <w:tblGrid>
        <w:gridCol w:w="9360"/>
      </w:tblGrid>
      <w:tr>
        <w:tc>
          <w:tcPr>
            <w:tcW w:type="dxa" w:w="9360"/>
            <w:shd w:fill="FBEDED" w:val="clear"/>
            <w:tcMar>
              <w:top w:type="dxa" w:w="140"/>
              <w:left w:type="dxa" w:w="180"/>
              <w:bottom w:type="dxa" w:w="140"/>
              <w:right w:type="dxa" w:w="180"/>
            </w:tcMar>
          </w:tcPr>
          <w:p>
            <w:pPr>
              <w:spacing w:after="60"/>
            </w:pPr>
            <w:r>
              <w:rPr>
                <w:b/>
                <w:bCs/>
                <w:color w:val="A32020"/>
                <w:sz w:val="21"/>
                <w:szCs w:val="21"/>
              </w:rPr>
              <w:t xml:space="preserve">The one security rule that matters</w:t>
            </w:r>
          </w:p>
          <w:p>
            <w:pPr>
              <w:spacing w:after="40" w:line="276"/>
            </w:pPr>
            <w:r>
              <w:rPr>
                <w:color w:val="1A1A1A"/>
                <w:sz w:val="20"/>
                <w:szCs w:val="20"/>
              </w:rPr>
              <w:t xml:space="preserve">Grant premium only from a signature-verified server-side webhook. Never from a client callback, a redirect URL, or a success page — all three are trivially forged by anyone with browser dev tools. This is the single most common way small apps leak paid features.</w:t>
            </w:r>
          </w:p>
        </w:tc>
      </w:tr>
    </w:tbl>
    <w:p>
      <w:pPr>
        <w:pStyle w:val="Heading2"/>
        <w:spacing w:after="120" w:before="260"/>
      </w:pPr>
      <w:r>
        <w:rPr>
          <w:b/>
          <w:bCs/>
          <w:color w:val="1A1A1A"/>
          <w:sz w:val="24"/>
          <w:szCs w:val="24"/>
        </w:rPr>
        <w:t xml:space="preserve">5.4 Pricing thinking</w:t>
      </w:r>
    </w:p>
    <w:p>
      <w:pPr>
        <w:spacing w:after="120" w:line="276"/>
      </w:pPr>
      <w:r>
        <w:rPr>
          <w:color w:val="1A1A1A"/>
          <w:sz w:val="21"/>
          <w:szCs w:val="21"/>
        </w:rPr>
        <w:t xml:space="preserve">Your infrastructure floor is roughly ₹1,390 per month and is nearly all fixed cost, so break-even is a question of subscriber count, not of margin per user. At an indicative ₹199/month, fewer than ten paying subscribers covers the entire current bill. That is a realistic first commercial target and a far more attainable one than the equivalent in ad revenue.</w:t>
      </w:r>
    </w:p>
    <w:p>
      <w:r>
        <w:br w:type="page"/>
      </w:r>
    </w:p>
    <w:p>
      <w:pPr>
        <w:pStyle w:val="Heading1"/>
        <w:spacing w:after="160" w:before="360"/>
      </w:pPr>
      <w:r>
        <w:rPr>
          <w:b/>
          <w:bCs/>
          <w:color w:val="1B7A4A"/>
          <w:sz w:val="30"/>
          <w:szCs w:val="30"/>
        </w:rPr>
        <w:t xml:space="preserve">6. Phase 4 — Health Data: The Revised Architecture</w:t>
      </w:r>
    </w:p>
    <w:p>
      <w:pPr>
        <w:spacing w:after="120" w:line="276"/>
      </w:pPr>
      <w:r>
        <w:rPr>
          <w:color w:val="1A1A1A"/>
          <w:sz w:val="21"/>
          <w:szCs w:val="21"/>
        </w:rPr>
        <w:t xml:space="preserve">This phase exists mainly to record a decision, because the original plan is no longer buildable (Finding 3).</w:t>
      </w:r>
    </w:p>
    <w:p>
      <w:pPr>
        <w:pStyle w:val="Heading2"/>
        <w:spacing w:after="120" w:before="260"/>
      </w:pPr>
      <w:r>
        <w:rPr>
          <w:b/>
          <w:bCs/>
          <w:color w:val="1A1A1A"/>
          <w:sz w:val="24"/>
          <w:szCs w:val="24"/>
        </w:rPr>
        <w:t xml:space="preserve">6.1 What changed</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2900"/>
        <w:gridCol w:w="2900"/>
        <w:gridCol w:w="3560"/>
      </w:tblGrid>
      <w:tr>
        <w:trPr>
          <w:tblHeader/>
        </w:trPr>
        <w:tc>
          <w:tcPr>
            <w:tcW w:type="dxa" w:w="2900"/>
            <w:shd w:fill="EEF4F0" w:val="clear"/>
            <w:tcMar>
              <w:top w:type="dxa" w:w="90"/>
              <w:left w:type="dxa" w:w="130"/>
              <w:bottom w:type="dxa" w:w="90"/>
              <w:right w:type="dxa" w:w="130"/>
            </w:tcMar>
          </w:tcPr>
          <w:p>
            <w:pPr>
              <w:spacing w:after="0" w:line="264"/>
            </w:pPr>
            <w:r>
              <w:rPr>
                <w:b/>
                <w:bCs/>
                <w:color w:val="1B7A4A"/>
                <w:sz w:val="19"/>
                <w:szCs w:val="19"/>
              </w:rPr>
              <w:t xml:space="preserve">Google Fit component</w:t>
            </w:r>
          </w:p>
        </w:tc>
        <w:tc>
          <w:tcPr>
            <w:tcW w:type="dxa" w:w="2900"/>
            <w:shd w:fill="EEF4F0" w:val="clear"/>
            <w:tcMar>
              <w:top w:type="dxa" w:w="90"/>
              <w:left w:type="dxa" w:w="130"/>
              <w:bottom w:type="dxa" w:w="90"/>
              <w:right w:type="dxa" w:w="130"/>
            </w:tcMar>
          </w:tcPr>
          <w:p>
            <w:pPr>
              <w:spacing w:after="0" w:line="264"/>
            </w:pPr>
            <w:r>
              <w:rPr>
                <w:b/>
                <w:bCs/>
                <w:color w:val="1B7A4A"/>
                <w:sz w:val="19"/>
                <w:szCs w:val="19"/>
              </w:rPr>
              <w:t xml:space="preserve">Status</w:t>
            </w:r>
          </w:p>
        </w:tc>
        <w:tc>
          <w:tcPr>
            <w:tcW w:type="dxa" w:w="3560"/>
            <w:shd w:fill="EEF4F0" w:val="clear"/>
            <w:tcMar>
              <w:top w:type="dxa" w:w="90"/>
              <w:left w:type="dxa" w:w="130"/>
              <w:bottom w:type="dxa" w:w="90"/>
              <w:right w:type="dxa" w:w="130"/>
            </w:tcMar>
          </w:tcPr>
          <w:p>
            <w:pPr>
              <w:spacing w:after="0" w:line="264"/>
            </w:pPr>
            <w:r>
              <w:rPr>
                <w:b/>
                <w:bCs/>
                <w:color w:val="1B7A4A"/>
                <w:sz w:val="19"/>
                <w:szCs w:val="19"/>
              </w:rPr>
              <w:t xml:space="preserve">Replacement</w:t>
            </w:r>
          </w:p>
        </w:tc>
      </w:tr>
      <w:tr>
        <w:tc>
          <w:tcPr>
            <w:tcW w:type="dxa" w:w="2900"/>
            <w:tcMar>
              <w:top w:type="dxa" w:w="90"/>
              <w:left w:type="dxa" w:w="130"/>
              <w:bottom w:type="dxa" w:w="90"/>
              <w:right w:type="dxa" w:w="130"/>
            </w:tcMar>
          </w:tcPr>
          <w:p>
            <w:pPr>
              <w:spacing w:after="0" w:line="264"/>
            </w:pPr>
            <w:r>
              <w:rPr>
                <w:color w:val="1A1A1A"/>
                <w:sz w:val="19"/>
                <w:szCs w:val="19"/>
              </w:rPr>
              <w:t xml:space="preserve">Fit REST API (your web OAuth plan)</w:t>
            </w:r>
          </w:p>
        </w:tc>
        <w:tc>
          <w:tcPr>
            <w:tcW w:type="dxa" w:w="2900"/>
            <w:tcMar>
              <w:top w:type="dxa" w:w="90"/>
              <w:left w:type="dxa" w:w="130"/>
              <w:bottom w:type="dxa" w:w="90"/>
              <w:right w:type="dxa" w:w="130"/>
            </w:tcMar>
          </w:tcPr>
          <w:p>
            <w:pPr>
              <w:spacing w:after="0" w:line="264"/>
            </w:pPr>
            <w:r>
              <w:rPr>
                <w:color w:val="1A1A1A"/>
                <w:sz w:val="19"/>
                <w:szCs w:val="19"/>
              </w:rPr>
              <w:t xml:space="preserve">Closed to new sign-ups since May 2024; shuts down end of 2026</w:t>
            </w:r>
          </w:p>
        </w:tc>
        <w:tc>
          <w:tcPr>
            <w:tcW w:type="dxa" w:w="3560"/>
            <w:tcMar>
              <w:top w:type="dxa" w:w="90"/>
              <w:left w:type="dxa" w:w="130"/>
              <w:bottom w:type="dxa" w:w="90"/>
              <w:right w:type="dxa" w:w="130"/>
            </w:tcMar>
          </w:tcPr>
          <w:p>
            <w:pPr>
              <w:spacing w:after="0" w:line="264"/>
            </w:pPr>
            <w:r>
              <w:rPr>
                <w:color w:val="1A1A1A"/>
                <w:sz w:val="19"/>
                <w:szCs w:val="19"/>
              </w:rPr>
              <w:t xml:space="preserve">Google Health API — server-side, newer, access should be verified before relying on it</w:t>
            </w:r>
          </w:p>
        </w:tc>
      </w:tr>
      <w:tr>
        <w:tc>
          <w:tcPr>
            <w:tcW w:type="dxa" w:w="2900"/>
            <w:tcMar>
              <w:top w:type="dxa" w:w="90"/>
              <w:left w:type="dxa" w:w="130"/>
              <w:bottom w:type="dxa" w:w="90"/>
              <w:right w:type="dxa" w:w="130"/>
            </w:tcMar>
          </w:tcPr>
          <w:p>
            <w:pPr>
              <w:spacing w:after="0" w:line="264"/>
            </w:pPr>
            <w:r>
              <w:rPr>
                <w:color w:val="1A1A1A"/>
                <w:sz w:val="19"/>
                <w:szCs w:val="19"/>
              </w:rPr>
              <w:t xml:space="preserve">Fit Android APIs</w:t>
            </w:r>
          </w:p>
        </w:tc>
        <w:tc>
          <w:tcPr>
            <w:tcW w:type="dxa" w:w="2900"/>
            <w:tcMar>
              <w:top w:type="dxa" w:w="90"/>
              <w:left w:type="dxa" w:w="130"/>
              <w:bottom w:type="dxa" w:w="90"/>
              <w:right w:type="dxa" w:w="130"/>
            </w:tcMar>
          </w:tcPr>
          <w:p>
            <w:pPr>
              <w:spacing w:after="0" w:line="264"/>
            </w:pPr>
            <w:r>
              <w:rPr>
                <w:color w:val="1A1A1A"/>
                <w:sz w:val="19"/>
                <w:szCs w:val="19"/>
              </w:rPr>
              <w:t xml:space="preserve">Deprecated</w:t>
            </w:r>
          </w:p>
        </w:tc>
        <w:tc>
          <w:tcPr>
            <w:tcW w:type="dxa" w:w="3560"/>
            <w:tcMar>
              <w:top w:type="dxa" w:w="90"/>
              <w:left w:type="dxa" w:w="130"/>
              <w:bottom w:type="dxa" w:w="90"/>
              <w:right w:type="dxa" w:w="130"/>
            </w:tcMar>
          </w:tcPr>
          <w:p>
            <w:pPr>
              <w:spacing w:after="0" w:line="264"/>
            </w:pPr>
            <w:r>
              <w:rPr>
                <w:color w:val="1A1A1A"/>
                <w:sz w:val="19"/>
                <w:szCs w:val="19"/>
              </w:rPr>
              <w:t xml:space="preserve">Health Connect — on-device, Android only</w:t>
            </w:r>
          </w:p>
        </w:tc>
      </w:tr>
      <w:tr>
        <w:tc>
          <w:tcPr>
            <w:tcW w:type="dxa" w:w="2900"/>
            <w:tcMar>
              <w:top w:type="dxa" w:w="90"/>
              <w:left w:type="dxa" w:w="130"/>
              <w:bottom w:type="dxa" w:w="90"/>
              <w:right w:type="dxa" w:w="130"/>
            </w:tcMar>
          </w:tcPr>
          <w:p>
            <w:pPr>
              <w:spacing w:after="0" w:line="264"/>
            </w:pPr>
            <w:r>
              <w:rPr>
                <w:color w:val="1A1A1A"/>
                <w:sz w:val="19"/>
                <w:szCs w:val="19"/>
              </w:rPr>
              <w:t xml:space="preserve">Fit Goals API</w:t>
            </w:r>
          </w:p>
        </w:tc>
        <w:tc>
          <w:tcPr>
            <w:tcW w:type="dxa" w:w="2900"/>
            <w:tcMar>
              <w:top w:type="dxa" w:w="90"/>
              <w:left w:type="dxa" w:w="130"/>
              <w:bottom w:type="dxa" w:w="90"/>
              <w:right w:type="dxa" w:w="130"/>
            </w:tcMar>
          </w:tcPr>
          <w:p>
            <w:pPr>
              <w:spacing w:after="0" w:line="264"/>
            </w:pPr>
            <w:r>
              <w:rPr>
                <w:color w:val="1A1A1A"/>
                <w:sz w:val="19"/>
                <w:szCs w:val="19"/>
              </w:rPr>
              <w:t xml:space="preserve">Deprecated</w:t>
            </w:r>
          </w:p>
        </w:tc>
        <w:tc>
          <w:tcPr>
            <w:tcW w:type="dxa" w:w="3560"/>
            <w:tcMar>
              <w:top w:type="dxa" w:w="90"/>
              <w:left w:type="dxa" w:w="130"/>
              <w:bottom w:type="dxa" w:w="90"/>
              <w:right w:type="dxa" w:w="130"/>
            </w:tcMar>
          </w:tcPr>
          <w:p>
            <w:pPr>
              <w:spacing w:after="0" w:line="264"/>
            </w:pPr>
            <w:r>
              <w:rPr>
                <w:color w:val="1A1A1A"/>
                <w:sz w:val="19"/>
                <w:szCs w:val="19"/>
              </w:rPr>
              <w:t xml:space="preserve">No replacement</w:t>
            </w:r>
          </w:p>
        </w:tc>
      </w:tr>
      <w:tr>
        <w:tc>
          <w:tcPr>
            <w:tcW w:type="dxa" w:w="2900"/>
            <w:tcMar>
              <w:top w:type="dxa" w:w="90"/>
              <w:left w:type="dxa" w:w="130"/>
              <w:bottom w:type="dxa" w:w="90"/>
              <w:right w:type="dxa" w:w="130"/>
            </w:tcMar>
          </w:tcPr>
          <w:p>
            <w:pPr>
              <w:spacing w:after="0" w:line="264"/>
            </w:pPr>
            <w:r>
              <w:rPr>
                <w:color w:val="1A1A1A"/>
                <w:sz w:val="19"/>
                <w:szCs w:val="19"/>
              </w:rPr>
              <w:t xml:space="preserve">Wear OS Fit APIs</w:t>
            </w:r>
          </w:p>
        </w:tc>
        <w:tc>
          <w:tcPr>
            <w:tcW w:type="dxa" w:w="2900"/>
            <w:tcMar>
              <w:top w:type="dxa" w:w="90"/>
              <w:left w:type="dxa" w:w="130"/>
              <w:bottom w:type="dxa" w:w="90"/>
              <w:right w:type="dxa" w:w="130"/>
            </w:tcMar>
          </w:tcPr>
          <w:p>
            <w:pPr>
              <w:spacing w:after="0" w:line="264"/>
            </w:pPr>
            <w:r>
              <w:rPr>
                <w:color w:val="1A1A1A"/>
                <w:sz w:val="19"/>
                <w:szCs w:val="19"/>
              </w:rPr>
              <w:t xml:space="preserve">Deprecated</w:t>
            </w:r>
          </w:p>
        </w:tc>
        <w:tc>
          <w:tcPr>
            <w:tcW w:type="dxa" w:w="3560"/>
            <w:tcMar>
              <w:top w:type="dxa" w:w="90"/>
              <w:left w:type="dxa" w:w="130"/>
              <w:bottom w:type="dxa" w:w="90"/>
              <w:right w:type="dxa" w:w="130"/>
            </w:tcMar>
          </w:tcPr>
          <w:p>
            <w:pPr>
              <w:spacing w:after="0" w:line="264"/>
            </w:pPr>
            <w:r>
              <w:rPr>
                <w:color w:val="1A1A1A"/>
                <w:sz w:val="19"/>
                <w:szCs w:val="19"/>
              </w:rPr>
              <w:t xml:space="preserve">Health Services</w:t>
            </w:r>
          </w:p>
        </w:tc>
      </w:tr>
    </w:tbl>
    <w:p>
      <w:pPr>
        <w:pStyle w:val="Heading2"/>
        <w:spacing w:after="120" w:before="260"/>
      </w:pPr>
      <w:r>
        <w:rPr>
          <w:b/>
          <w:bCs/>
          <w:color w:val="1A1A1A"/>
          <w:sz w:val="24"/>
          <w:szCs w:val="24"/>
        </w:rPr>
        <w:t xml:space="preserve">6.2 The decision</w:t>
      </w:r>
    </w:p>
    <w:p>
      <w:pPr>
        <w:pStyle w:val="ListParagraph"/>
        <w:numPr>
          <w:ilvl w:val="0"/>
          <w:numId w:val="2"/>
        </w:numPr>
        <w:spacing w:after="80" w:line="276"/>
      </w:pPr>
      <w:r>
        <w:rPr>
          <w:b/>
          <w:bCs/>
          <w:color w:val="1A1A1A"/>
          <w:sz w:val="21"/>
          <w:szCs w:val="21"/>
        </w:rPr>
        <w:t xml:space="preserve">Web app: </w:t>
      </w:r>
      <w:r>
        <w:rPr>
          <w:color w:val="1A1A1A"/>
          <w:sz w:val="21"/>
          <w:szCs w:val="21"/>
        </w:rPr>
        <w:t xml:space="preserve">no automatic health sync. Keep manual entry, which already works (steps, water, weight). Do not invest further in the GOOGLE_HEALTH_* web OAuth path — it targets an API you cannot register for.</w:t>
      </w:r>
    </w:p>
    <w:p>
      <w:pPr>
        <w:pStyle w:val="ListParagraph"/>
        <w:numPr>
          <w:ilvl w:val="0"/>
          <w:numId w:val="2"/>
        </w:numPr>
        <w:spacing w:after="80" w:line="276"/>
      </w:pPr>
      <w:r>
        <w:rPr>
          <w:b/>
          <w:bCs/>
          <w:color w:val="1A1A1A"/>
          <w:sz w:val="21"/>
          <w:szCs w:val="21"/>
        </w:rPr>
        <w:t xml:space="preserve">Android app: </w:t>
      </w:r>
      <w:r>
        <w:rPr>
          <w:color w:val="1A1A1A"/>
          <w:sz w:val="21"/>
          <w:szCs w:val="21"/>
        </w:rPr>
        <w:t xml:space="preserve">Health Connect, read-only to start. This is where steps, calories burned, heart rate, sleep and weight come from.</w:t>
      </w:r>
    </w:p>
    <w:p>
      <w:pPr>
        <w:pStyle w:val="ListParagraph"/>
        <w:numPr>
          <w:ilvl w:val="0"/>
          <w:numId w:val="2"/>
        </w:numPr>
        <w:spacing w:after="80" w:line="276"/>
      </w:pPr>
      <w:r>
        <w:rPr>
          <w:b/>
          <w:bCs/>
          <w:color w:val="1A1A1A"/>
          <w:sz w:val="21"/>
          <w:szCs w:val="21"/>
        </w:rPr>
        <w:t xml:space="preserve">Housekeeping: </w:t>
      </w:r>
      <w:r>
        <w:rPr>
          <w:color w:val="1A1A1A"/>
          <w:sz w:val="21"/>
          <w:szCs w:val="21"/>
        </w:rPr>
        <w:t xml:space="preserve">the GOOGLE_HEALTH_CLIENT_ID / GOOGLE_HEALTH_REDIRECT_URI / GOOGLE_HEALTH_CLIENT_SECRET variables can be retired from .env.example and the deploy script, or left dormant. TOKEN_ENCRYPTION_KEY should be kept — it is still the right mechanism for encrypting any third-party tokens at rest later.</w:t>
      </w:r>
    </w:p>
    <w:p>
      <w:pPr>
        <w:pStyle w:val="ListParagraph"/>
        <w:numPr>
          <w:ilvl w:val="0"/>
          <w:numId w:val="2"/>
        </w:numPr>
        <w:spacing w:after="80" w:line="276"/>
      </w:pPr>
      <w:r>
        <w:rPr>
          <w:b/>
          <w:bCs/>
          <w:color w:val="1A1A1A"/>
          <w:sz w:val="21"/>
          <w:szCs w:val="21"/>
        </w:rPr>
        <w:t xml:space="preserve">If you later want web sync: </w:t>
      </w:r>
      <w:r>
        <w:rPr>
          <w:color w:val="1A1A1A"/>
          <w:sz w:val="21"/>
          <w:szCs w:val="21"/>
        </w:rPr>
        <w:t xml:space="preserve">the realistic routes are the Android app pushing its Health Connect data up to Firestore (so the web reads Calolean's own copy), or integrating a wearable vendor's own API directly. The former is far simpler and keeps you in control of the data.</w:t>
      </w:r>
    </w:p>
    <w:tbl>
      <w:tblPr>
        <w:tblW w:type="dxa" w:w="9360"/>
        <w:tblBorders>
          <w:top w:val="single" w:color="1B7A4A" w:sz="2"/>
          <w:left w:val="single" w:color="1B7A4A" w:sz="18"/>
          <w:bottom w:val="single" w:color="1B7A4A" w:sz="2"/>
          <w:right w:val="single" w:color="1B7A4A" w:sz="2"/>
          <w:insideH w:val="none" w:color="auto" w:sz="0"/>
          <w:insideV w:val="none" w:color="auto" w:sz="0"/>
        </w:tblBorders>
      </w:tblPr>
      <w:tblGrid>
        <w:gridCol w:w="9360"/>
      </w:tblGrid>
      <w:tr>
        <w:tc>
          <w:tcPr>
            <w:tcW w:type="dxa" w:w="9360"/>
            <w:shd w:fill="EEF4F0" w:val="clear"/>
            <w:tcMar>
              <w:top w:type="dxa" w:w="140"/>
              <w:left w:type="dxa" w:w="180"/>
              <w:bottom w:type="dxa" w:w="140"/>
              <w:right w:type="dxa" w:w="180"/>
            </w:tcMar>
          </w:tcPr>
          <w:p>
            <w:pPr>
              <w:spacing w:after="60"/>
            </w:pPr>
            <w:r>
              <w:rPr>
                <w:b/>
                <w:bCs/>
                <w:color w:val="1B7A4A"/>
                <w:sz w:val="21"/>
                <w:szCs w:val="21"/>
              </w:rPr>
              <w:t xml:space="preserve">A strategic upside</w:t>
            </w:r>
          </w:p>
          <w:p>
            <w:pPr>
              <w:spacing w:after="40" w:line="276"/>
            </w:pPr>
            <w:r>
              <w:rPr>
                <w:color w:val="1A1A1A"/>
                <w:sz w:val="20"/>
                <w:szCs w:val="20"/>
              </w:rPr>
              <w:t xml:space="preserve">Health Connect being Android-only turns the mobile app from 'the same product in a wrapper' into the only place automatic step, sleep and heart-rate tracking can happen. That is a real, defensible reason for a user to install it — and a much stronger app-store pitch than a repackaged website.</w:t>
            </w:r>
          </w:p>
        </w:tc>
      </w:tr>
    </w:tbl>
    <w:p>
      <w:r>
        <w:br w:type="page"/>
      </w:r>
    </w:p>
    <w:p>
      <w:pPr>
        <w:pStyle w:val="Heading1"/>
        <w:spacing w:after="160" w:before="360"/>
      </w:pPr>
      <w:r>
        <w:rPr>
          <w:b/>
          <w:bCs/>
          <w:color w:val="1B7A4A"/>
          <w:sz w:val="30"/>
          <w:szCs w:val="30"/>
        </w:rPr>
        <w:t xml:space="preserve">7. Phase 5 — The Android Application</w:t>
      </w:r>
    </w:p>
    <w:p>
      <w:pPr>
        <w:spacing w:after="120" w:line="276"/>
      </w:pPr>
      <w:r>
        <w:rPr>
          <w:b/>
          <w:bCs/>
          <w:color w:val="1A1A1A"/>
          <w:sz w:val="21"/>
          <w:szCs w:val="21"/>
        </w:rPr>
        <w:t xml:space="preserve">Duration: </w:t>
      </w:r>
      <w:r>
        <w:rPr>
          <w:color w:val="1A1A1A"/>
          <w:sz w:val="21"/>
          <w:szCs w:val="21"/>
        </w:rPr>
        <w:t xml:space="preserve">6–10 weeks. </w:t>
      </w:r>
      <w:r>
        <w:rPr>
          <w:b/>
          <w:bCs/>
          <w:color w:val="1A1A1A"/>
          <w:sz w:val="21"/>
          <w:szCs w:val="21"/>
        </w:rPr>
        <w:t xml:space="preserve">Depends on: </w:t>
      </w:r>
      <w:r>
        <w:rPr>
          <w:color w:val="1A1A1A"/>
          <w:sz w:val="21"/>
          <w:szCs w:val="21"/>
        </w:rPr>
        <w:t xml:space="preserve">a stable web app; ideally payments (Phase 3) so the app can ship with monetization intact.</w:t>
      </w:r>
    </w:p>
    <w:p>
      <w:pPr>
        <w:pStyle w:val="Heading2"/>
        <w:spacing w:after="120" w:before="260"/>
      </w:pPr>
      <w:r>
        <w:rPr>
          <w:b/>
          <w:bCs/>
          <w:color w:val="1A1A1A"/>
          <w:sz w:val="24"/>
          <w:szCs w:val="24"/>
        </w:rPr>
        <w:t xml:space="preserve">7.1 Choosing the approach</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1700"/>
        <w:gridCol w:w="1700"/>
        <w:gridCol w:w="1500"/>
        <w:gridCol w:w="4460"/>
      </w:tblGrid>
      <w:tr>
        <w:trPr>
          <w:tblHeader/>
        </w:trPr>
        <w:tc>
          <w:tcPr>
            <w:tcW w:type="dxa" w:w="1700"/>
            <w:shd w:fill="EEF4F0" w:val="clear"/>
            <w:tcMar>
              <w:top w:type="dxa" w:w="90"/>
              <w:left w:type="dxa" w:w="130"/>
              <w:bottom w:type="dxa" w:w="90"/>
              <w:right w:type="dxa" w:w="130"/>
            </w:tcMar>
          </w:tcPr>
          <w:p>
            <w:pPr>
              <w:spacing w:after="0" w:line="264"/>
            </w:pPr>
            <w:r>
              <w:rPr>
                <w:b/>
                <w:bCs/>
                <w:color w:val="1B7A4A"/>
                <w:sz w:val="19"/>
                <w:szCs w:val="19"/>
              </w:rPr>
              <w:t xml:space="preserve">Approach</w:t>
            </w:r>
          </w:p>
        </w:tc>
        <w:tc>
          <w:tcPr>
            <w:tcW w:type="dxa" w:w="1700"/>
            <w:shd w:fill="EEF4F0" w:val="clear"/>
            <w:tcMar>
              <w:top w:type="dxa" w:w="90"/>
              <w:left w:type="dxa" w:w="130"/>
              <w:bottom w:type="dxa" w:w="90"/>
              <w:right w:type="dxa" w:w="130"/>
            </w:tcMar>
          </w:tcPr>
          <w:p>
            <w:pPr>
              <w:spacing w:after="0" w:line="264"/>
            </w:pPr>
            <w:r>
              <w:rPr>
                <w:b/>
                <w:bCs/>
                <w:color w:val="1B7A4A"/>
                <w:sz w:val="19"/>
                <w:szCs w:val="19"/>
              </w:rPr>
              <w:t xml:space="preserve">Reuses your code?</w:t>
            </w:r>
          </w:p>
        </w:tc>
        <w:tc>
          <w:tcPr>
            <w:tcW w:type="dxa" w:w="1500"/>
            <w:shd w:fill="EEF4F0" w:val="clear"/>
            <w:tcMar>
              <w:top w:type="dxa" w:w="90"/>
              <w:left w:type="dxa" w:w="130"/>
              <w:bottom w:type="dxa" w:w="90"/>
              <w:right w:type="dxa" w:w="130"/>
            </w:tcMar>
          </w:tcPr>
          <w:p>
            <w:pPr>
              <w:spacing w:after="0" w:line="264"/>
            </w:pPr>
            <w:r>
              <w:rPr>
                <w:b/>
                <w:bCs/>
                <w:color w:val="1B7A4A"/>
                <w:sz w:val="19"/>
                <w:szCs w:val="19"/>
              </w:rPr>
              <w:t xml:space="preserve">Health Connect?</w:t>
            </w:r>
          </w:p>
        </w:tc>
        <w:tc>
          <w:tcPr>
            <w:tcW w:type="dxa" w:w="4460"/>
            <w:shd w:fill="EEF4F0" w:val="clear"/>
            <w:tcMar>
              <w:top w:type="dxa" w:w="90"/>
              <w:left w:type="dxa" w:w="130"/>
              <w:bottom w:type="dxa" w:w="90"/>
              <w:right w:type="dxa" w:w="130"/>
            </w:tcMar>
          </w:tcPr>
          <w:p>
            <w:pPr>
              <w:spacing w:after="0" w:line="264"/>
            </w:pPr>
            <w:r>
              <w:rPr>
                <w:b/>
                <w:bCs/>
                <w:color w:val="1B7A4A"/>
                <w:sz w:val="19"/>
                <w:szCs w:val="19"/>
              </w:rPr>
              <w:t xml:space="preserve">Verdict</w:t>
            </w:r>
          </w:p>
        </w:tc>
      </w:tr>
      <w:tr>
        <w:tc>
          <w:tcPr>
            <w:tcW w:type="dxa" w:w="1700"/>
            <w:tcMar>
              <w:top w:type="dxa" w:w="90"/>
              <w:left w:type="dxa" w:w="130"/>
              <w:bottom w:type="dxa" w:w="90"/>
              <w:right w:type="dxa" w:w="130"/>
            </w:tcMar>
          </w:tcPr>
          <w:p>
            <w:pPr>
              <w:spacing w:after="0" w:line="264"/>
            </w:pPr>
            <w:r>
              <w:rPr>
                <w:color w:val="1A1A1A"/>
                <w:sz w:val="19"/>
                <w:szCs w:val="19"/>
              </w:rPr>
              <w:t xml:space="preserve">Capacitor</w:t>
            </w:r>
          </w:p>
        </w:tc>
        <w:tc>
          <w:tcPr>
            <w:tcW w:type="dxa" w:w="1700"/>
            <w:tcMar>
              <w:top w:type="dxa" w:w="90"/>
              <w:left w:type="dxa" w:w="130"/>
              <w:bottom w:type="dxa" w:w="90"/>
              <w:right w:type="dxa" w:w="130"/>
            </w:tcMar>
          </w:tcPr>
          <w:p>
            <w:pPr>
              <w:spacing w:after="0" w:line="264"/>
            </w:pPr>
            <w:r>
              <w:rPr>
                <w:color w:val="1A1A1A"/>
                <w:sz w:val="19"/>
                <w:szCs w:val="19"/>
              </w:rPr>
              <w:t xml:space="preserve">Yes — nearly all of it</w:t>
            </w:r>
          </w:p>
        </w:tc>
        <w:tc>
          <w:tcPr>
            <w:tcW w:type="dxa" w:w="1500"/>
            <w:tcMar>
              <w:top w:type="dxa" w:w="90"/>
              <w:left w:type="dxa" w:w="130"/>
              <w:bottom w:type="dxa" w:w="90"/>
              <w:right w:type="dxa" w:w="130"/>
            </w:tcMar>
          </w:tcPr>
          <w:p>
            <w:pPr>
              <w:spacing w:after="0" w:line="264"/>
            </w:pPr>
            <w:r>
              <w:rPr>
                <w:color w:val="1A1A1A"/>
                <w:sz w:val="19"/>
                <w:szCs w:val="19"/>
              </w:rPr>
              <w:t xml:space="preserve">Yes, via a native plugin</w:t>
            </w:r>
          </w:p>
        </w:tc>
        <w:tc>
          <w:tcPr>
            <w:tcW w:type="dxa" w:w="4460"/>
            <w:tcMar>
              <w:top w:type="dxa" w:w="90"/>
              <w:left w:type="dxa" w:w="130"/>
              <w:bottom w:type="dxa" w:w="90"/>
              <w:right w:type="dxa" w:w="130"/>
            </w:tcMar>
          </w:tcPr>
          <w:p>
            <w:pPr>
              <w:spacing w:after="0" w:line="264"/>
            </w:pPr>
            <w:r>
              <w:rPr>
                <w:color w:val="1A1A1A"/>
                <w:sz w:val="19"/>
                <w:szCs w:val="19"/>
              </w:rPr>
              <w:t xml:space="preserve">RECOMMENDED. Wraps your existing Next.js app in a native shell and still allows native Android APIs.</w:t>
            </w:r>
          </w:p>
        </w:tc>
      </w:tr>
      <w:tr>
        <w:tc>
          <w:tcPr>
            <w:tcW w:type="dxa" w:w="1700"/>
            <w:tcMar>
              <w:top w:type="dxa" w:w="90"/>
              <w:left w:type="dxa" w:w="130"/>
              <w:bottom w:type="dxa" w:w="90"/>
              <w:right w:type="dxa" w:w="130"/>
            </w:tcMar>
          </w:tcPr>
          <w:p>
            <w:pPr>
              <w:spacing w:after="0" w:line="264"/>
            </w:pPr>
            <w:r>
              <w:rPr>
                <w:color w:val="1A1A1A"/>
                <w:sz w:val="19"/>
                <w:szCs w:val="19"/>
              </w:rPr>
              <w:t xml:space="preserve">Trusted Web Activity (TWA)</w:t>
            </w:r>
          </w:p>
        </w:tc>
        <w:tc>
          <w:tcPr>
            <w:tcW w:type="dxa" w:w="1700"/>
            <w:tcMar>
              <w:top w:type="dxa" w:w="90"/>
              <w:left w:type="dxa" w:w="130"/>
              <w:bottom w:type="dxa" w:w="90"/>
              <w:right w:type="dxa" w:w="130"/>
            </w:tcMar>
          </w:tcPr>
          <w:p>
            <w:pPr>
              <w:spacing w:after="0" w:line="264"/>
            </w:pPr>
            <w:r>
              <w:rPr>
                <w:color w:val="1A1A1A"/>
                <w:sz w:val="19"/>
                <w:szCs w:val="19"/>
              </w:rPr>
              <w:t xml:space="preserve">Yes, entirely</w:t>
            </w:r>
          </w:p>
        </w:tc>
        <w:tc>
          <w:tcPr>
            <w:tcW w:type="dxa" w:w="1500"/>
            <w:tcMar>
              <w:top w:type="dxa" w:w="90"/>
              <w:left w:type="dxa" w:w="130"/>
              <w:bottom w:type="dxa" w:w="90"/>
              <w:right w:type="dxa" w:w="130"/>
            </w:tcMar>
          </w:tcPr>
          <w:p>
            <w:pPr>
              <w:spacing w:after="0" w:line="264"/>
            </w:pPr>
            <w:r>
              <w:rPr>
                <w:color w:val="1A1A1A"/>
                <w:sz w:val="19"/>
                <w:szCs w:val="19"/>
              </w:rPr>
              <w:t xml:space="preserve">No</w:t>
            </w:r>
          </w:p>
        </w:tc>
        <w:tc>
          <w:tcPr>
            <w:tcW w:type="dxa" w:w="4460"/>
            <w:tcMar>
              <w:top w:type="dxa" w:w="90"/>
              <w:left w:type="dxa" w:w="130"/>
              <w:bottom w:type="dxa" w:w="90"/>
              <w:right w:type="dxa" w:w="130"/>
            </w:tcMar>
          </w:tcPr>
          <w:p>
            <w:pPr>
              <w:spacing w:after="0" w:line="264"/>
            </w:pPr>
            <w:r>
              <w:rPr>
                <w:color w:val="1A1A1A"/>
                <w:sz w:val="19"/>
                <w:szCs w:val="19"/>
              </w:rPr>
              <w:t xml:space="preserve">REJECT. Cheapest option, but a TWA is a browser tab — it cannot reach Health Connect, which removes the app's main reason to exist.</w:t>
            </w:r>
          </w:p>
        </w:tc>
      </w:tr>
      <w:tr>
        <w:tc>
          <w:tcPr>
            <w:tcW w:type="dxa" w:w="1700"/>
            <w:tcMar>
              <w:top w:type="dxa" w:w="90"/>
              <w:left w:type="dxa" w:w="130"/>
              <w:bottom w:type="dxa" w:w="90"/>
              <w:right w:type="dxa" w:w="130"/>
            </w:tcMar>
          </w:tcPr>
          <w:p>
            <w:pPr>
              <w:spacing w:after="0" w:line="264"/>
            </w:pPr>
            <w:r>
              <w:rPr>
                <w:color w:val="1A1A1A"/>
                <w:sz w:val="19"/>
                <w:szCs w:val="19"/>
              </w:rPr>
              <w:t xml:space="preserve">React Native</w:t>
            </w:r>
          </w:p>
        </w:tc>
        <w:tc>
          <w:tcPr>
            <w:tcW w:type="dxa" w:w="1700"/>
            <w:tcMar>
              <w:top w:type="dxa" w:w="90"/>
              <w:left w:type="dxa" w:w="130"/>
              <w:bottom w:type="dxa" w:w="90"/>
              <w:right w:type="dxa" w:w="130"/>
            </w:tcMar>
          </w:tcPr>
          <w:p>
            <w:pPr>
              <w:spacing w:after="0" w:line="264"/>
            </w:pPr>
            <w:r>
              <w:rPr>
                <w:color w:val="1A1A1A"/>
                <w:sz w:val="19"/>
                <w:szCs w:val="19"/>
              </w:rPr>
              <w:t xml:space="preserve">No — full UI rewrite</w:t>
            </w:r>
          </w:p>
        </w:tc>
        <w:tc>
          <w:tcPr>
            <w:tcW w:type="dxa" w:w="1500"/>
            <w:tcMar>
              <w:top w:type="dxa" w:w="90"/>
              <w:left w:type="dxa" w:w="130"/>
              <w:bottom w:type="dxa" w:w="90"/>
              <w:right w:type="dxa" w:w="130"/>
            </w:tcMar>
          </w:tcPr>
          <w:p>
            <w:pPr>
              <w:spacing w:after="0" w:line="264"/>
            </w:pPr>
            <w:r>
              <w:rPr>
                <w:color w:val="1A1A1A"/>
                <w:sz w:val="19"/>
                <w:szCs w:val="19"/>
              </w:rPr>
              <w:t xml:space="preserve">Yes</w:t>
            </w:r>
          </w:p>
        </w:tc>
        <w:tc>
          <w:tcPr>
            <w:tcW w:type="dxa" w:w="4460"/>
            <w:tcMar>
              <w:top w:type="dxa" w:w="90"/>
              <w:left w:type="dxa" w:w="130"/>
              <w:bottom w:type="dxa" w:w="90"/>
              <w:right w:type="dxa" w:w="130"/>
            </w:tcMar>
          </w:tcPr>
          <w:p>
            <w:pPr>
              <w:spacing w:after="0" w:line="264"/>
            </w:pPr>
            <w:r>
              <w:rPr>
                <w:color w:val="1A1A1A"/>
                <w:sz w:val="19"/>
                <w:szCs w:val="19"/>
              </w:rPr>
              <w:t xml:space="preserve">Only if you want a genuinely native feel and can afford to maintain two codebases.</w:t>
            </w:r>
          </w:p>
        </w:tc>
      </w:tr>
      <w:tr>
        <w:tc>
          <w:tcPr>
            <w:tcW w:type="dxa" w:w="1700"/>
            <w:tcMar>
              <w:top w:type="dxa" w:w="90"/>
              <w:left w:type="dxa" w:w="130"/>
              <w:bottom w:type="dxa" w:w="90"/>
              <w:right w:type="dxa" w:w="130"/>
            </w:tcMar>
          </w:tcPr>
          <w:p>
            <w:pPr>
              <w:spacing w:after="0" w:line="264"/>
            </w:pPr>
            <w:r>
              <w:rPr>
                <w:color w:val="1A1A1A"/>
                <w:sz w:val="19"/>
                <w:szCs w:val="19"/>
              </w:rPr>
              <w:t xml:space="preserve">Native Kotlin</w:t>
            </w:r>
          </w:p>
        </w:tc>
        <w:tc>
          <w:tcPr>
            <w:tcW w:type="dxa" w:w="1700"/>
            <w:tcMar>
              <w:top w:type="dxa" w:w="90"/>
              <w:left w:type="dxa" w:w="130"/>
              <w:bottom w:type="dxa" w:w="90"/>
              <w:right w:type="dxa" w:w="130"/>
            </w:tcMar>
          </w:tcPr>
          <w:p>
            <w:pPr>
              <w:spacing w:after="0" w:line="264"/>
            </w:pPr>
            <w:r>
              <w:rPr>
                <w:color w:val="1A1A1A"/>
                <w:sz w:val="19"/>
                <w:szCs w:val="19"/>
              </w:rPr>
              <w:t xml:space="preserve">No — full rewrite</w:t>
            </w:r>
          </w:p>
        </w:tc>
        <w:tc>
          <w:tcPr>
            <w:tcW w:type="dxa" w:w="1500"/>
            <w:tcMar>
              <w:top w:type="dxa" w:w="90"/>
              <w:left w:type="dxa" w:w="130"/>
              <w:bottom w:type="dxa" w:w="90"/>
              <w:right w:type="dxa" w:w="130"/>
            </w:tcMar>
          </w:tcPr>
          <w:p>
            <w:pPr>
              <w:spacing w:after="0" w:line="264"/>
            </w:pPr>
            <w:r>
              <w:rPr>
                <w:color w:val="1A1A1A"/>
                <w:sz w:val="19"/>
                <w:szCs w:val="19"/>
              </w:rPr>
              <w:t xml:space="preserve">Yes, best support</w:t>
            </w:r>
          </w:p>
        </w:tc>
        <w:tc>
          <w:tcPr>
            <w:tcW w:type="dxa" w:w="4460"/>
            <w:tcMar>
              <w:top w:type="dxa" w:w="90"/>
              <w:left w:type="dxa" w:w="130"/>
              <w:bottom w:type="dxa" w:w="90"/>
              <w:right w:type="dxa" w:w="130"/>
            </w:tcMar>
          </w:tcPr>
          <w:p>
            <w:pPr>
              <w:spacing w:after="0" w:line="264"/>
            </w:pPr>
            <w:r>
              <w:rPr>
                <w:color w:val="1A1A1A"/>
                <w:sz w:val="19"/>
                <w:szCs w:val="19"/>
              </w:rPr>
              <w:t xml:space="preserve">Best possible result, largest cost. Not justified at your stage.</w:t>
            </w:r>
          </w:p>
        </w:tc>
      </w:tr>
    </w:tbl>
    <w:p>
      <w:pPr>
        <w:spacing w:after="120" w:line="276"/>
      </w:pPr>
      <w:r>
        <w:rPr>
          <w:color w:val="1A1A1A"/>
          <w:sz w:val="21"/>
          <w:szCs w:val="21"/>
        </w:rPr>
        <w:t xml:space="preserve">Capacitor is the clear recommendation: one codebase, one set of bug fixes, and full access to Health Connect through a native plugin — which is exactly the combination your situation calls for.</w:t>
      </w:r>
    </w:p>
    <w:p>
      <w:pPr>
        <w:pStyle w:val="Heading2"/>
        <w:spacing w:after="120" w:before="260"/>
      </w:pPr>
      <w:r>
        <w:rPr>
          <w:b/>
          <w:bCs/>
          <w:color w:val="1A1A1A"/>
          <w:sz w:val="24"/>
          <w:szCs w:val="24"/>
        </w:rPr>
        <w:t xml:space="preserve">7.2 Work items</w:t>
      </w:r>
    </w:p>
    <w:p>
      <w:pPr>
        <w:pStyle w:val="Heading3"/>
        <w:spacing w:after="100" w:before="200"/>
      </w:pPr>
      <w:r>
        <w:rPr>
          <w:b/>
          <w:bCs/>
          <w:color w:val="5F6B66"/>
          <w:sz w:val="22"/>
          <w:szCs w:val="22"/>
        </w:rPr>
        <w:t xml:space="preserve">Shell and delivery</w:t>
      </w:r>
    </w:p>
    <w:p>
      <w:pPr>
        <w:pStyle w:val="ListParagraph"/>
        <w:numPr>
          <w:ilvl w:val="0"/>
          <w:numId w:val="2"/>
        </w:numPr>
        <w:spacing w:after="80" w:line="276"/>
      </w:pPr>
      <w:r>
        <w:rPr>
          <w:color w:val="1A1A1A"/>
          <w:sz w:val="21"/>
          <w:szCs w:val="21"/>
        </w:rPr>
        <w:t xml:space="preserve">Add Capacitor to the existing repository and generate the Android project.</w:t>
      </w:r>
    </w:p>
    <w:p>
      <w:pPr>
        <w:pStyle w:val="ListParagraph"/>
        <w:numPr>
          <w:ilvl w:val="0"/>
          <w:numId w:val="2"/>
        </w:numPr>
        <w:spacing w:after="80" w:line="276"/>
      </w:pPr>
      <w:r>
        <w:rPr>
          <w:color w:val="1A1A1A"/>
          <w:sz w:val="21"/>
          <w:szCs w:val="21"/>
        </w:rPr>
        <w:t xml:space="preserve">Decide how the web content is served: point the shell at the live Cloud Run deployment (updates ship instantly, requires connectivity) or bundle assets (works offline, requires a store update for every change). A hybrid — bundled shell, remote data — is usually right.</w:t>
      </w:r>
    </w:p>
    <w:p>
      <w:pPr>
        <w:pStyle w:val="ListParagraph"/>
        <w:numPr>
          <w:ilvl w:val="0"/>
          <w:numId w:val="2"/>
        </w:numPr>
        <w:spacing w:after="80" w:line="276"/>
      </w:pPr>
      <w:r>
        <w:rPr>
          <w:color w:val="1A1A1A"/>
          <w:sz w:val="21"/>
          <w:szCs w:val="21"/>
        </w:rPr>
        <w:t xml:space="preserve">Persist the Firebase Auth session natively so users are not asked to sign in on every launch.</w:t>
      </w:r>
    </w:p>
    <w:p>
      <w:pPr>
        <w:pStyle w:val="ListParagraph"/>
        <w:numPr>
          <w:ilvl w:val="0"/>
          <w:numId w:val="2"/>
        </w:numPr>
        <w:spacing w:after="80" w:line="276"/>
      </w:pPr>
      <w:r>
        <w:rPr>
          <w:color w:val="1A1A1A"/>
          <w:sz w:val="21"/>
          <w:szCs w:val="21"/>
        </w:rPr>
        <w:t xml:space="preserve">Deep links and Android App Links so calolean.com URLs open the app.</w:t>
      </w:r>
    </w:p>
    <w:p>
      <w:pPr>
        <w:pStyle w:val="Heading3"/>
        <w:spacing w:after="100" w:before="200"/>
      </w:pPr>
      <w:r>
        <w:rPr>
          <w:b/>
          <w:bCs/>
          <w:color w:val="5F6B66"/>
          <w:sz w:val="22"/>
          <w:szCs w:val="22"/>
        </w:rPr>
        <w:t xml:space="preserve">Native capabilities</w:t>
      </w:r>
    </w:p>
    <w:p>
      <w:pPr>
        <w:pStyle w:val="ListParagraph"/>
        <w:numPr>
          <w:ilvl w:val="0"/>
          <w:numId w:val="2"/>
        </w:numPr>
        <w:spacing w:after="80" w:line="276"/>
      </w:pPr>
      <w:r>
        <w:rPr>
          <w:color w:val="1A1A1A"/>
          <w:sz w:val="21"/>
          <w:szCs w:val="21"/>
        </w:rPr>
        <w:t xml:space="preserve">Health Connect permissions and read flow (Section 7.3).</w:t>
      </w:r>
    </w:p>
    <w:p>
      <w:pPr>
        <w:pStyle w:val="ListParagraph"/>
        <w:numPr>
          <w:ilvl w:val="0"/>
          <w:numId w:val="2"/>
        </w:numPr>
        <w:spacing w:after="80" w:line="276"/>
      </w:pPr>
      <w:r>
        <w:rPr>
          <w:color w:val="1A1A1A"/>
          <w:sz w:val="21"/>
          <w:szCs w:val="21"/>
        </w:rPr>
        <w:t xml:space="preserve">Push notifications via Firebase Cloud Messaging — meal reminders, streaks, water prompts.</w:t>
      </w:r>
    </w:p>
    <w:p>
      <w:pPr>
        <w:pStyle w:val="ListParagraph"/>
        <w:numPr>
          <w:ilvl w:val="0"/>
          <w:numId w:val="2"/>
        </w:numPr>
        <w:spacing w:after="80" w:line="276"/>
      </w:pPr>
      <w:r>
        <w:rPr>
          <w:color w:val="1A1A1A"/>
          <w:sz w:val="21"/>
          <w:szCs w:val="21"/>
        </w:rPr>
        <w:t xml:space="preserve">Native camera integration for food scanning; the compression pipeline in lib/image-compress.ts already exists and should be reused.</w:t>
      </w:r>
    </w:p>
    <w:p>
      <w:pPr>
        <w:pStyle w:val="ListParagraph"/>
        <w:numPr>
          <w:ilvl w:val="0"/>
          <w:numId w:val="2"/>
        </w:numPr>
        <w:spacing w:after="80" w:line="276"/>
      </w:pPr>
      <w:r>
        <w:rPr>
          <w:color w:val="1A1A1A"/>
          <w:sz w:val="21"/>
          <w:szCs w:val="21"/>
        </w:rPr>
        <w:t xml:space="preserve">Google Play Billing if premium is sold in-app.</w:t>
      </w:r>
    </w:p>
    <w:p>
      <w:pPr>
        <w:pStyle w:val="Heading3"/>
        <w:spacing w:after="100" w:before="200"/>
      </w:pPr>
      <w:r>
        <w:rPr>
          <w:b/>
          <w:bCs/>
          <w:color w:val="5F6B66"/>
          <w:sz w:val="22"/>
          <w:szCs w:val="22"/>
        </w:rPr>
        <w:t xml:space="preserve">Polish</w:t>
      </w:r>
    </w:p>
    <w:p>
      <w:pPr>
        <w:pStyle w:val="ListParagraph"/>
        <w:numPr>
          <w:ilvl w:val="0"/>
          <w:numId w:val="2"/>
        </w:numPr>
        <w:spacing w:after="80" w:line="276"/>
      </w:pPr>
      <w:r>
        <w:rPr>
          <w:color w:val="1A1A1A"/>
          <w:sz w:val="21"/>
          <w:szCs w:val="21"/>
        </w:rPr>
        <w:t xml:space="preserve">App icon, splash screen, adaptive icons.</w:t>
      </w:r>
    </w:p>
    <w:p>
      <w:pPr>
        <w:pStyle w:val="ListParagraph"/>
        <w:numPr>
          <w:ilvl w:val="0"/>
          <w:numId w:val="2"/>
        </w:numPr>
        <w:spacing w:after="80" w:line="276"/>
      </w:pPr>
      <w:r>
        <w:rPr>
          <w:color w:val="1A1A1A"/>
          <w:sz w:val="21"/>
          <w:szCs w:val="21"/>
        </w:rPr>
        <w:t xml:space="preserve">Back-button behaviour, safe areas, and keyboard handling — the three things that most obviously betray a wrapped web app.</w:t>
      </w:r>
    </w:p>
    <w:p>
      <w:pPr>
        <w:pStyle w:val="ListParagraph"/>
        <w:numPr>
          <w:ilvl w:val="0"/>
          <w:numId w:val="2"/>
        </w:numPr>
        <w:spacing w:after="80" w:line="276"/>
      </w:pPr>
      <w:r>
        <w:rPr>
          <w:color w:val="1A1A1A"/>
          <w:sz w:val="21"/>
          <w:szCs w:val="21"/>
        </w:rPr>
        <w:t xml:space="preserve">Offline state: a clear message rather than a blank screen.</w:t>
      </w:r>
    </w:p>
    <w:p>
      <w:pPr>
        <w:pStyle w:val="Heading2"/>
        <w:spacing w:after="120" w:before="260"/>
      </w:pPr>
      <w:r>
        <w:rPr>
          <w:b/>
          <w:bCs/>
          <w:color w:val="1A1A1A"/>
          <w:sz w:val="24"/>
          <w:szCs w:val="24"/>
        </w:rPr>
        <w:t xml:space="preserve">7.3 Health Connect specifics</w:t>
      </w:r>
    </w:p>
    <w:p>
      <w:pPr>
        <w:pStyle w:val="ListParagraph"/>
        <w:numPr>
          <w:ilvl w:val="0"/>
          <w:numId w:val="3"/>
        </w:numPr>
        <w:spacing w:after="80" w:line="276"/>
      </w:pPr>
      <w:r>
        <w:rPr>
          <w:color w:val="1A1A1A"/>
          <w:sz w:val="21"/>
          <w:szCs w:val="21"/>
        </w:rPr>
        <w:t xml:space="preserve">Declare the permissions you need, and only those: steps, active calories burned, heart rate, sleep, weight.</w:t>
      </w:r>
    </w:p>
    <w:p>
      <w:pPr>
        <w:pStyle w:val="ListParagraph"/>
        <w:numPr>
          <w:ilvl w:val="0"/>
          <w:numId w:val="3"/>
        </w:numPr>
        <w:spacing w:after="80" w:line="276"/>
      </w:pPr>
      <w:r>
        <w:rPr>
          <w:color w:val="1A1A1A"/>
          <w:sz w:val="21"/>
          <w:szCs w:val="21"/>
        </w:rPr>
        <w:t xml:space="preserve">Request permissions at a moment the user understands why — after they view their dashboard, not on first launch.</w:t>
      </w:r>
    </w:p>
    <w:p>
      <w:pPr>
        <w:pStyle w:val="ListParagraph"/>
        <w:numPr>
          <w:ilvl w:val="0"/>
          <w:numId w:val="3"/>
        </w:numPr>
        <w:spacing w:after="80" w:line="276"/>
      </w:pPr>
      <w:r>
        <w:rPr>
          <w:color w:val="1A1A1A"/>
          <w:sz w:val="21"/>
          <w:szCs w:val="21"/>
        </w:rPr>
        <w:t xml:space="preserve">Read incrementally with change tokens rather than re-reading full history on every sync.</w:t>
      </w:r>
    </w:p>
    <w:p>
      <w:pPr>
        <w:pStyle w:val="ListParagraph"/>
        <w:numPr>
          <w:ilvl w:val="0"/>
          <w:numId w:val="3"/>
        </w:numPr>
        <w:spacing w:after="80" w:line="276"/>
      </w:pPr>
      <w:r>
        <w:rPr>
          <w:color w:val="1A1A1A"/>
          <w:sz w:val="21"/>
          <w:szCs w:val="21"/>
        </w:rPr>
        <w:t xml:space="preserve">Write the results into the same Firestore shapes the web app already uses, so both clients read one source of truth.</w:t>
      </w:r>
    </w:p>
    <w:p>
      <w:pPr>
        <w:pStyle w:val="ListParagraph"/>
        <w:numPr>
          <w:ilvl w:val="0"/>
          <w:numId w:val="3"/>
        </w:numPr>
        <w:spacing w:after="80" w:line="276"/>
      </w:pPr>
      <w:r>
        <w:rPr>
          <w:color w:val="1A1A1A"/>
          <w:sz w:val="21"/>
          <w:szCs w:val="21"/>
        </w:rPr>
        <w:t xml:space="preserve">Degrade gracefully: Health Connect is absent or empty on many devices. Manual entry must remain fully functional.</w:t>
      </w:r>
    </w:p>
    <w:p>
      <w:pPr>
        <w:pStyle w:val="ListParagraph"/>
        <w:numPr>
          <w:ilvl w:val="0"/>
          <w:numId w:val="3"/>
        </w:numPr>
        <w:spacing w:after="80" w:line="276"/>
      </w:pPr>
      <w:r>
        <w:rPr>
          <w:color w:val="1A1A1A"/>
          <w:sz w:val="21"/>
          <w:szCs w:val="21"/>
        </w:rPr>
        <w:t xml:space="preserve">Handle permission revocation — users can withdraw access at any time from system settings.</w:t>
      </w:r>
    </w:p>
    <w:tbl>
      <w:tblPr>
        <w:tblW w:type="dxa" w:w="9360"/>
        <w:tblBorders>
          <w:top w:val="single" w:color="A32020" w:sz="2"/>
          <w:left w:val="single" w:color="A32020" w:sz="18"/>
          <w:bottom w:val="single" w:color="A32020" w:sz="2"/>
          <w:right w:val="single" w:color="A32020" w:sz="2"/>
          <w:insideH w:val="none" w:color="auto" w:sz="0"/>
          <w:insideV w:val="none" w:color="auto" w:sz="0"/>
        </w:tblBorders>
      </w:tblPr>
      <w:tblGrid>
        <w:gridCol w:w="9360"/>
      </w:tblGrid>
      <w:tr>
        <w:tc>
          <w:tcPr>
            <w:tcW w:type="dxa" w:w="9360"/>
            <w:shd w:fill="FBEDED" w:val="clear"/>
            <w:tcMar>
              <w:top w:type="dxa" w:w="140"/>
              <w:left w:type="dxa" w:w="180"/>
              <w:bottom w:type="dxa" w:w="140"/>
              <w:right w:type="dxa" w:w="180"/>
            </w:tcMar>
          </w:tcPr>
          <w:p>
            <w:pPr>
              <w:spacing w:after="60"/>
            </w:pPr>
            <w:r>
              <w:rPr>
                <w:b/>
                <w:bCs/>
                <w:color w:val="A32020"/>
                <w:sz w:val="21"/>
                <w:szCs w:val="21"/>
              </w:rPr>
              <w:t xml:space="preserve">Health data raises the compliance bar</w:t>
            </w:r>
          </w:p>
          <w:p>
            <w:pPr>
              <w:spacing w:after="40" w:line="276"/>
            </w:pPr>
            <w:r>
              <w:rPr>
                <w:color w:val="1A1A1A"/>
                <w:sz w:val="20"/>
                <w:szCs w:val="20"/>
              </w:rPr>
              <w:t xml:space="preserve">Once the app reads health data you must complete Google Play's Health Apps declaration, your privacy policy must specifically describe what health data you read, why, where it is stored and how it is deleted, and you may not use health data for advertising. Your ad targeting already avoids personal content — keep that boundary strictly intact once real health data is present.</w:t>
            </w:r>
          </w:p>
        </w:tc>
      </w:tr>
    </w:tbl>
    <w:p>
      <w:r>
        <w:br w:type="page"/>
      </w:r>
    </w:p>
    <w:p>
      <w:pPr>
        <w:pStyle w:val="Heading1"/>
        <w:spacing w:after="160" w:before="360"/>
      </w:pPr>
      <w:r>
        <w:rPr>
          <w:b/>
          <w:bCs/>
          <w:color w:val="1B7A4A"/>
          <w:sz w:val="30"/>
          <w:szCs w:val="30"/>
        </w:rPr>
        <w:t xml:space="preserve">8. Phase 6 — Play Store Launch</w:t>
      </w:r>
    </w:p>
    <w:p>
      <w:pPr>
        <w:spacing w:after="120" w:line="276"/>
      </w:pPr>
      <w:r>
        <w:rPr>
          <w:b/>
          <w:bCs/>
          <w:color w:val="1A1A1A"/>
          <w:sz w:val="21"/>
          <w:szCs w:val="21"/>
        </w:rPr>
        <w:t xml:space="preserve">Duration: </w:t>
      </w:r>
      <w:r>
        <w:rPr>
          <w:color w:val="1A1A1A"/>
          <w:sz w:val="21"/>
          <w:szCs w:val="21"/>
        </w:rPr>
        <w:t xml:space="preserve">4–6 weeks, most of it mandatory waiting. </w:t>
      </w:r>
      <w:r>
        <w:rPr>
          <w:color w:val="1A1A1A"/>
          <w:sz w:val="21"/>
          <w:szCs w:val="21"/>
        </w:rPr>
        <w:t xml:space="preserve">Start the account setup early — it runs in parallel with development.</w:t>
      </w:r>
    </w:p>
    <w:tbl>
      <w:tblPr>
        <w:tblW w:type="dxa" w:w="9360"/>
        <w:tblBorders>
          <w:top w:val="single" w:color="A32020" w:sz="2"/>
          <w:left w:val="single" w:color="A32020" w:sz="18"/>
          <w:bottom w:val="single" w:color="A32020" w:sz="2"/>
          <w:right w:val="single" w:color="A32020" w:sz="2"/>
          <w:insideH w:val="none" w:color="auto" w:sz="0"/>
          <w:insideV w:val="none" w:color="auto" w:sz="0"/>
        </w:tblBorders>
      </w:tblPr>
      <w:tblGrid>
        <w:gridCol w:w="9360"/>
      </w:tblGrid>
      <w:tr>
        <w:tc>
          <w:tcPr>
            <w:tcW w:type="dxa" w:w="9360"/>
            <w:shd w:fill="FBEDED" w:val="clear"/>
            <w:tcMar>
              <w:top w:type="dxa" w:w="140"/>
              <w:left w:type="dxa" w:w="180"/>
              <w:bottom w:type="dxa" w:w="140"/>
              <w:right w:type="dxa" w:w="180"/>
            </w:tcMar>
          </w:tcPr>
          <w:p>
            <w:pPr>
              <w:spacing w:after="60"/>
            </w:pPr>
            <w:r>
              <w:rPr>
                <w:b/>
                <w:bCs/>
                <w:color w:val="A32020"/>
                <w:sz w:val="21"/>
                <w:szCs w:val="21"/>
              </w:rPr>
              <w:t xml:space="preserve">Decide your account type before you pay — it is worth roughly three weeks</w:t>
            </w:r>
          </w:p>
          <w:p>
            <w:pPr>
              <w:spacing w:after="40" w:line="276"/>
            </w:pPr>
            <w:r>
              <w:rPr>
                <w:color w:val="1A1A1A"/>
                <w:sz w:val="20"/>
                <w:szCs w:val="20"/>
              </w:rPr>
              <w:t xml:space="preserve">Personal accounts created on or after 13 November 2023 must run a closed test with at least 12 testers who remain continuously opted in for 14 days before they may even apply for production access. Since 2026 Google also checks that those testers genuinely used the app, so twelve inactive sign-ups will not pass.</w:t>
            </w:r>
          </w:p>
          <w:p>
            <w:pPr>
              <w:spacing w:after="40" w:line="276"/>
            </w:pPr>
            <w:r>
              <w:rPr>
                <w:color w:val="1A1A1A"/>
                <w:sz w:val="20"/>
                <w:szCs w:val="20"/>
              </w:rPr>
              <w:t xml:space="preserve">Organisation (business) accounts are exempt from this requirement entirely. They require business verification, which takes its own time but runs in parallel with development rather than blocking the end of it.</w:t>
            </w:r>
          </w:p>
          <w:p>
            <w:pPr>
              <w:spacing w:after="40" w:line="276"/>
            </w:pPr>
            <w:r>
              <w:rPr>
                <w:color w:val="1A1A1A"/>
                <w:sz w:val="20"/>
                <w:szCs w:val="20"/>
              </w:rPr>
              <w:t xml:space="preserve">If Calolean is or can be a registered business, open an organisation account. It is the single largest schedule saving available anywhere in this roadmap.</w:t>
            </w:r>
          </w:p>
        </w:tc>
      </w:tr>
    </w:tbl>
    <w:p>
      <w:pPr>
        <w:pStyle w:val="Heading2"/>
        <w:spacing w:after="120" w:before="260"/>
      </w:pPr>
      <w:r>
        <w:rPr>
          <w:b/>
          <w:bCs/>
          <w:color w:val="1A1A1A"/>
          <w:sz w:val="24"/>
          <w:szCs w:val="24"/>
        </w:rPr>
        <w:t xml:space="preserve">8.1 Account and listing</w:t>
      </w:r>
    </w:p>
    <w:p>
      <w:pPr>
        <w:pStyle w:val="ListParagraph"/>
        <w:numPr>
          <w:ilvl w:val="0"/>
          <w:numId w:val="3"/>
        </w:numPr>
        <w:spacing w:after="80" w:line="276"/>
      </w:pPr>
      <w:r>
        <w:rPr>
          <w:color w:val="1A1A1A"/>
          <w:sz w:val="21"/>
          <w:szCs w:val="21"/>
        </w:rPr>
        <w:t xml:space="preserve">Create the Play Console account (US$25, one time). Choose personal or organisation per the box above.</w:t>
      </w:r>
    </w:p>
    <w:p>
      <w:pPr>
        <w:pStyle w:val="ListParagraph"/>
        <w:numPr>
          <w:ilvl w:val="0"/>
          <w:numId w:val="3"/>
        </w:numPr>
        <w:spacing w:after="80" w:line="276"/>
      </w:pPr>
      <w:r>
        <w:rPr>
          <w:color w:val="1A1A1A"/>
          <w:sz w:val="21"/>
          <w:szCs w:val="21"/>
        </w:rPr>
        <w:t xml:space="preserve">Complete identity or business verification.</w:t>
      </w:r>
    </w:p>
    <w:p>
      <w:pPr>
        <w:pStyle w:val="ListParagraph"/>
        <w:numPr>
          <w:ilvl w:val="0"/>
          <w:numId w:val="3"/>
        </w:numPr>
        <w:spacing w:after="80" w:line="276"/>
      </w:pPr>
      <w:r>
        <w:rPr>
          <w:color w:val="1A1A1A"/>
          <w:sz w:val="21"/>
          <w:szCs w:val="21"/>
        </w:rPr>
        <w:t xml:space="preserve">Prepare listing assets: 512×512 icon; 1024×500 feature graphic; at least two phone screenshots (more is better); short description (80 characters); full description (4,000).</w:t>
      </w:r>
    </w:p>
    <w:p>
      <w:pPr>
        <w:pStyle w:val="ListParagraph"/>
        <w:numPr>
          <w:ilvl w:val="0"/>
          <w:numId w:val="3"/>
        </w:numPr>
        <w:spacing w:after="80" w:line="276"/>
      </w:pPr>
      <w:r>
        <w:rPr>
          <w:color w:val="1A1A1A"/>
          <w:sz w:val="21"/>
          <w:szCs w:val="21"/>
        </w:rPr>
        <w:t xml:space="preserve">Provide the public privacy-policy URL — https://calolean.com/privacy, which Phase 1 created.</w:t>
      </w:r>
    </w:p>
    <w:p>
      <w:pPr>
        <w:pStyle w:val="ListParagraph"/>
        <w:numPr>
          <w:ilvl w:val="0"/>
          <w:numId w:val="3"/>
        </w:numPr>
        <w:spacing w:after="80" w:line="276"/>
      </w:pPr>
      <w:r>
        <w:rPr>
          <w:color w:val="1A1A1A"/>
          <w:sz w:val="21"/>
          <w:szCs w:val="21"/>
        </w:rPr>
        <w:t xml:space="preserve">Provide a monitored support email address.</w:t>
      </w:r>
    </w:p>
    <w:p>
      <w:pPr>
        <w:pStyle w:val="Heading2"/>
        <w:spacing w:after="120" w:before="260"/>
      </w:pPr>
      <w:r>
        <w:rPr>
          <w:b/>
          <w:bCs/>
          <w:color w:val="1A1A1A"/>
          <w:sz w:val="24"/>
          <w:szCs w:val="24"/>
        </w:rPr>
        <w:t xml:space="preserve">8.2 Compliance forms</w:t>
      </w:r>
    </w:p>
    <w:p>
      <w:pPr>
        <w:pStyle w:val="ListParagraph"/>
        <w:numPr>
          <w:ilvl w:val="0"/>
          <w:numId w:val="2"/>
        </w:numPr>
        <w:spacing w:after="80" w:line="276"/>
      </w:pPr>
      <w:r>
        <w:rPr>
          <w:b/>
          <w:bCs/>
          <w:color w:val="1A1A1A"/>
          <w:sz w:val="21"/>
          <w:szCs w:val="21"/>
        </w:rPr>
        <w:t xml:space="preserve">Data safety: </w:t>
      </w:r>
      <w:r>
        <w:rPr>
          <w:color w:val="1A1A1A"/>
          <w:sz w:val="21"/>
          <w:szCs w:val="21"/>
        </w:rPr>
        <w:t xml:space="preserve">declare every category you collect — account identifiers, health and fitness data, photos, usage data — and how each is used, whether it is shared, and whether it is encrypted in transit. It must match reality; mismatches are a common rejection cause.</w:t>
      </w:r>
    </w:p>
    <w:p>
      <w:pPr>
        <w:pStyle w:val="ListParagraph"/>
        <w:numPr>
          <w:ilvl w:val="0"/>
          <w:numId w:val="2"/>
        </w:numPr>
        <w:spacing w:after="80" w:line="276"/>
      </w:pPr>
      <w:r>
        <w:rPr>
          <w:b/>
          <w:bCs/>
          <w:color w:val="1A1A1A"/>
          <w:sz w:val="21"/>
          <w:szCs w:val="21"/>
        </w:rPr>
        <w:t xml:space="preserve">Health apps declaration: </w:t>
      </w:r>
      <w:r>
        <w:rPr>
          <w:color w:val="1A1A1A"/>
          <w:sz w:val="21"/>
          <w:szCs w:val="21"/>
        </w:rPr>
        <w:t xml:space="preserve">required once you touch Health Connect.</w:t>
      </w:r>
    </w:p>
    <w:p>
      <w:pPr>
        <w:pStyle w:val="ListParagraph"/>
        <w:numPr>
          <w:ilvl w:val="0"/>
          <w:numId w:val="2"/>
        </w:numPr>
        <w:spacing w:after="80" w:line="276"/>
      </w:pPr>
      <w:r>
        <w:rPr>
          <w:b/>
          <w:bCs/>
          <w:color w:val="1A1A1A"/>
          <w:sz w:val="21"/>
          <w:szCs w:val="21"/>
        </w:rPr>
        <w:t xml:space="preserve">Content rating questionnaire, target audience, ads declaration </w:t>
      </w:r>
      <w:r>
        <w:rPr>
          <w:color w:val="1A1A1A"/>
          <w:sz w:val="21"/>
          <w:szCs w:val="21"/>
        </w:rPr>
        <w:t xml:space="preserve">(you do serve ads — declare it), and data-deletion policy. Your existing /profile/export screen is a good foundation for the deletion requirement.</w:t>
      </w:r>
    </w:p>
    <w:p>
      <w:pPr>
        <w:pStyle w:val="Heading2"/>
        <w:spacing w:after="120" w:before="260"/>
      </w:pPr>
      <w:r>
        <w:rPr>
          <w:b/>
          <w:bCs/>
          <w:color w:val="1A1A1A"/>
          <w:sz w:val="24"/>
          <w:szCs w:val="24"/>
        </w:rPr>
        <w:t xml:space="preserve">8.3 Testing and release</w:t>
      </w:r>
    </w:p>
    <w:p>
      <w:pPr>
        <w:pStyle w:val="ListParagraph"/>
        <w:numPr>
          <w:ilvl w:val="0"/>
          <w:numId w:val="3"/>
        </w:numPr>
        <w:spacing w:after="80" w:line="276"/>
      </w:pPr>
      <w:r>
        <w:rPr>
          <w:color w:val="1A1A1A"/>
          <w:sz w:val="21"/>
          <w:szCs w:val="21"/>
        </w:rPr>
        <w:t xml:space="preserve">Internal testing — your own devices, immediate.</w:t>
      </w:r>
    </w:p>
    <w:p>
      <w:pPr>
        <w:pStyle w:val="ListParagraph"/>
        <w:numPr>
          <w:ilvl w:val="0"/>
          <w:numId w:val="3"/>
        </w:numPr>
        <w:spacing w:after="80" w:line="276"/>
      </w:pPr>
      <w:r>
        <w:rPr>
          <w:color w:val="1A1A1A"/>
          <w:sz w:val="21"/>
          <w:szCs w:val="21"/>
        </w:rPr>
        <w:t xml:space="preserve">Closed testing — this is where the 12-testers / 14-days clock runs if you have a personal account. Recruit real people who will actually open the app; friends and family count, but only if they use it.</w:t>
      </w:r>
    </w:p>
    <w:p>
      <w:pPr>
        <w:pStyle w:val="ListParagraph"/>
        <w:numPr>
          <w:ilvl w:val="0"/>
          <w:numId w:val="3"/>
        </w:numPr>
        <w:spacing w:after="80" w:line="276"/>
      </w:pPr>
      <w:r>
        <w:rPr>
          <w:color w:val="1A1A1A"/>
          <w:sz w:val="21"/>
          <w:szCs w:val="21"/>
        </w:rPr>
        <w:t xml:space="preserve">Apply for production access once the criteria are met.</w:t>
      </w:r>
    </w:p>
    <w:p>
      <w:pPr>
        <w:pStyle w:val="ListParagraph"/>
        <w:numPr>
          <w:ilvl w:val="0"/>
          <w:numId w:val="3"/>
        </w:numPr>
        <w:spacing w:after="80" w:line="276"/>
      </w:pPr>
      <w:r>
        <w:rPr>
          <w:color w:val="1A1A1A"/>
          <w:sz w:val="21"/>
          <w:szCs w:val="21"/>
        </w:rPr>
        <w:t xml:space="preserve">Open testing (optional) as a wider beta.</w:t>
      </w:r>
    </w:p>
    <w:p>
      <w:pPr>
        <w:pStyle w:val="ListParagraph"/>
        <w:numPr>
          <w:ilvl w:val="0"/>
          <w:numId w:val="3"/>
        </w:numPr>
        <w:spacing w:after="80" w:line="276"/>
      </w:pPr>
      <w:r>
        <w:rPr>
          <w:color w:val="1A1A1A"/>
          <w:sz w:val="21"/>
          <w:szCs w:val="21"/>
        </w:rPr>
        <w:t xml:space="preserve">Production release — consider a staged rollout at 20% so a bad build can be halted before it reaches everyone.</w:t>
      </w:r>
    </w:p>
    <w:p>
      <w:pPr>
        <w:spacing w:after="120" w:line="276"/>
      </w:pPr>
      <w:r>
        <w:rPr>
          <w:color w:val="1A1A1A"/>
          <w:sz w:val="21"/>
          <w:szCs w:val="21"/>
        </w:rPr>
        <w:t xml:space="preserve">Review typically takes a few days but can take longer for a first submission from a new account, and health-data permissions attract extra scrutiny. Budget for at least one rejection and resubmission; it is normal, not a failure.</w:t>
      </w:r>
    </w:p>
    <w:p>
      <w:r>
        <w:br w:type="page"/>
      </w:r>
    </w:p>
    <w:p>
      <w:pPr>
        <w:pStyle w:val="Heading1"/>
        <w:spacing w:after="160" w:before="360"/>
      </w:pPr>
      <w:r>
        <w:rPr>
          <w:b/>
          <w:bCs/>
          <w:color w:val="1B7A4A"/>
          <w:sz w:val="30"/>
          <w:szCs w:val="30"/>
        </w:rPr>
        <w:t xml:space="preserve">9. Phase 7 — Real Launch &amp; Growth</w:t>
      </w:r>
    </w:p>
    <w:p>
      <w:pPr>
        <w:pStyle w:val="Heading2"/>
        <w:spacing w:after="120" w:before="260"/>
      </w:pPr>
      <w:r>
        <w:rPr>
          <w:b/>
          <w:bCs/>
          <w:color w:val="1A1A1A"/>
          <w:sz w:val="24"/>
          <w:szCs w:val="24"/>
        </w:rPr>
        <w:t xml:space="preserve">9.1 Before you tell anyone</w:t>
      </w:r>
    </w:p>
    <w:p>
      <w:pPr>
        <w:pStyle w:val="ListParagraph"/>
        <w:numPr>
          <w:ilvl w:val="0"/>
          <w:numId w:val="2"/>
        </w:numPr>
        <w:spacing w:after="80" w:line="276"/>
      </w:pPr>
      <w:r>
        <w:rPr>
          <w:color w:val="1A1A1A"/>
          <w:sz w:val="21"/>
          <w:szCs w:val="21"/>
        </w:rPr>
        <w:t xml:space="preserve">Confirm GA4 is recording and define the events that matter: sign-up, onboarding completion, first food scan, first workout logged, premium upgrade.</w:t>
      </w:r>
    </w:p>
    <w:p>
      <w:pPr>
        <w:pStyle w:val="ListParagraph"/>
        <w:numPr>
          <w:ilvl w:val="0"/>
          <w:numId w:val="2"/>
        </w:numPr>
        <w:spacing w:after="80" w:line="276"/>
      </w:pPr>
      <w:r>
        <w:rPr>
          <w:color w:val="1A1A1A"/>
          <w:sz w:val="21"/>
          <w:szCs w:val="21"/>
        </w:rPr>
        <w:t xml:space="preserve">Add error monitoring (Sentry or equivalent). Right now a production exception is only visible if you happen to read Cloud Run logs.</w:t>
      </w:r>
    </w:p>
    <w:p>
      <w:pPr>
        <w:pStyle w:val="ListParagraph"/>
        <w:numPr>
          <w:ilvl w:val="0"/>
          <w:numId w:val="2"/>
        </w:numPr>
        <w:spacing w:after="80" w:line="276"/>
      </w:pPr>
      <w:r>
        <w:rPr>
          <w:color w:val="1A1A1A"/>
          <w:sz w:val="21"/>
          <w:szCs w:val="21"/>
        </w:rPr>
        <w:t xml:space="preserve">Add uptime monitoring on calolean.com with an alert to your phone.</w:t>
      </w:r>
    </w:p>
    <w:p>
      <w:pPr>
        <w:pStyle w:val="ListParagraph"/>
        <w:numPr>
          <w:ilvl w:val="0"/>
          <w:numId w:val="2"/>
        </w:numPr>
        <w:spacing w:after="80" w:line="276"/>
      </w:pPr>
      <w:r>
        <w:rPr>
          <w:color w:val="1A1A1A"/>
          <w:sz w:val="21"/>
          <w:szCs w:val="21"/>
        </w:rPr>
        <w:t xml:space="preserve">Load-test the Cloud SQL connection pool — it is configured with max: 2, which is deliberate and correct for scale-to-zero, but should be verified under concurrent traffic before a traffic spike finds it for you.</w:t>
      </w:r>
    </w:p>
    <w:p>
      <w:pPr>
        <w:pStyle w:val="ListParagraph"/>
        <w:numPr>
          <w:ilvl w:val="0"/>
          <w:numId w:val="2"/>
        </w:numPr>
        <w:spacing w:after="80" w:line="276"/>
      </w:pPr>
      <w:r>
        <w:rPr>
          <w:color w:val="1A1A1A"/>
          <w:sz w:val="21"/>
          <w:szCs w:val="21"/>
        </w:rPr>
        <w:t xml:space="preserve">Write the support runbook: where logs are, how to look up a user, how to issue a refund.</w:t>
      </w:r>
    </w:p>
    <w:p>
      <w:pPr>
        <w:pStyle w:val="Heading2"/>
        <w:spacing w:after="120" w:before="260"/>
      </w:pPr>
      <w:r>
        <w:rPr>
          <w:b/>
          <w:bCs/>
          <w:color w:val="1A1A1A"/>
          <w:sz w:val="24"/>
          <w:szCs w:val="24"/>
        </w:rPr>
        <w:t xml:space="preserve">9.2 Metrics worth watching</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3400"/>
        <w:gridCol w:w="5960"/>
      </w:tblGrid>
      <w:tr>
        <w:trPr>
          <w:tblHeader/>
        </w:trPr>
        <w:tc>
          <w:tcPr>
            <w:tcW w:type="dxa" w:w="3400"/>
            <w:shd w:fill="EEF4F0" w:val="clear"/>
            <w:tcMar>
              <w:top w:type="dxa" w:w="90"/>
              <w:left w:type="dxa" w:w="130"/>
              <w:bottom w:type="dxa" w:w="90"/>
              <w:right w:type="dxa" w:w="130"/>
            </w:tcMar>
          </w:tcPr>
          <w:p>
            <w:pPr>
              <w:spacing w:after="0" w:line="264"/>
            </w:pPr>
            <w:r>
              <w:rPr>
                <w:b/>
                <w:bCs/>
                <w:color w:val="1B7A4A"/>
                <w:sz w:val="19"/>
                <w:szCs w:val="19"/>
              </w:rPr>
              <w:t xml:space="preserve">Metric</w:t>
            </w:r>
          </w:p>
        </w:tc>
        <w:tc>
          <w:tcPr>
            <w:tcW w:type="dxa" w:w="5960"/>
            <w:shd w:fill="EEF4F0" w:val="clear"/>
            <w:tcMar>
              <w:top w:type="dxa" w:w="90"/>
              <w:left w:type="dxa" w:w="130"/>
              <w:bottom w:type="dxa" w:w="90"/>
              <w:right w:type="dxa" w:w="130"/>
            </w:tcMar>
          </w:tcPr>
          <w:p>
            <w:pPr>
              <w:spacing w:after="0" w:line="264"/>
            </w:pPr>
            <w:r>
              <w:rPr>
                <w:b/>
                <w:bCs/>
                <w:color w:val="1B7A4A"/>
                <w:sz w:val="19"/>
                <w:szCs w:val="19"/>
              </w:rPr>
              <w:t xml:space="preserve">Why it matters</w:t>
            </w:r>
          </w:p>
        </w:tc>
      </w:tr>
      <w:tr>
        <w:tc>
          <w:tcPr>
            <w:tcW w:type="dxa" w:w="3400"/>
            <w:tcMar>
              <w:top w:type="dxa" w:w="90"/>
              <w:left w:type="dxa" w:w="130"/>
              <w:bottom w:type="dxa" w:w="90"/>
              <w:right w:type="dxa" w:w="130"/>
            </w:tcMar>
          </w:tcPr>
          <w:p>
            <w:pPr>
              <w:spacing w:after="0" w:line="264"/>
            </w:pPr>
            <w:r>
              <w:rPr>
                <w:color w:val="1A1A1A"/>
                <w:sz w:val="19"/>
                <w:szCs w:val="19"/>
              </w:rPr>
              <w:t xml:space="preserve">Activation — % who complete a first food scan</w:t>
            </w:r>
          </w:p>
        </w:tc>
        <w:tc>
          <w:tcPr>
            <w:tcW w:type="dxa" w:w="5960"/>
            <w:tcMar>
              <w:top w:type="dxa" w:w="90"/>
              <w:left w:type="dxa" w:w="130"/>
              <w:bottom w:type="dxa" w:w="90"/>
              <w:right w:type="dxa" w:w="130"/>
            </w:tcMar>
          </w:tcPr>
          <w:p>
            <w:pPr>
              <w:spacing w:after="0" w:line="264"/>
            </w:pPr>
            <w:r>
              <w:rPr>
                <w:color w:val="1A1A1A"/>
                <w:sz w:val="19"/>
                <w:szCs w:val="19"/>
              </w:rPr>
              <w:t xml:space="preserve">Your single best predictor of retention. If users never scan, they never see what makes Calolean different.</w:t>
            </w:r>
          </w:p>
        </w:tc>
      </w:tr>
      <w:tr>
        <w:tc>
          <w:tcPr>
            <w:tcW w:type="dxa" w:w="3400"/>
            <w:tcMar>
              <w:top w:type="dxa" w:w="90"/>
              <w:left w:type="dxa" w:w="130"/>
              <w:bottom w:type="dxa" w:w="90"/>
              <w:right w:type="dxa" w:w="130"/>
            </w:tcMar>
          </w:tcPr>
          <w:p>
            <w:pPr>
              <w:spacing w:after="0" w:line="264"/>
            </w:pPr>
            <w:r>
              <w:rPr>
                <w:color w:val="1A1A1A"/>
                <w:sz w:val="19"/>
                <w:szCs w:val="19"/>
              </w:rPr>
              <w:t xml:space="preserve">D1 / D7 / D30 retention</w:t>
            </w:r>
          </w:p>
        </w:tc>
        <w:tc>
          <w:tcPr>
            <w:tcW w:type="dxa" w:w="5960"/>
            <w:tcMar>
              <w:top w:type="dxa" w:w="90"/>
              <w:left w:type="dxa" w:w="130"/>
              <w:bottom w:type="dxa" w:w="90"/>
              <w:right w:type="dxa" w:w="130"/>
            </w:tcMar>
          </w:tcPr>
          <w:p>
            <w:pPr>
              <w:spacing w:after="0" w:line="264"/>
            </w:pPr>
            <w:r>
              <w:rPr>
                <w:color w:val="1A1A1A"/>
                <w:sz w:val="19"/>
                <w:szCs w:val="19"/>
              </w:rPr>
              <w:t xml:space="preserve">Diet apps live and die here. D7 above 20% is a genuinely good signal.</w:t>
            </w:r>
          </w:p>
        </w:tc>
      </w:tr>
      <w:tr>
        <w:tc>
          <w:tcPr>
            <w:tcW w:type="dxa" w:w="3400"/>
            <w:tcMar>
              <w:top w:type="dxa" w:w="90"/>
              <w:left w:type="dxa" w:w="130"/>
              <w:bottom w:type="dxa" w:w="90"/>
              <w:right w:type="dxa" w:w="130"/>
            </w:tcMar>
          </w:tcPr>
          <w:p>
            <w:pPr>
              <w:spacing w:after="0" w:line="264"/>
            </w:pPr>
            <w:r>
              <w:rPr>
                <w:color w:val="1A1A1A"/>
                <w:sz w:val="19"/>
                <w:szCs w:val="19"/>
              </w:rPr>
              <w:t xml:space="preserve">Free → premium conversion</w:t>
            </w:r>
          </w:p>
        </w:tc>
        <w:tc>
          <w:tcPr>
            <w:tcW w:type="dxa" w:w="5960"/>
            <w:tcMar>
              <w:top w:type="dxa" w:w="90"/>
              <w:left w:type="dxa" w:w="130"/>
              <w:bottom w:type="dxa" w:w="90"/>
              <w:right w:type="dxa" w:w="130"/>
            </w:tcMar>
          </w:tcPr>
          <w:p>
            <w:pPr>
              <w:spacing w:after="0" w:line="264"/>
            </w:pPr>
            <w:r>
              <w:rPr>
                <w:color w:val="1A1A1A"/>
                <w:sz w:val="19"/>
                <w:szCs w:val="19"/>
              </w:rPr>
              <w:t xml:space="preserve">1–3% is typical. Below that, either pricing or the free tier's limits need adjusting.</w:t>
            </w:r>
          </w:p>
        </w:tc>
      </w:tr>
      <w:tr>
        <w:tc>
          <w:tcPr>
            <w:tcW w:type="dxa" w:w="3400"/>
            <w:tcMar>
              <w:top w:type="dxa" w:w="90"/>
              <w:left w:type="dxa" w:w="130"/>
              <w:bottom w:type="dxa" w:w="90"/>
              <w:right w:type="dxa" w:w="130"/>
            </w:tcMar>
          </w:tcPr>
          <w:p>
            <w:pPr>
              <w:spacing w:after="0" w:line="264"/>
            </w:pPr>
            <w:r>
              <w:rPr>
                <w:color w:val="1A1A1A"/>
                <w:sz w:val="19"/>
                <w:szCs w:val="19"/>
              </w:rPr>
              <w:t xml:space="preserve">Cost per active user</w:t>
            </w:r>
          </w:p>
        </w:tc>
        <w:tc>
          <w:tcPr>
            <w:tcW w:type="dxa" w:w="5960"/>
            <w:tcMar>
              <w:top w:type="dxa" w:w="90"/>
              <w:left w:type="dxa" w:w="130"/>
              <w:bottom w:type="dxa" w:w="90"/>
              <w:right w:type="dxa" w:w="130"/>
            </w:tcMar>
          </w:tcPr>
          <w:p>
            <w:pPr>
              <w:spacing w:after="0" w:line="264"/>
            </w:pPr>
            <w:r>
              <w:rPr>
                <w:color w:val="1A1A1A"/>
                <w:sz w:val="19"/>
                <w:szCs w:val="19"/>
              </w:rPr>
              <w:t xml:space="preserve">Vertex AI and Cloud Run scale per request. Watch this before growth, not after.</w:t>
            </w:r>
          </w:p>
        </w:tc>
      </w:tr>
    </w:tbl>
    <w:p>
      <w:pPr>
        <w:pStyle w:val="Heading2"/>
        <w:spacing w:after="120" w:before="260"/>
      </w:pPr>
      <w:r>
        <w:rPr>
          <w:b/>
          <w:bCs/>
          <w:color w:val="1A1A1A"/>
          <w:sz w:val="24"/>
          <w:szCs w:val="24"/>
        </w:rPr>
        <w:t xml:space="preserve">9.3 Where the first users come from</w:t>
      </w:r>
    </w:p>
    <w:p>
      <w:pPr>
        <w:pStyle w:val="ListParagraph"/>
        <w:numPr>
          <w:ilvl w:val="0"/>
          <w:numId w:val="2"/>
        </w:numPr>
        <w:spacing w:after="80" w:line="276"/>
      </w:pPr>
      <w:r>
        <w:rPr>
          <w:color w:val="1A1A1A"/>
          <w:sz w:val="21"/>
          <w:szCs w:val="21"/>
        </w:rPr>
        <w:t xml:space="preserve">Your existing waiting list — you already have those emails in Firestore with a backup. This is your warmest possible audience and should be the first launch email.</w:t>
      </w:r>
    </w:p>
    <w:p>
      <w:pPr>
        <w:pStyle w:val="ListParagraph"/>
        <w:numPr>
          <w:ilvl w:val="0"/>
          <w:numId w:val="2"/>
        </w:numPr>
        <w:spacing w:after="80" w:line="276"/>
      </w:pPr>
      <w:r>
        <w:rPr>
          <w:color w:val="1A1A1A"/>
          <w:sz w:val="21"/>
          <w:szCs w:val="21"/>
        </w:rPr>
        <w:t xml:space="preserve">Organic search from the Phase 1 blog and food pages. Slow to start, best long-term return, and already paid for.</w:t>
      </w:r>
    </w:p>
    <w:p>
      <w:pPr>
        <w:pStyle w:val="ListParagraph"/>
        <w:numPr>
          <w:ilvl w:val="0"/>
          <w:numId w:val="2"/>
        </w:numPr>
        <w:spacing w:after="80" w:line="276"/>
      </w:pPr>
      <w:r>
        <w:rPr>
          <w:color w:val="1A1A1A"/>
          <w:sz w:val="21"/>
          <w:szCs w:val="21"/>
        </w:rPr>
        <w:t xml:space="preserve">Indian fitness and diet communities on Reddit and elsewhere — participate genuinely; a drive-by launch post gets removed.</w:t>
      </w:r>
    </w:p>
    <w:p>
      <w:pPr>
        <w:pStyle w:val="ListParagraph"/>
        <w:numPr>
          <w:ilvl w:val="0"/>
          <w:numId w:val="2"/>
        </w:numPr>
        <w:spacing w:after="80" w:line="276"/>
      </w:pPr>
      <w:r>
        <w:rPr>
          <w:color w:val="1A1A1A"/>
          <w:sz w:val="21"/>
          <w:szCs w:val="21"/>
        </w:rPr>
        <w:t xml:space="preserve">Product Hunt for a visibility spike, once the marketing site is polished enough to convert the traffic.</w:t>
      </w:r>
    </w:p>
    <w:p>
      <w:pPr>
        <w:pStyle w:val="ListParagraph"/>
        <w:numPr>
          <w:ilvl w:val="0"/>
          <w:numId w:val="2"/>
        </w:numPr>
        <w:spacing w:after="80" w:line="276"/>
      </w:pPr>
      <w:r>
        <w:rPr>
          <w:color w:val="1A1A1A"/>
          <w:sz w:val="21"/>
          <w:szCs w:val="21"/>
        </w:rPr>
        <w:t xml:space="preserve">App Store Optimisation once live — the title, short description and screenshots are the levers.</w:t>
      </w:r>
    </w:p>
    <w:p>
      <w:r>
        <w:br w:type="page"/>
      </w:r>
    </w:p>
    <w:p>
      <w:pPr>
        <w:pStyle w:val="Heading1"/>
        <w:spacing w:after="160" w:before="360"/>
      </w:pPr>
      <w:r>
        <w:rPr>
          <w:b/>
          <w:bCs/>
          <w:color w:val="1B7A4A"/>
          <w:sz w:val="30"/>
          <w:szCs w:val="30"/>
        </w:rPr>
        <w:t xml:space="preserve">10. Recommended Sequence</w:t>
      </w:r>
    </w:p>
    <w:p>
      <w:pPr>
        <w:spacing w:after="120" w:line="276"/>
      </w:pPr>
      <w:r>
        <w:rPr>
          <w:color w:val="1A1A1A"/>
          <w:sz w:val="21"/>
          <w:szCs w:val="21"/>
        </w:rPr>
        <w:t xml:space="preserve">The dependencies matter more than the durations. Three chains constrain everything:</w:t>
      </w:r>
    </w:p>
    <w:p>
      <w:pPr>
        <w:pStyle w:val="ListParagraph"/>
        <w:numPr>
          <w:ilvl w:val="0"/>
          <w:numId w:val="2"/>
        </w:numPr>
        <w:spacing w:after="80" w:line="276"/>
      </w:pPr>
      <w:r>
        <w:rPr>
          <w:b/>
          <w:bCs/>
          <w:color w:val="1A1A1A"/>
          <w:sz w:val="21"/>
          <w:szCs w:val="21"/>
        </w:rPr>
        <w:t xml:space="preserve">Marketing site → AdSense. </w:t>
      </w:r>
      <w:r>
        <w:rPr>
          <w:color w:val="1A1A1A"/>
          <w:sz w:val="21"/>
          <w:szCs w:val="21"/>
        </w:rPr>
        <w:t xml:space="preserve">Approval needs public original content.</w:t>
      </w:r>
    </w:p>
    <w:p>
      <w:pPr>
        <w:pStyle w:val="ListParagraph"/>
        <w:numPr>
          <w:ilvl w:val="0"/>
          <w:numId w:val="2"/>
        </w:numPr>
        <w:spacing w:after="80" w:line="276"/>
      </w:pPr>
      <w:r>
        <w:rPr>
          <w:b/>
          <w:bCs/>
          <w:color w:val="1A1A1A"/>
          <w:sz w:val="21"/>
          <w:szCs w:val="21"/>
        </w:rPr>
        <w:t xml:space="preserve">Marketing site → Play Store. </w:t>
      </w:r>
      <w:r>
        <w:rPr>
          <w:color w:val="1A1A1A"/>
          <w:sz w:val="21"/>
          <w:szCs w:val="21"/>
        </w:rPr>
        <w:t xml:space="preserve">The listing needs a public privacy-policy URL.</w:t>
      </w:r>
    </w:p>
    <w:p>
      <w:pPr>
        <w:pStyle w:val="ListParagraph"/>
        <w:numPr>
          <w:ilvl w:val="0"/>
          <w:numId w:val="2"/>
        </w:numPr>
        <w:spacing w:after="80" w:line="276"/>
      </w:pPr>
      <w:r>
        <w:rPr>
          <w:b/>
          <w:bCs/>
          <w:color w:val="1A1A1A"/>
          <w:sz w:val="21"/>
          <w:szCs w:val="21"/>
        </w:rPr>
        <w:t xml:space="preserve">Android app → Health Connect. </w:t>
      </w:r>
      <w:r>
        <w:rPr>
          <w:color w:val="1A1A1A"/>
          <w:sz w:val="21"/>
          <w:szCs w:val="21"/>
        </w:rPr>
        <w:t xml:space="preserve">There is no other route to health data.</w:t>
      </w:r>
    </w:p>
    <w:p>
      <w:pPr>
        <w:spacing w:after="120" w:line="276"/>
      </w:pPr>
      <w:r>
        <w:rPr>
          <w:color w:val="1A1A1A"/>
          <w:sz w:val="21"/>
          <w:szCs w:val="21"/>
        </w:rPr>
        <w:t xml:space="preserve">And one schedule trap: the Play account decision (personal versus organisation) should be made in week one, because a personal account adds a mandatory three-week testing period at the very end of the project — the worst possible place to discover it.</w:t>
      </w:r>
    </w:p>
    <w:tbl>
      <w:tblPr>
        <w:tblW w:type="dxa" w:w="9360"/>
        <w:tblBorders>
          <w:top w:val="single" w:color="C9D6CE" w:sz="2"/>
          <w:left w:val="single" w:color="C9D6CE" w:sz="2"/>
          <w:bottom w:val="single" w:color="C9D6CE" w:sz="2"/>
          <w:right w:val="single" w:color="C9D6CE" w:sz="2"/>
          <w:insideH w:val="single" w:color="DDE6E0" w:sz="2"/>
          <w:insideV w:val="single" w:color="DDE6E0" w:sz="2"/>
        </w:tblBorders>
      </w:tblPr>
      <w:tblGrid>
        <w:gridCol w:w="900"/>
        <w:gridCol w:w="4400"/>
        <w:gridCol w:w="4060"/>
      </w:tblGrid>
      <w:tr>
        <w:trPr>
          <w:tblHeader/>
        </w:trPr>
        <w:tc>
          <w:tcPr>
            <w:tcW w:type="dxa" w:w="900"/>
            <w:shd w:fill="EEF4F0" w:val="clear"/>
            <w:tcMar>
              <w:top w:type="dxa" w:w="90"/>
              <w:left w:type="dxa" w:w="130"/>
              <w:bottom w:type="dxa" w:w="90"/>
              <w:right w:type="dxa" w:w="130"/>
            </w:tcMar>
          </w:tcPr>
          <w:p>
            <w:pPr>
              <w:spacing w:after="0" w:line="264"/>
            </w:pPr>
            <w:r>
              <w:rPr>
                <w:b/>
                <w:bCs/>
                <w:color w:val="1B7A4A"/>
                <w:sz w:val="19"/>
                <w:szCs w:val="19"/>
              </w:rPr>
              <w:t xml:space="preserve">Weeks</w:t>
            </w:r>
          </w:p>
        </w:tc>
        <w:tc>
          <w:tcPr>
            <w:tcW w:type="dxa" w:w="4400"/>
            <w:shd w:fill="EEF4F0" w:val="clear"/>
            <w:tcMar>
              <w:top w:type="dxa" w:w="90"/>
              <w:left w:type="dxa" w:w="130"/>
              <w:bottom w:type="dxa" w:w="90"/>
              <w:right w:type="dxa" w:w="130"/>
            </w:tcMar>
          </w:tcPr>
          <w:p>
            <w:pPr>
              <w:spacing w:after="0" w:line="264"/>
            </w:pPr>
            <w:r>
              <w:rPr>
                <w:b/>
                <w:bCs/>
                <w:color w:val="1B7A4A"/>
                <w:sz w:val="19"/>
                <w:szCs w:val="19"/>
              </w:rPr>
              <w:t xml:space="preserve">Primary work</w:t>
            </w:r>
          </w:p>
        </w:tc>
        <w:tc>
          <w:tcPr>
            <w:tcW w:type="dxa" w:w="4060"/>
            <w:shd w:fill="EEF4F0" w:val="clear"/>
            <w:tcMar>
              <w:top w:type="dxa" w:w="90"/>
              <w:left w:type="dxa" w:w="130"/>
              <w:bottom w:type="dxa" w:w="90"/>
              <w:right w:type="dxa" w:w="130"/>
            </w:tcMar>
          </w:tcPr>
          <w:p>
            <w:pPr>
              <w:spacing w:after="0" w:line="264"/>
            </w:pPr>
            <w:r>
              <w:rPr>
                <w:b/>
                <w:bCs/>
                <w:color w:val="1B7A4A"/>
                <w:sz w:val="19"/>
                <w:szCs w:val="19"/>
              </w:rPr>
              <w:t xml:space="preserve">Running in parallel</w:t>
            </w:r>
          </w:p>
        </w:tc>
      </w:tr>
      <w:tr>
        <w:tc>
          <w:tcPr>
            <w:tcW w:type="dxa" w:w="900"/>
            <w:tcMar>
              <w:top w:type="dxa" w:w="90"/>
              <w:left w:type="dxa" w:w="130"/>
              <w:bottom w:type="dxa" w:w="90"/>
              <w:right w:type="dxa" w:w="130"/>
            </w:tcMar>
          </w:tcPr>
          <w:p>
            <w:pPr>
              <w:spacing w:after="0" w:line="264"/>
            </w:pPr>
            <w:r>
              <w:rPr>
                <w:color w:val="1A1A1A"/>
                <w:sz w:val="19"/>
                <w:szCs w:val="19"/>
              </w:rPr>
              <w:t xml:space="preserve">1–3</w:t>
            </w:r>
          </w:p>
        </w:tc>
        <w:tc>
          <w:tcPr>
            <w:tcW w:type="dxa" w:w="4400"/>
            <w:tcMar>
              <w:top w:type="dxa" w:w="90"/>
              <w:left w:type="dxa" w:w="130"/>
              <w:bottom w:type="dxa" w:w="90"/>
              <w:right w:type="dxa" w:w="130"/>
            </w:tcMar>
          </w:tcPr>
          <w:p>
            <w:pPr>
              <w:spacing w:after="0" w:line="264"/>
            </w:pPr>
            <w:r>
              <w:rPr>
                <w:color w:val="1A1A1A"/>
                <w:sz w:val="19"/>
                <w:szCs w:val="19"/>
              </w:rPr>
              <w:t xml:space="preserve">Phase 1 — marketing site, public privacy/terms, SEO fixes, first blog posts</w:t>
            </w:r>
          </w:p>
        </w:tc>
        <w:tc>
          <w:tcPr>
            <w:tcW w:type="dxa" w:w="4060"/>
            <w:tcMar>
              <w:top w:type="dxa" w:w="90"/>
              <w:left w:type="dxa" w:w="130"/>
              <w:bottom w:type="dxa" w:w="90"/>
              <w:right w:type="dxa" w:w="130"/>
            </w:tcMar>
          </w:tcPr>
          <w:p>
            <w:pPr>
              <w:spacing w:after="0" w:line="264"/>
            </w:pPr>
            <w:r>
              <w:rPr>
                <w:color w:val="1A1A1A"/>
                <w:sz w:val="19"/>
                <w:szCs w:val="19"/>
              </w:rPr>
              <w:t xml:space="preserve">Open the Play Console account; start business verification if going the organisation route</w:t>
            </w:r>
          </w:p>
        </w:tc>
      </w:tr>
      <w:tr>
        <w:tc>
          <w:tcPr>
            <w:tcW w:type="dxa" w:w="900"/>
            <w:tcMar>
              <w:top w:type="dxa" w:w="90"/>
              <w:left w:type="dxa" w:w="130"/>
              <w:bottom w:type="dxa" w:w="90"/>
              <w:right w:type="dxa" w:w="130"/>
            </w:tcMar>
          </w:tcPr>
          <w:p>
            <w:pPr>
              <w:spacing w:after="0" w:line="264"/>
            </w:pPr>
            <w:r>
              <w:rPr>
                <w:color w:val="1A1A1A"/>
                <w:sz w:val="19"/>
                <w:szCs w:val="19"/>
              </w:rPr>
              <w:t xml:space="preserve">3–4</w:t>
            </w:r>
          </w:p>
        </w:tc>
        <w:tc>
          <w:tcPr>
            <w:tcW w:type="dxa" w:w="4400"/>
            <w:tcMar>
              <w:top w:type="dxa" w:w="90"/>
              <w:left w:type="dxa" w:w="130"/>
              <w:bottom w:type="dxa" w:w="90"/>
              <w:right w:type="dxa" w:w="130"/>
            </w:tcMar>
          </w:tcPr>
          <w:p>
            <w:pPr>
              <w:spacing w:after="0" w:line="264"/>
            </w:pPr>
            <w:r>
              <w:rPr>
                <w:color w:val="1A1A1A"/>
                <w:sz w:val="19"/>
                <w:szCs w:val="19"/>
              </w:rPr>
              <w:t xml:space="preserve">Apply to AdSense; keep publishing content</w:t>
            </w:r>
          </w:p>
        </w:tc>
        <w:tc>
          <w:tcPr>
            <w:tcW w:type="dxa" w:w="4060"/>
            <w:tcMar>
              <w:top w:type="dxa" w:w="90"/>
              <w:left w:type="dxa" w:w="130"/>
              <w:bottom w:type="dxa" w:w="90"/>
              <w:right w:type="dxa" w:w="130"/>
            </w:tcMar>
          </w:tcPr>
          <w:p>
            <w:pPr>
              <w:spacing w:after="0" w:line="264"/>
            </w:pPr>
            <w:r>
              <w:rPr>
                <w:color w:val="1A1A1A"/>
                <w:sz w:val="19"/>
                <w:szCs w:val="19"/>
              </w:rPr>
              <w:t xml:space="preserve">Begin Razorpay onboarding and KYC</w:t>
            </w:r>
          </w:p>
        </w:tc>
      </w:tr>
      <w:tr>
        <w:tc>
          <w:tcPr>
            <w:tcW w:type="dxa" w:w="900"/>
            <w:tcMar>
              <w:top w:type="dxa" w:w="90"/>
              <w:left w:type="dxa" w:w="130"/>
              <w:bottom w:type="dxa" w:w="90"/>
              <w:right w:type="dxa" w:w="130"/>
            </w:tcMar>
          </w:tcPr>
          <w:p>
            <w:pPr>
              <w:spacing w:after="0" w:line="264"/>
            </w:pPr>
            <w:r>
              <w:rPr>
                <w:color w:val="1A1A1A"/>
                <w:sz w:val="19"/>
                <w:szCs w:val="19"/>
              </w:rPr>
              <w:t xml:space="preserve">4–6</w:t>
            </w:r>
          </w:p>
        </w:tc>
        <w:tc>
          <w:tcPr>
            <w:tcW w:type="dxa" w:w="4400"/>
            <w:tcMar>
              <w:top w:type="dxa" w:w="90"/>
              <w:left w:type="dxa" w:w="130"/>
              <w:bottom w:type="dxa" w:w="90"/>
              <w:right w:type="dxa" w:w="130"/>
            </w:tcMar>
          </w:tcPr>
          <w:p>
            <w:pPr>
              <w:spacing w:after="0" w:line="264"/>
            </w:pPr>
            <w:r>
              <w:rPr>
                <w:color w:val="1A1A1A"/>
                <w:sz w:val="19"/>
                <w:szCs w:val="19"/>
              </w:rPr>
              <w:t xml:space="preserve">Phase 3 — payments, pricing page, webhook, entitlement writes</w:t>
            </w:r>
          </w:p>
        </w:tc>
        <w:tc>
          <w:tcPr>
            <w:tcW w:type="dxa" w:w="4060"/>
            <w:tcMar>
              <w:top w:type="dxa" w:w="90"/>
              <w:left w:type="dxa" w:w="130"/>
              <w:bottom w:type="dxa" w:w="90"/>
              <w:right w:type="dxa" w:w="130"/>
            </w:tcMar>
          </w:tcPr>
          <w:p>
            <w:pPr>
              <w:spacing w:after="0" w:line="264"/>
            </w:pPr>
            <w:r>
              <w:rPr>
                <w:color w:val="1A1A1A"/>
                <w:sz w:val="19"/>
                <w:szCs w:val="19"/>
              </w:rPr>
              <w:t xml:space="preserve">AdSense review is in progress</w:t>
            </w:r>
          </w:p>
        </w:tc>
      </w:tr>
      <w:tr>
        <w:tc>
          <w:tcPr>
            <w:tcW w:type="dxa" w:w="900"/>
            <w:tcMar>
              <w:top w:type="dxa" w:w="90"/>
              <w:left w:type="dxa" w:w="130"/>
              <w:bottom w:type="dxa" w:w="90"/>
              <w:right w:type="dxa" w:w="130"/>
            </w:tcMar>
          </w:tcPr>
          <w:p>
            <w:pPr>
              <w:spacing w:after="0" w:line="264"/>
            </w:pPr>
            <w:r>
              <w:rPr>
                <w:color w:val="1A1A1A"/>
                <w:sz w:val="19"/>
                <w:szCs w:val="19"/>
              </w:rPr>
              <w:t xml:space="preserve">6–12</w:t>
            </w:r>
          </w:p>
        </w:tc>
        <w:tc>
          <w:tcPr>
            <w:tcW w:type="dxa" w:w="4400"/>
            <w:tcMar>
              <w:top w:type="dxa" w:w="90"/>
              <w:left w:type="dxa" w:w="130"/>
              <w:bottom w:type="dxa" w:w="90"/>
              <w:right w:type="dxa" w:w="130"/>
            </w:tcMar>
          </w:tcPr>
          <w:p>
            <w:pPr>
              <w:spacing w:after="0" w:line="264"/>
            </w:pPr>
            <w:r>
              <w:rPr>
                <w:color w:val="1A1A1A"/>
                <w:sz w:val="19"/>
                <w:szCs w:val="19"/>
              </w:rPr>
              <w:t xml:space="preserve">Phase 5 — Capacitor shell, Health Connect, push notifications</w:t>
            </w:r>
          </w:p>
        </w:tc>
        <w:tc>
          <w:tcPr>
            <w:tcW w:type="dxa" w:w="4060"/>
            <w:tcMar>
              <w:top w:type="dxa" w:w="90"/>
              <w:left w:type="dxa" w:w="130"/>
              <w:bottom w:type="dxa" w:w="90"/>
              <w:right w:type="dxa" w:w="130"/>
            </w:tcMar>
          </w:tcPr>
          <w:p>
            <w:pPr>
              <w:spacing w:after="0" w:line="264"/>
            </w:pPr>
            <w:r>
              <w:rPr>
                <w:color w:val="1A1A1A"/>
                <w:sz w:val="19"/>
                <w:szCs w:val="19"/>
              </w:rPr>
              <w:t xml:space="preserve">Content keeps shipping; watch organic traffic</w:t>
            </w:r>
          </w:p>
        </w:tc>
      </w:tr>
      <w:tr>
        <w:tc>
          <w:tcPr>
            <w:tcW w:type="dxa" w:w="900"/>
            <w:tcMar>
              <w:top w:type="dxa" w:w="90"/>
              <w:left w:type="dxa" w:w="130"/>
              <w:bottom w:type="dxa" w:w="90"/>
              <w:right w:type="dxa" w:w="130"/>
            </w:tcMar>
          </w:tcPr>
          <w:p>
            <w:pPr>
              <w:spacing w:after="0" w:line="264"/>
            </w:pPr>
            <w:r>
              <w:rPr>
                <w:color w:val="1A1A1A"/>
                <w:sz w:val="19"/>
                <w:szCs w:val="19"/>
              </w:rPr>
              <w:t xml:space="preserve">10–14</w:t>
            </w:r>
          </w:p>
        </w:tc>
        <w:tc>
          <w:tcPr>
            <w:tcW w:type="dxa" w:w="4400"/>
            <w:tcMar>
              <w:top w:type="dxa" w:w="90"/>
              <w:left w:type="dxa" w:w="130"/>
              <w:bottom w:type="dxa" w:w="90"/>
              <w:right w:type="dxa" w:w="130"/>
            </w:tcMar>
          </w:tcPr>
          <w:p>
            <w:pPr>
              <w:spacing w:after="0" w:line="264"/>
            </w:pPr>
            <w:r>
              <w:rPr>
                <w:color w:val="1A1A1A"/>
                <w:sz w:val="19"/>
                <w:szCs w:val="19"/>
              </w:rPr>
              <w:t xml:space="preserve">Phase 6 — store assets, data-safety forms, closed testing</w:t>
            </w:r>
          </w:p>
        </w:tc>
        <w:tc>
          <w:tcPr>
            <w:tcW w:type="dxa" w:w="4060"/>
            <w:tcMar>
              <w:top w:type="dxa" w:w="90"/>
              <w:left w:type="dxa" w:w="130"/>
              <w:bottom w:type="dxa" w:w="90"/>
              <w:right w:type="dxa" w:w="130"/>
            </w:tcMar>
          </w:tcPr>
          <w:p>
            <w:pPr>
              <w:spacing w:after="0" w:line="264"/>
            </w:pPr>
            <w:r>
              <w:rPr>
                <w:color w:val="1A1A1A"/>
                <w:sz w:val="19"/>
                <w:szCs w:val="19"/>
              </w:rPr>
              <w:t xml:space="preserve">12-tester clock runs here if on a personal account</w:t>
            </w:r>
          </w:p>
        </w:tc>
      </w:tr>
      <w:tr>
        <w:tc>
          <w:tcPr>
            <w:tcW w:type="dxa" w:w="900"/>
            <w:tcMar>
              <w:top w:type="dxa" w:w="90"/>
              <w:left w:type="dxa" w:w="130"/>
              <w:bottom w:type="dxa" w:w="90"/>
              <w:right w:type="dxa" w:w="130"/>
            </w:tcMar>
          </w:tcPr>
          <w:p>
            <w:pPr>
              <w:spacing w:after="0" w:line="264"/>
            </w:pPr>
            <w:r>
              <w:rPr>
                <w:color w:val="1A1A1A"/>
                <w:sz w:val="19"/>
                <w:szCs w:val="19"/>
              </w:rPr>
              <w:t xml:space="preserve">14–16</w:t>
            </w:r>
          </w:p>
        </w:tc>
        <w:tc>
          <w:tcPr>
            <w:tcW w:type="dxa" w:w="4400"/>
            <w:tcMar>
              <w:top w:type="dxa" w:w="90"/>
              <w:left w:type="dxa" w:w="130"/>
              <w:bottom w:type="dxa" w:w="90"/>
              <w:right w:type="dxa" w:w="130"/>
            </w:tcMar>
          </w:tcPr>
          <w:p>
            <w:pPr>
              <w:spacing w:after="0" w:line="264"/>
            </w:pPr>
            <w:r>
              <w:rPr>
                <w:color w:val="1A1A1A"/>
                <w:sz w:val="19"/>
                <w:szCs w:val="19"/>
              </w:rPr>
              <w:t xml:space="preserve">Production release, staged rollout, launch to the waiting list</w:t>
            </w:r>
          </w:p>
        </w:tc>
        <w:tc>
          <w:tcPr>
            <w:tcW w:type="dxa" w:w="4060"/>
            <w:tcMar>
              <w:top w:type="dxa" w:w="90"/>
              <w:left w:type="dxa" w:w="130"/>
              <w:bottom w:type="dxa" w:w="90"/>
              <w:right w:type="dxa" w:w="130"/>
            </w:tcMar>
          </w:tcPr>
          <w:p>
            <w:pPr>
              <w:spacing w:after="0" w:line="264"/>
            </w:pPr>
            <w:r>
              <w:rPr>
                <w:color w:val="1A1A1A"/>
                <w:sz w:val="19"/>
                <w:szCs w:val="19"/>
              </w:rPr>
              <w:t xml:space="preserve">Monitor retention, cost per user, conversion</w:t>
            </w:r>
          </w:p>
        </w:tc>
      </w:tr>
    </w:tbl>
    <w:p>
      <w:pPr>
        <w:pStyle w:val="Heading2"/>
        <w:spacing w:after="120" w:before="260"/>
      </w:pPr>
      <w:r>
        <w:rPr>
          <w:b/>
          <w:bCs/>
          <w:color w:val="1A1A1A"/>
          <w:sz w:val="24"/>
          <w:szCs w:val="24"/>
        </w:rPr>
        <w:t xml:space="preserve">10.1 The next seven days</w:t>
      </w:r>
    </w:p>
    <w:p>
      <w:pPr>
        <w:pStyle w:val="ListParagraph"/>
        <w:numPr>
          <w:ilvl w:val="0"/>
          <w:numId w:val="3"/>
        </w:numPr>
        <w:spacing w:after="80" w:line="276"/>
      </w:pPr>
      <w:r>
        <w:rPr>
          <w:color w:val="1A1A1A"/>
          <w:sz w:val="21"/>
          <w:szCs w:val="21"/>
        </w:rPr>
        <w:t xml:space="preserve">Uncheck 'Enable automatic storage increases' on calolean-db, and review whether point-in-time recovery is worth its cost at your current scale.</w:t>
      </w:r>
    </w:p>
    <w:p>
      <w:pPr>
        <w:pStyle w:val="ListParagraph"/>
        <w:numPr>
          <w:ilvl w:val="0"/>
          <w:numId w:val="3"/>
        </w:numPr>
        <w:spacing w:after="80" w:line="276"/>
      </w:pPr>
      <w:r>
        <w:rPr>
          <w:color w:val="1A1A1A"/>
          <w:sz w:val="21"/>
          <w:szCs w:val="21"/>
        </w:rPr>
        <w:t xml:space="preserve">Decide personal versus organisation for the Play Console account. If organisation is possible, begin verification now.</w:t>
      </w:r>
    </w:p>
    <w:p>
      <w:pPr>
        <w:pStyle w:val="ListParagraph"/>
        <w:numPr>
          <w:ilvl w:val="0"/>
          <w:numId w:val="3"/>
        </w:numPr>
        <w:spacing w:after="80" w:line="276"/>
      </w:pPr>
      <w:r>
        <w:rPr>
          <w:color w:val="1A1A1A"/>
          <w:sz w:val="21"/>
          <w:szCs w:val="21"/>
        </w:rPr>
        <w:t xml:space="preserve">Move the privacy policy and terms to public /privacy and /terms routes; fix robots.ts and sitemap.ts to match.</w:t>
      </w:r>
    </w:p>
    <w:p>
      <w:pPr>
        <w:pStyle w:val="ListParagraph"/>
        <w:numPr>
          <w:ilvl w:val="0"/>
          <w:numId w:val="3"/>
        </w:numPr>
        <w:spacing w:after="80" w:line="276"/>
      </w:pPr>
      <w:r>
        <w:rPr>
          <w:color w:val="1A1A1A"/>
          <w:sz w:val="21"/>
          <w:szCs w:val="21"/>
        </w:rPr>
        <w:t xml:space="preserve">Scaffold the (marketing) and (app) route groups and move the chat app off /.</w:t>
      </w:r>
    </w:p>
    <w:p>
      <w:pPr>
        <w:pStyle w:val="ListParagraph"/>
        <w:numPr>
          <w:ilvl w:val="0"/>
          <w:numId w:val="3"/>
        </w:numPr>
        <w:spacing w:after="80" w:line="276"/>
      </w:pPr>
      <w:r>
        <w:rPr>
          <w:color w:val="1A1A1A"/>
          <w:sz w:val="21"/>
          <w:szCs w:val="21"/>
        </w:rPr>
        <w:t xml:space="preserve">Draft the landing page copy — the hardest part is deciding what Calolean is in one sentence, and it is worth doing before writing any markup.</w:t>
      </w:r>
    </w:p>
    <w:p>
      <w:pPr>
        <w:pStyle w:val="ListParagraph"/>
        <w:numPr>
          <w:ilvl w:val="0"/>
          <w:numId w:val="3"/>
        </w:numPr>
        <w:spacing w:after="80" w:line="276"/>
      </w:pPr>
      <w:r>
        <w:rPr>
          <w:color w:val="1A1A1A"/>
          <w:sz w:val="21"/>
          <w:szCs w:val="21"/>
        </w:rPr>
        <w:t xml:space="preserve">Outline your first eight blog posts, chosen from foods that already exist in your database.</w:t>
      </w:r>
    </w:p>
    <w:p>
      <w:pPr>
        <w:pStyle w:val="ListParagraph"/>
        <w:numPr>
          <w:ilvl w:val="0"/>
          <w:numId w:val="3"/>
        </w:numPr>
        <w:spacing w:after="80" w:line="276"/>
      </w:pPr>
      <w:r>
        <w:rPr>
          <w:color w:val="1A1A1A"/>
          <w:sz w:val="21"/>
          <w:szCs w:val="21"/>
        </w:rPr>
        <w:t xml:space="preserve">Verify calolean.com in Google Search Console.</w:t>
      </w:r>
    </w:p>
    <w:p>
      <w:pPr>
        <w:pBdr>
          <w:bottom w:val="single" w:color="D4DED8" w:sz="6"/>
        </w:pBdr>
        <w:spacing w:after="160" w:before="80"/>
      </w:pPr>
      <w:r>
        <w:rPr>
          <w:sz w:val="2"/>
          <w:szCs w:val="2"/>
        </w:rPr>
        <w:t xml:space="preserve"/>
      </w:r>
    </w:p>
    <w:p>
      <w:pPr>
        <w:spacing w:after="120" w:line="276"/>
      </w:pPr>
      <w:r>
        <w:rPr>
          <w:i/>
          <w:iCs/>
          <w:color w:val="5F6B66"/>
          <w:sz w:val="21"/>
          <w:szCs w:val="21"/>
        </w:rPr>
        <w:t xml:space="preserve">A closing note on order: it is tempting to start with the Android app, because it is the most exciting piece. But the marketing site unblocks two approval processes, is the cheapest work in the plan, and is the only item every other phase depends on. Ship it first.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Calolean — Post-Launch Roadmap</dc:title>
  <dc:creator>Calolean</dc:creator>
  <dc:description>Marketing site, ads, monetization, Android app and Play Store launch plan</dc:description>
  <cp:lastModifiedBy>Un-named</cp:lastModifiedBy>
  <cp:revision>1</cp:revision>
  <dcterms:created xsi:type="dcterms:W3CDTF">2026-09-04T18:18:29.993Z</dcterms:created>
  <dcterms:modified xsi:type="dcterms:W3CDTF">2026-09-04T18:18:30.000Z</dcterms:modified>
</cp:coreProperties>
</file>

<file path=docProps/custom.xml><?xml version="1.0" encoding="utf-8"?>
<Properties xmlns="http://schemas.openxmlformats.org/officeDocument/2006/custom-properties" xmlns:vt="http://schemas.openxmlformats.org/officeDocument/2006/docPropsVTypes"/>
</file>