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Retail Sales 2026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Sales Performance Summary  |  Jan – Apr 2026  |  10,000 Orders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Executive Summary</w:t>
      </w:r>
    </w:p>
    <w:p>
      <w:pPr>
        <w:spacing w:after="160"/>
      </w:pPr>
      <w:r>
        <w:rPr>
          <w:i w:val="false"/>
          <w:iCs w:val="false"/>
          <w:color w:val="262626"/>
          <w:sz w:val="21"/>
          <w:szCs w:val="21"/>
        </w:rPr>
        <w:t xml:space="preserve">The dataset covers 10,000 validated orders across four regions, four product categories, and three sales channels between January and April 2026. Three findings stand out: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Margins are flat (~35%) across every product, category, and customer segment — profitability scales with volume, not product mix.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Electronics is the demand backbone of the business — it leads revenue in every single region and among both repeat and one-time customers.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Repeat customers are the highest-value asset: 46% of the customer base drives 67% of total revenue, spending 2.4x more per customer than one-time buyers.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Revenue &amp; Profit by Region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2250"/>
        <w:gridCol w:w="1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(₹)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North India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10,54,47,517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3,72,83,154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3,494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West India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92,66,175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3,21,23,187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3,050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South India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73,38,942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2,61,43,684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2,477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East India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2,91,07,674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1,03,40,610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979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North India leads on both revenue and profit, driven by a higher concentration of cities/customers in the dataset. East India trails on volume but shows no unusual margin weakness.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Revenue &amp; Profit by Category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2250"/>
        <w:gridCol w:w="1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(₹)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Margin 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Electronics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18,90,96,826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6,67,33,519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35.19%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Furniture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9,04,45,170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3,18,33,857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35.04%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Apparel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1,72,82,081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59,98,114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34.78%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FMCG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37,86,231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13,25,144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35.28%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Electronics dominates revenue thanks to high unit prices (₹25K–₹55K items), yet margin % is nearly identical across all four categories — revenue concentration is a price/volume effect, not a margin effect.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Top Products by Revenue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1800"/>
        <w:gridCol w:w="225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(₹)</w:t>
            </w:r>
          </w:p>
        </w:tc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LapBook Air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8,00,18,045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1,571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2,85,53,724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TabMax 12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4,76,45,606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1,556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1,67,05,718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Sofa 3-Seater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3,59,34,813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1,551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1,27,95,913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Galaxy Pro X1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3,56,79,823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1,526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1,24,68,151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Wardrobe 4-Door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2,82,80,012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1,606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98,85,631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Note: Face Wash 200ml carries the highest average margin (35.78%) of any product in the catalog — even above LapBook Air — showing that top-revenue products are not necessarily the most profitable per rupee sold.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Monthly Revenue &amp; Profit Trend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50"/>
        <w:gridCol w:w="315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pct" w:w="3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(₹)</w:t>
            </w:r>
          </w:p>
        </w:tc>
        <w:tc>
          <w:tcPr>
            <w:tcW w:type="pct" w:w="3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2026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9,20,49,855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3,24,48,672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2026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8,43,69,111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2,94,30,507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2026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9,31,06,635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3,28,25,879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2026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3,10,84,707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1,11,85,576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Revenue is broadly stable across Jan–Mar; April's lower total reflects a partial month of data rather than a genuine decline.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Discount Impact on Margin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250"/>
        <w:gridCol w:w="225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Discount Band</w:t>
            </w:r>
          </w:p>
        </w:tc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Margin %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Profit (₹)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1–10%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2,813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35.24%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2,92,60,819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11–20%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2,931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35.10%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2,78,58,667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Discount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4,256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34.95%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4,87,71,148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Lighter discounting (1–10%) protects margin slightly better than heavier bands. No-discount orders still generate the largest share of total profit simply due to volume (4,256 orders).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Channel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50"/>
        <w:gridCol w:w="2250"/>
        <w:gridCol w:w="1800"/>
      </w:tblGrid>
      <w:tr>
        <w:trPr>
          <w:tblHeader/>
        </w:trPr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(₹)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 Rate 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Online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16,50,15,321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5,80,61,456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4.96%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9,26,08,684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3,27,77,122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4.69%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Partner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4,29,86,303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1,50,52,056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5.35%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Online is the leading channel on both revenue and profit. Partner channel shows the highest return rate (5.35%) — a candidate for closer quality/fulfillment review.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Customer Segment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1800"/>
        <w:gridCol w:w="1350"/>
        <w:gridCol w:w="135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(₹)</w:t>
            </w:r>
          </w:p>
        </w:tc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Profit (₹)</w:t>
            </w:r>
          </w:p>
        </w:tc>
        <w:tc>
          <w:tcPr>
            <w:tcW w:type="pct" w:w="1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Margin %</w:t>
            </w:r>
          </w:p>
        </w:tc>
        <w:tc>
          <w:tcPr>
            <w:tcW w:type="pct" w:w="1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15,37,03,742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5,40,06,831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35.09%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4,986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New/Trial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7,50,31,211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2,64,47,876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35.02%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2,574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SMB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5,88,63,078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2,07,91,947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35.12%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1,976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1,30,12,278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46,43,981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35.01%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464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Customer Loyalty: Repeat vs One-Time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1800"/>
        <w:gridCol w:w="2700"/>
        <w:gridCol w:w="225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 Type</w:t>
            </w:r>
          </w:p>
        </w:tc>
        <w:tc>
          <w:tcPr>
            <w:tcW w:type="pct" w:w="2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pct" w:w="3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 (₹)</w:t>
            </w:r>
          </w:p>
        </w:tc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Revenue / Customer (₹)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2,770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20,13,99,625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72,707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One-Time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3,238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9,92,10,683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30,639</w:t>
            </w:r>
          </w:p>
        </w:tc>
      </w:tr>
    </w:tbl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Repeat customers make up 46% of the customer base but generate 67% of total revenue, spending 2.4x more on average than one-time buyers.</w:t>
      </w:r>
    </w:p>
    <w:p>
      <w:pPr>
        <w:spacing w:after="160"/>
      </w:pPr>
      <w:r>
        <w:rPr>
          <w:i/>
          <w:iCs/>
          <w:color w:val="595959"/>
          <w:sz w:val="21"/>
          <w:szCs w:val="21"/>
        </w:rPr>
        <w:t xml:space="preserve">Category mix is nearly identical between the two groups (Electronics ~62–65%, Furniture ~28–31%, Apparel ~5–6%, FMCG ~1%) — repeat customers buy the same mix more often, rather than a different mix. Retention strategy can therefore be applied broadly rather than targeted at a specific category.</w:t>
      </w:r>
    </w:p>
    <w:p>
      <w:pPr>
        <w:pStyle w:val="Heading2"/>
        <w:pBdr>
          <w:bottom w:val="single" w:color="2E75B6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Prioritize retention programs (loyalty tiers, reorder incentives) — repeat customers are the single highest-leverage lever in this dataset.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Investigate the Partner channel's higher return rate to see if it's fulfillment, product fit, or a specific region/category driving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Re-examine deep discounting (20%+) — margin is weakest in this band relative to its volume contribution.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Treat Electronics as the core growth driver across all regions, while using Furniture as a reliable secondary line.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2026-07-23T08:01:10.557Z</dcterms:created>
  <dcterms:modified xsi:type="dcterms:W3CDTF">2026-07-23T08:01:10.573Z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