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ADAS Safety Requirements</w:t>
      </w:r>
    </w:p>
    <w:p>
      <w:r>
        <w:t>ISO 26262 safety analysis for Advanced Driver Assistance System.</w:t>
      </w:r>
    </w:p>
    <w:p>
      <w:pPr>
        <w:pStyle w:val="Heading1"/>
      </w:pPr>
      <w:r>
        <w:t>Hazards</w:t>
      </w:r>
    </w:p>
    <w:p>
      <w:r>
        <w:t>HAZ-001: Unintended acceleration</w:t>
      </w:r>
    </w:p>
    <w:p>
      <w:r>
        <w:t>The vehicle accelerates without driver command due to throttle actuator malfunction, potentially leading to collision. ASIL: D</w:t>
      </w:r>
    </w:p>
    <w:p/>
    <w:p>
      <w:r>
        <w:t>HAZ-002: Loss of braking assist</w:t>
      </w:r>
    </w:p>
    <w:p>
      <w:r>
        <w:t>Electronic braking assist system fails to provide expected braking force during emergency braking. ASIL: D</w:t>
      </w:r>
    </w:p>
    <w:p>
      <w:pPr>
        <w:pStyle w:val="Heading1"/>
      </w:pPr>
      <w:r>
        <w:t>Hazardous Events</w:t>
      </w:r>
    </w:p>
    <w:p>
      <w:r>
        <w:t>HE-001: Unintended acceleration on highway</w:t>
      </w:r>
    </w:p>
    <w:p>
      <w:r>
        <w:t>Vehicle accelerates unexpectedly at highway speed (&gt;100 km/h) in moderate traffic. ASIL: D</w:t>
      </w:r>
    </w:p>
    <w:p>
      <w:pPr>
        <w:pStyle w:val="Heading1"/>
      </w:pPr>
      <w:r>
        <w:t>Safety Goals</w:t>
      </w:r>
    </w:p>
    <w:p>
      <w:r>
        <w:t>SG-001: Prevent unintended acceleration</w:t>
      </w:r>
    </w:p>
    <w:p>
      <w:r>
        <w:t>The system shall prevent unintended vehicle acceleration exceeding 0.3 m/s² without valid driver throttle input. ASIL: D</w:t>
      </w:r>
    </w:p>
    <w:p/>
    <w:p>
      <w:r>
        <w:t>SG-002: Ensure minimum braking performance</w:t>
      </w:r>
    </w:p>
    <w:p>
      <w:r>
        <w:t>The system shall ensure braking deceleration of at least 6.5 m/s². ASIL: D</w:t>
      </w:r>
    </w:p>
    <w:p>
      <w:pPr>
        <w:pStyle w:val="Heading1"/>
      </w:pPr>
      <w:r>
        <w:t>Functional Safety Requirements</w:t>
      </w:r>
    </w:p>
    <w:p>
      <w:r>
        <w:t>FSR-001: Throttle monitoring and limitation</w:t>
      </w:r>
    </w:p>
    <w:p>
      <w:r>
        <w:t>The system shall independently monitor commanded vs. actual throttle position and cut fuel injection within 100ms if deviation exceeds 5% without driver input.</w:t>
      </w:r>
    </w:p>
    <w:p/>
    <w:p>
      <w:r>
        <w:t>FSR-003: Brake force monitoring</w:t>
      </w:r>
    </w:p>
    <w:p>
      <w:r>
        <w:t>The system shall monitor brake pressure and activate backup braking within 200ms if deviation &gt;15%.</w:t>
      </w:r>
    </w:p>
    <w:p>
      <w:pPr>
        <w:pStyle w:val="Heading1"/>
      </w:pPr>
      <w:r>
        <w:t>Test Cases</w:t>
      </w:r>
    </w:p>
    <w:p>
      <w:r>
        <w:t>TC-001: Throttle monitoring response test</w:t>
      </w:r>
    </w:p>
    <w:p>
      <w:r>
        <w:t>Inject 5% throttle deviation and verify fuel injection cut within 100ms.</w:t>
      </w:r>
    </w:p>
    <w:p/>
    <w:p>
      <w:r>
        <w:t>TC-003: Brake assist deviation response</w:t>
      </w:r>
    </w:p>
    <w:p>
      <w:r>
        <w:t>Simulate 20% brake force deviation; verify driver alert and backup braking activation within 200ms.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