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 Marking Readiness Assessment — GX-7 and RV-2</w:t>
      </w:r>
    </w:p>
    <w:p>
      <w:pPr>
        <w:pStyle w:val="Heading1"/>
      </w:pPr>
      <w:r>
        <w:t xml:space="preserve">Background</w:t>
      </w:r>
    </w:p>
    <w:p>
      <w:pPr>
        <w:spacing w:after="120"/>
      </w:pPr>
      <w:r>
        <w:t xml:space="preserve">Two prospective customers in continental Europe, Pellowdine Industrial and Fenstad Systems, have asked whether the GX-7 and RV-2 carry CE marking. Neither does. CE marking is required to place either product on the EU market, and UKCA marking is the equivalent requirement for Great Britain. This assessment sets out where we stand, what we would need to do, and what it is likely to cost. Several of the figures below are estimates that will firm up once a test lab has been engaged.</w:t>
      </w:r>
    </w:p>
    <w:p>
      <w:pPr>
        <w:pStyle w:val="Heading1"/>
      </w:pPr>
      <w:r>
        <w:t xml:space="preserve">Directives in Scope</w:t>
      </w:r>
    </w:p>
    <w:p>
      <w:pPr>
        <w:pStyle w:val="Heading2"/>
      </w:pPr>
      <w:r>
        <w:t xml:space="preserve">Low Voltage and EMC</w:t>
      </w:r>
    </w:p>
    <w:p>
      <w:pPr>
        <w:spacing w:after="120"/>
      </w:pPr>
      <w:r>
        <w:t xml:space="preserve">Both products fall under the Low Voltage Directive and the EMC Directive. CE marking is a self-declaration: we test against the harmonized standards under each directive, compile a technical file, issue a Declaration of Conformity, and affix the mark ourselves. A test lab's report supports the declaration but does not replace it.</w:t>
      </w:r>
    </w:p>
    <w:p>
      <w:pPr>
        <w:pStyle w:val="Heading2"/>
      </w:pPr>
      <w:r>
        <w:t xml:space="preserve">Radio Equipment</w:t>
      </w:r>
    </w:p>
    <w:p>
      <w:pPr>
        <w:spacing w:after="120"/>
      </w:pPr>
      <w:r>
        <w:t xml:space="preserve">The Radio Equipment Directive applies only to products with a radio. The GX-7 connects over wired Ethernet and RS-485, and the RV-2 in its current Rev C design has no wireless interface. On that basis we do not expect it to apply to either product. If a future revision adds wireless, this conclusion has to be revisited before that revision ships.</w:t>
      </w:r>
    </w:p>
    <w:p>
      <w:pPr>
        <w:pStyle w:val="Heading1"/>
      </w:pPr>
      <w:r>
        <w:t xml:space="preserve">Gap Analysis</w:t>
      </w:r>
    </w:p>
    <w:p>
      <w:pPr>
        <w:pStyle w:val="Heading2"/>
      </w:pPr>
      <w:r>
        <w:t xml:space="preserve">Technical File</w:t>
      </w:r>
    </w:p>
    <w:p>
      <w:pPr>
        <w:spacing w:after="120"/>
      </w:pPr>
      <w:r>
        <w:t xml:space="preserve">We have no technical file for either product. Most of its contents exist in engineering records — schematics, the bill of materials, test data — but they have not been assembled or reviewed against what a file must contain. The file also needs a description of the firmware's safety-relevant behavior, principally what each product does on detecting an overvoltage or overcurrent condition. That description does not exist yet.</w:t>
      </w:r>
    </w:p>
    <w:p>
      <w:pPr>
        <w:pStyle w:val="Heading2"/>
      </w:pPr>
      <w:r>
        <w:t xml:space="preserve">Testing</w:t>
      </w:r>
    </w:p>
    <w:p>
      <w:pPr>
        <w:spacing w:after="120"/>
      </w:pPr>
      <w:r>
        <w:t xml:space="preserve">Neither product has been tested against the harmonized EMC or safety standards. We have no pre-compliance data, so we cannot say with confidence whether either product would pass a first formal test. Remediation, if needed, could range from a firmware change to a filter component or shielding. A detailed breakdown by test is given in the next section.</w:t>
      </w:r>
    </w:p>
    <w:p>
      <w:pPr>
        <w:pStyle w:val="Heading2"/>
      </w:pPr>
      <w:r>
        <w:t xml:space="preserve">RoHS</w:t>
      </w:r>
    </w:p>
    <w:p>
      <w:pPr>
        <w:spacing w:after="120"/>
      </w:pPr>
      <w:r>
        <w:t xml:space="preserve">RoHS is a separate regulation, but customers raise it alongside CE, and the Declaration of Conformity references it. Our bill of materials has been specified with RoHS in mind, and we believe both products comply. We have no supplier declarations on file to demonstrate it. Gathering them is part of this work.</w:t>
      </w:r>
    </w:p>
    <w:p>
      <w:pPr>
        <w:pStyle w:val="Heading1"/>
      </w:pPr>
      <w:r>
        <w:t xml:space="preserve">Test Lab Plan</w:t>
      </w:r>
    </w:p>
    <w:p>
      <w:pPr>
        <w:spacing w:after="120"/>
      </w:pPr>
      <w:r>
        <w:t xml:space="preserve">Both products will go through a pre-compliance EMC scan at a local facility before we commit to a certified lab. The scan is not a formal test, but it should catch obvious failures at about $1,200 per product and a week's turnaround. We will then book a certified lab for formal EMC and safety testing. Lab selection has not been made.</w:t>
      </w:r>
    </w:p>
    <w:p>
      <w:pPr>
        <w:pStyle w:val="Heading1"/>
      </w:pPr>
      <w:r>
        <w:t xml:space="preserve">Timeline and Cost</w:t>
      </w:r>
    </w:p>
    <w:p>
      <w:pPr>
        <w:pStyle w:val="Heading2"/>
      </w:pPr>
      <w:r>
        <w:t xml:space="preserve">Timeline</w:t>
      </w:r>
    </w:p>
    <w:p>
      <w:pPr>
        <w:spacing w:after="120"/>
      </w:pPr>
      <w:r>
        <w:t xml:space="preserve">Certified labs are booking six to eight weeks out. If we engage in March, formal testing is likely in late April or early May, with reports two to four weeks after that. CE marking on the RV-2 is therefore realistically a July outcome, and only if the first test passes. The RV-2 launches in June, before that. We should not represent CE marking to any customer as available before the third quarter of 2026.</w:t>
      </w:r>
    </w:p>
    <w:p>
      <w:pPr>
        <w:pStyle w:val="Heading2"/>
      </w:pPr>
      <w:r>
        <w:t xml:space="preserve">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Item</w:t>
            </w:r>
          </w:p>
        </w:tc>
        <w:tc>
          <w:tcPr>
            <w:tcW w:type="dxa" w:w="46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Estimate</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Pre-compliance scan, two products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$2,400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Formal EMC and LVD testing, two products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$22,000 – $28,000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Internal engineering time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40 – 60 hours, plus about two days per product of firmware documentation</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Retest, if required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Not estimated</w:t>
            </w:r>
          </w:p>
        </w:tc>
      </w:tr>
    </w:tbl>
    <w:p/>
    <w:p>
      <w:pPr>
        <w:pStyle w:val="Heading1"/>
      </w:pPr>
      <w:r>
        <w:t xml:space="preserve">Obligations After Marking</w:t>
      </w:r>
    </w:p>
    <w:p>
      <w:pPr>
        <w:spacing w:after="120"/>
      </w:pPr>
      <w:r>
        <w:t xml:space="preserve">Once issued, a Declaration of Conformity and its technical file must be kept available to market surveillance authorities for ten years after the last unit is placed on the market. A controlled retention folder will be set up for this. Every Declaration of Conformity will be reviewed by Legal before it is issued, and any customer-facing statement about CE status — on the product page or in sales material — will be reviewed before it is published. Until marking is complete, the only acceptable statements are that certification is in progress or planned for the third quarter.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 Marking Readiness Assessment — GX-7 and RV-2</dc:title>
  <dc:creator>Callum</dc:creator>
  <cp:lastModifiedBy>Callum</cp:lastModifiedBy>
  <cp:revision>1</cp:revision>
  <dcterms:created xsi:type="dcterms:W3CDTF">2026-02-24T09:00:00Z</dcterms:created>
  <dcterms:modified xsi:type="dcterms:W3CDTF">2026-02-24T09:00:00Z</dcterms:modified>
</cp:coreProperties>
</file>

<file path=docProps/custom.xml><?xml version="1.0" encoding="utf-8"?>
<Properties xmlns="http://schemas.openxmlformats.org/officeDocument/2006/custom-properties" xmlns:vt="http://schemas.openxmlformats.org/officeDocument/2006/docPropsVTypes"/>
</file>