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End-of-Line Test Station Upgrade Plan</w:t>
      </w:r>
    </w:p>
    <w:p>
      <w:pPr>
        <w:pStyle w:val="Heading1"/>
      </w:pPr>
      <w:r>
        <w:t xml:space="preserve">Summary</w:t>
      </w:r>
    </w:p>
    <w:p>
      <w:pPr>
        <w:spacing w:after="120"/>
      </w:pPr>
      <w:r>
        <w:t xml:space="preserve">Every MX-3 and GX-7 that leaves the contract manufacturer passes through one of three end-of-line functional test stations on Veskell's floor. The stations were built by us in 2023 for the MX-3, extended for the GX-7 in 2024, and have not been meaningfully changed since. They are now the slowest step on the line, they fail good units often enough to cost real money, and they cannot test the RV-2 at all without new fixturing.</w:t>
      </w:r>
    </w:p>
    <w:p>
      <w:pPr>
        <w:spacing w:after="120"/>
      </w:pPr>
      <w:r>
        <w:t xml:space="preserve">This plan compares three ways forward — refurbishing the current stations, building two new stations of our own design, and moving to Veskell's standard test platform — and recommends the second. It asks for $41,600 in capital and about eleven weeks of my time spread over four months, with the first new station in service before RV-2 production begins.</w:t>
      </w:r>
    </w:p>
    <w:p>
      <w:pPr>
        <w:pStyle w:val="Heading1"/>
      </w:pPr>
      <w:r>
        <w:t xml:space="preserve">Current State</w:t>
      </w:r>
    </w:p>
    <w:p>
      <w:pPr>
        <w:pStyle w:val="Heading2"/>
      </w:pPr>
      <w:r>
        <w:t xml:space="preserve">What the Stations Do</w:t>
      </w:r>
    </w:p>
    <w:p>
      <w:pPr>
        <w:spacing w:after="120"/>
      </w:pPr>
      <w:r>
        <w:t xml:space="preserve">A station powers the unit under test, loads the production firmware, runs a scripted functional test, writes the serial number and test record to our production database, and prints the label. The functional test checks the power rails, exercises each communications port — Ethernet and RS-485 on the GX-7, the serial and bus ports on the MX-3 — and runs a short self-test that the firmware reports back over the bus. A unit that passes goes to pack-out. A unit that fails goes to a rework bench at Veskell, where a technician retests it and either repairs it or scraps it.</w:t>
      </w:r>
    </w:p>
    <w:p>
      <w:pPr>
        <w:spacing w:after="120"/>
      </w:pPr>
      <w:r>
        <w:t xml:space="preserve">Each station is a standard industrial PC, a programmable power supply, a bus interface, and a product-specific fixture with spring-loaded contacts. The test software is ours: a Python test runner that Sofia and I wrote in 2023 and that I have maintained since.</w:t>
      </w:r>
    </w:p>
    <w:p>
      <w:pPr>
        <w:pStyle w:val="Heading2"/>
      </w:pPr>
      <w:r>
        <w:t xml:space="preserve">Throughput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2808"/>
      </w:tblGrid>
      <w:tr>
        <w:trPr>
          <w:tblHeader/>
        </w:trPr>
        <w:tc>
          <w:tcPr>
            <w:tcW w:type="dxa" w:w="1872"/>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Product</w:t>
            </w:r>
          </w:p>
        </w:tc>
        <w:tc>
          <w:tcPr>
            <w:tcW w:type="dxa" w:w="234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Test time per unit (s)</w:t>
            </w:r>
          </w:p>
        </w:tc>
        <w:tc>
          <w:tcPr>
            <w:tcW w:type="dxa" w:w="234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Units per station-hour</w:t>
            </w:r>
          </w:p>
        </w:tc>
        <w:tc>
          <w:tcPr>
            <w:tcW w:type="dxa" w:w="2808"/>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Share of line time at end of line</w:t>
            </w:r>
          </w:p>
        </w:tc>
      </w:tr>
      <w:tr>
        <w:trPr>
          <w:tblHeader w:val="false"/>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MX-3</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71</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44</w:t>
            </w:r>
          </w:p>
        </w:tc>
        <w:tc>
          <w:tcPr>
            <w:tcW w:type="dxa" w:w="28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31%</w:t>
            </w:r>
          </w:p>
        </w:tc>
      </w:tr>
      <w:tr>
        <w:trPr>
          <w:tblHeader w:val="false"/>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GX-7</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94</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34</w:t>
            </w:r>
          </w:p>
        </w:tc>
        <w:tc>
          <w:tcPr>
            <w:tcW w:type="dxa" w:w="28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38%</w:t>
            </w:r>
          </w:p>
        </w:tc>
      </w:tr>
    </w:tbl>
    <w:p/>
    <w:p>
      <w:pPr>
        <w:spacing w:after="120"/>
      </w:pPr>
      <w:r>
        <w:t xml:space="preserve">End of line is the bottleneck for both products. Everything upstream of it — placement, reflow, inspection, assembly — runs faster than three stations can test. Veskell has absorbed this so far by running the stations through a second shift during builds, which they bill us for at $38 per station-hour. Over the last six months that came to $9,120.</w:t>
      </w:r>
    </w:p>
    <w:p>
      <w:pPr>
        <w:pStyle w:val="Heading2"/>
      </w:pPr>
      <w:r>
        <w:t xml:space="preserve">False Failures</w:t>
      </w:r>
    </w:p>
    <w:p>
      <w:pPr>
        <w:spacing w:after="120"/>
      </w:pPr>
      <w:r>
        <w:t xml:space="preserve">Over the same six months, 2.1% of units failed at end of line and then passed on retest at the rework bench with no repair made. Those are false failures: the unit was good and the station said it was not. Most of them trace to two causes. The fixture contacts wear and lose contact intermittently, and the Ethernet check times out when the station's own network interface is slow to link. Each false failure costs about $6.40 in technician time at Veskell, plus the delay of routing a good unit through rework.</w:t>
      </w:r>
    </w:p>
    <w:p>
      <w:pPr>
        <w:spacing w:after="120"/>
      </w:pPr>
      <w:r>
        <w:t xml:space="preserve">The false failure rate is not evenly spread. Station 2, the oldest, accounts for more than half of them. Its fixture has been rebuilt twice.</w:t>
      </w:r>
    </w:p>
    <w:p>
      <w:pPr>
        <w:pStyle w:val="Heading2"/>
      </w:pPr>
      <w:r>
        <w:t xml:space="preserve">The RV-2</w:t>
      </w:r>
    </w:p>
    <w:p>
      <w:pPr>
        <w:spacing w:after="120"/>
      </w:pPr>
      <w:r>
        <w:t xml:space="preserve">The RV-2 cannot be tested on the current stations. Its connector layout needs a new fixture, and its self-test reports through an interface the test runner does not speak. At minimum, one station has to be refitted before RV-2 production starts in early June. If nothing else changes, the RV-2 adds a third product to three stations that are already the bottleneck for two.</w:t>
      </w:r>
    </w:p>
    <w:p>
      <w:pPr>
        <w:pStyle w:val="Heading1"/>
      </w:pPr>
      <w:r>
        <w:t xml:space="preserve">Options Evaluated</w:t>
      </w:r>
    </w:p>
    <w:p>
      <w:pPr>
        <w:pStyle w:val="Heading2"/>
      </w:pPr>
      <w:r>
        <w:t xml:space="preserve">Option A: Refurbish the Current Stations</w:t>
      </w:r>
    </w:p>
    <w:p>
      <w:pPr>
        <w:spacing w:after="120"/>
      </w:pPr>
      <w:r>
        <w:t xml:space="preserve">Replace the worn fixtures, replace the network interfaces that cause the Ethernet timeouts, build an RV-2 fixture, and extend the test runner to support the RV-2. This fixes the false failures and makes the RV-2 testable. It does nothing for throughput. Test time is dominated by power-up and firmware loading, and the current power supplies and PCs are the limit on both.</w:t>
      </w:r>
    </w:p>
    <w:p>
      <w:pPr>
        <w:spacing w:after="120"/>
      </w:pPr>
      <w:r>
        <w:t xml:space="preserve">Estimated cost is $14,500: $9,800 for three new fixtures and an RV-2 fixture, $1,400 for network interfaces, and the rest in spares. Time is about four weeks of mine.</w:t>
      </w:r>
    </w:p>
    <w:p>
      <w:pPr>
        <w:pStyle w:val="Heading2"/>
      </w:pPr>
      <w:r>
        <w:t xml:space="preserve">Option B: Two New Stations of Our Own Design</w:t>
      </w:r>
    </w:p>
    <w:p>
      <w:pPr>
        <w:spacing w:after="120"/>
      </w:pPr>
      <w:r>
        <w:t xml:space="preserve">Build two new stations around faster power supplies and a parallel firmware load that programs the unit while the power rails are being checked, rather than one after the other. Each new station tests two units at once, in a dual-nest fixture. The test runner is kept, extended for the RV-2 and for dual-nest operation. The two newest existing stations stay in service as overflow and as a fallback; station 2 is retired.</w:t>
      </w:r>
    </w:p>
    <w:p>
      <w:pPr>
        <w:spacing w:after="120"/>
      </w:pPr>
      <w:r>
        <w:t xml:space="preserve">Estimated cost is $41,600, broken down below. Time is about eleven weeks of mine, and roughly a week of Sofia's to add a faster load path to the bootloader, which the parallel load depends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5"/>
        <w:gridCol w:w="1310"/>
        <w:gridCol w:w="1684"/>
        <w:gridCol w:w="2061"/>
      </w:tblGrid>
      <w:tr>
        <w:trPr>
          <w:tblHeader/>
        </w:trPr>
        <w:tc>
          <w:tcPr>
            <w:tcW w:type="dxa" w:w="4305"/>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Item</w:t>
            </w:r>
          </w:p>
        </w:tc>
        <w:tc>
          <w:tcPr>
            <w:tcW w:type="dxa" w:w="131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Quantity</w:t>
            </w:r>
          </w:p>
        </w:tc>
        <w:tc>
          <w:tcPr>
            <w:tcW w:type="dxa" w:w="1684"/>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Unit cost</w:t>
            </w:r>
          </w:p>
        </w:tc>
        <w:tc>
          <w:tcPr>
            <w:tcW w:type="dxa" w:w="2061"/>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Cost</w:t>
            </w:r>
          </w:p>
        </w:tc>
      </w:tr>
      <w:tr>
        <w:trPr>
          <w:tblHeader w:val="false"/>
        </w:trPr>
        <w:tc>
          <w:tcPr>
            <w:tcW w:type="dxa" w:w="43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Industrial PC</w:t>
            </w:r>
          </w:p>
        </w:tc>
        <w:tc>
          <w:tcPr>
            <w:tcW w:type="dxa" w:w="131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2</w:t>
            </w:r>
          </w:p>
        </w:tc>
        <w:tc>
          <w:tcPr>
            <w:tcW w:type="dxa" w:w="16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$2,300</w:t>
            </w:r>
          </w:p>
        </w:tc>
        <w:tc>
          <w:tcPr>
            <w:tcW w:type="dxa" w:w="206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$4,600</w:t>
            </w:r>
          </w:p>
        </w:tc>
      </w:tr>
      <w:tr>
        <w:trPr>
          <w:tblHeader w:val="false"/>
        </w:trPr>
        <w:tc>
          <w:tcPr>
            <w:tcW w:type="dxa" w:w="43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Programmable power supply, dual channel</w:t>
            </w:r>
          </w:p>
        </w:tc>
        <w:tc>
          <w:tcPr>
            <w:tcW w:type="dxa" w:w="131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2</w:t>
            </w:r>
          </w:p>
        </w:tc>
        <w:tc>
          <w:tcPr>
            <w:tcW w:type="dxa" w:w="16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$4,900</w:t>
            </w:r>
          </w:p>
        </w:tc>
        <w:tc>
          <w:tcPr>
            <w:tcW w:type="dxa" w:w="206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$9,800</w:t>
            </w:r>
          </w:p>
        </w:tc>
      </w:tr>
      <w:tr>
        <w:trPr>
          <w:tblHeader w:val="false"/>
        </w:trPr>
        <w:tc>
          <w:tcPr>
            <w:tcW w:type="dxa" w:w="43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Bus interface, four port</w:t>
            </w:r>
          </w:p>
        </w:tc>
        <w:tc>
          <w:tcPr>
            <w:tcW w:type="dxa" w:w="131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2</w:t>
            </w:r>
          </w:p>
        </w:tc>
        <w:tc>
          <w:tcPr>
            <w:tcW w:type="dxa" w:w="16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$1,650</w:t>
            </w:r>
          </w:p>
        </w:tc>
        <w:tc>
          <w:tcPr>
            <w:tcW w:type="dxa" w:w="206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$3,300</w:t>
            </w:r>
          </w:p>
        </w:tc>
      </w:tr>
      <w:tr>
        <w:trPr>
          <w:tblHeader w:val="false"/>
        </w:trPr>
        <w:tc>
          <w:tcPr>
            <w:tcW w:type="dxa" w:w="43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Dual-nest fixture, MX-3</w:t>
            </w:r>
          </w:p>
        </w:tc>
        <w:tc>
          <w:tcPr>
            <w:tcW w:type="dxa" w:w="131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2</w:t>
            </w:r>
          </w:p>
        </w:tc>
        <w:tc>
          <w:tcPr>
            <w:tcW w:type="dxa" w:w="16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$2,700</w:t>
            </w:r>
          </w:p>
        </w:tc>
        <w:tc>
          <w:tcPr>
            <w:tcW w:type="dxa" w:w="206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$5,400</w:t>
            </w:r>
          </w:p>
        </w:tc>
      </w:tr>
      <w:tr>
        <w:trPr>
          <w:tblHeader w:val="false"/>
        </w:trPr>
        <w:tc>
          <w:tcPr>
            <w:tcW w:type="dxa" w:w="43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Dual-nest fixture, GX-7</w:t>
            </w:r>
          </w:p>
        </w:tc>
        <w:tc>
          <w:tcPr>
            <w:tcW w:type="dxa" w:w="131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2</w:t>
            </w:r>
          </w:p>
        </w:tc>
        <w:tc>
          <w:tcPr>
            <w:tcW w:type="dxa" w:w="16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$2,900</w:t>
            </w:r>
          </w:p>
        </w:tc>
        <w:tc>
          <w:tcPr>
            <w:tcW w:type="dxa" w:w="206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$5,800</w:t>
            </w:r>
          </w:p>
        </w:tc>
      </w:tr>
      <w:tr>
        <w:trPr>
          <w:tblHeader w:val="false"/>
        </w:trPr>
        <w:tc>
          <w:tcPr>
            <w:tcW w:type="dxa" w:w="43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Dual-nest fixture, RV-2</w:t>
            </w:r>
          </w:p>
        </w:tc>
        <w:tc>
          <w:tcPr>
            <w:tcW w:type="dxa" w:w="131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2</w:t>
            </w:r>
          </w:p>
        </w:tc>
        <w:tc>
          <w:tcPr>
            <w:tcW w:type="dxa" w:w="16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$3,100</w:t>
            </w:r>
          </w:p>
        </w:tc>
        <w:tc>
          <w:tcPr>
            <w:tcW w:type="dxa" w:w="206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$6,200</w:t>
            </w:r>
          </w:p>
        </w:tc>
      </w:tr>
      <w:tr>
        <w:trPr>
          <w:tblHeader w:val="false"/>
        </w:trPr>
        <w:tc>
          <w:tcPr>
            <w:tcW w:type="dxa" w:w="43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Enclosure, wiring, label printers</w:t>
            </w:r>
          </w:p>
        </w:tc>
        <w:tc>
          <w:tcPr>
            <w:tcW w:type="dxa" w:w="131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2</w:t>
            </w:r>
          </w:p>
        </w:tc>
        <w:tc>
          <w:tcPr>
            <w:tcW w:type="dxa" w:w="16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$1,850</w:t>
            </w:r>
          </w:p>
        </w:tc>
        <w:tc>
          <w:tcPr>
            <w:tcW w:type="dxa" w:w="206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$3,700</w:t>
            </w:r>
          </w:p>
        </w:tc>
      </w:tr>
      <w:tr>
        <w:trPr>
          <w:tblHeader w:val="false"/>
        </w:trPr>
        <w:tc>
          <w:tcPr>
            <w:tcW w:type="dxa" w:w="43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Spares and contingency</w:t>
            </w:r>
          </w:p>
        </w:tc>
        <w:tc>
          <w:tcPr>
            <w:tcW w:type="dxa" w:w="131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1</w:t>
            </w:r>
          </w:p>
        </w:tc>
        <w:tc>
          <w:tcPr>
            <w:tcW w:type="dxa" w:w="16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$2,800</w:t>
            </w:r>
          </w:p>
        </w:tc>
        <w:tc>
          <w:tcPr>
            <w:tcW w:type="dxa" w:w="206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$2,800</w:t>
            </w:r>
          </w:p>
        </w:tc>
      </w:tr>
    </w:tbl>
    <w:p/>
    <w:p>
      <w:pPr>
        <w:pStyle w:val="Heading2"/>
      </w:pPr>
      <w:r>
        <w:t xml:space="preserve">Option C: Veskell's Standard Test Platform</w:t>
      </w:r>
    </w:p>
    <w:p>
      <w:pPr>
        <w:spacing w:after="120"/>
      </w:pPr>
      <w:r>
        <w:t xml:space="preserve">Veskell offers a test platform of its own, which it maintains and staffs. We would supply the test specification and fixtures; Veskell would write and run the test programs. Their quote is $52,000 in engineering and fixture charges, plus $0.35 per unit tested.</w:t>
      </w:r>
    </w:p>
    <w:p>
      <w:pPr>
        <w:spacing w:after="120"/>
      </w:pPr>
      <w:r>
        <w:t xml:space="preserve">This is the option that takes the least of my time after setup, and Veskell's platform is fast. But it moves the test program out of our hands. Every change to a test — and firmware releases change tests — becomes a change request to Veskell, quoted and scheduled on their side. It also ties test to one contract manufacturer. If we ever moved production, we would be rebuilding end-of-line test from nothing, on someone else's specification.</w:t>
      </w:r>
    </w:p>
    <w:p>
      <w:pPr>
        <w:pStyle w:val="Heading1"/>
      </w:pPr>
      <w:r>
        <w:t xml:space="preserve">Comparison</w:t>
      </w:r>
    </w:p>
    <w:p>
      <w:pPr>
        <w:pStyle w:val="Heading2"/>
      </w:pPr>
      <w:r>
        <w:t xml:space="preserve">Cost Over Three Years</w:t>
      </w:r>
    </w:p>
    <w:p>
      <w:pPr>
        <w:spacing w:after="120"/>
      </w:pPr>
      <w:r>
        <w:t xml:space="preserve">The comparison below assumes 9,000 units a year across the three products, rising to 12,000 in the third year, and counts second-shift charges at the current rate for whatever capacity a given option leaves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059"/>
        <w:gridCol w:w="2059"/>
        <w:gridCol w:w="2060"/>
      </w:tblGrid>
      <w:tr>
        <w:trPr>
          <w:tblHeader/>
        </w:trPr>
        <w:tc>
          <w:tcPr>
            <w:tcW w:type="dxa" w:w="3182"/>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
            </w:r>
          </w:p>
        </w:tc>
        <w:tc>
          <w:tcPr>
            <w:tcW w:type="dxa" w:w="2059"/>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Option A</w:t>
            </w:r>
          </w:p>
        </w:tc>
        <w:tc>
          <w:tcPr>
            <w:tcW w:type="dxa" w:w="2059"/>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Option B</w:t>
            </w:r>
          </w:p>
        </w:tc>
        <w:tc>
          <w:tcPr>
            <w:tcW w:type="dxa" w:w="206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Option C</w:t>
            </w:r>
          </w:p>
        </w:tc>
      </w:tr>
      <w:tr>
        <w:trPr>
          <w:tblHeader w:val="false"/>
        </w:trPr>
        <w:tc>
          <w:tcPr>
            <w:tcW w:type="dxa" w:w="31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Capital and setup</w:t>
            </w:r>
          </w:p>
        </w:tc>
        <w:tc>
          <w:tcPr>
            <w:tcW w:type="dxa" w:w="20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$14,500</w:t>
            </w:r>
          </w:p>
        </w:tc>
        <w:tc>
          <w:tcPr>
            <w:tcW w:type="dxa" w:w="20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$41,600</w:t>
            </w:r>
          </w:p>
        </w:tc>
        <w:tc>
          <w:tcPr>
            <w:tcW w:type="dxa" w:w="2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$52,000</w:t>
            </w:r>
          </w:p>
        </w:tc>
      </w:tr>
      <w:tr>
        <w:trPr>
          <w:tblHeader w:val="false"/>
        </w:trPr>
        <w:tc>
          <w:tcPr>
            <w:tcW w:type="dxa" w:w="31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Per-unit fees, three years</w:t>
            </w:r>
          </w:p>
        </w:tc>
        <w:tc>
          <w:tcPr>
            <w:tcW w:type="dxa" w:w="20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$0</w:t>
            </w:r>
          </w:p>
        </w:tc>
        <w:tc>
          <w:tcPr>
            <w:tcW w:type="dxa" w:w="20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$0</w:t>
            </w:r>
          </w:p>
        </w:tc>
        <w:tc>
          <w:tcPr>
            <w:tcW w:type="dxa" w:w="2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$10,500</w:t>
            </w:r>
          </w:p>
        </w:tc>
      </w:tr>
      <w:tr>
        <w:trPr>
          <w:tblHeader w:val="false"/>
        </w:trPr>
        <w:tc>
          <w:tcPr>
            <w:tcW w:type="dxa" w:w="31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Second-shift charges, three years</w:t>
            </w:r>
          </w:p>
        </w:tc>
        <w:tc>
          <w:tcPr>
            <w:tcW w:type="dxa" w:w="20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$61,000</w:t>
            </w:r>
          </w:p>
        </w:tc>
        <w:tc>
          <w:tcPr>
            <w:tcW w:type="dxa" w:w="20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$0</w:t>
            </w:r>
          </w:p>
        </w:tc>
        <w:tc>
          <w:tcPr>
            <w:tcW w:type="dxa" w:w="2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$0</w:t>
            </w:r>
          </w:p>
        </w:tc>
      </w:tr>
      <w:tr>
        <w:trPr>
          <w:tblHeader w:val="false"/>
        </w:trPr>
        <w:tc>
          <w:tcPr>
            <w:tcW w:type="dxa" w:w="31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False failures, three years</w:t>
            </w:r>
          </w:p>
        </w:tc>
        <w:tc>
          <w:tcPr>
            <w:tcW w:type="dxa" w:w="20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$600</w:t>
            </w:r>
          </w:p>
        </w:tc>
        <w:tc>
          <w:tcPr>
            <w:tcW w:type="dxa" w:w="20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$600</w:t>
            </w:r>
          </w:p>
        </w:tc>
        <w:tc>
          <w:tcPr>
            <w:tcW w:type="dxa" w:w="2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$600</w:t>
            </w:r>
          </w:p>
        </w:tc>
      </w:tr>
      <w:tr>
        <w:trPr>
          <w:tblHeader w:val="false"/>
        </w:trPr>
        <w:tc>
          <w:tcPr>
            <w:tcW w:type="dxa" w:w="31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Three-year total</w:t>
            </w:r>
          </w:p>
        </w:tc>
        <w:tc>
          <w:tcPr>
            <w:tcW w:type="dxa" w:w="20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$76,100</w:t>
            </w:r>
          </w:p>
        </w:tc>
        <w:tc>
          <w:tcPr>
            <w:tcW w:type="dxa" w:w="20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$42,200</w:t>
            </w:r>
          </w:p>
        </w:tc>
        <w:tc>
          <w:tcPr>
            <w:tcW w:type="dxa" w:w="2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$63,100</w:t>
            </w:r>
          </w:p>
        </w:tc>
      </w:tr>
    </w:tbl>
    <w:p/>
    <w:p>
      <w:pPr>
        <w:spacing w:after="120"/>
      </w:pPr>
      <w:r>
        <w:t xml:space="preserve">Option A is the cheapest to start and the most expensive to keep, because it leaves the line short of capacity and pays for it in second shifts, which grow as the RV-2 adds volume. Option B costs more up front than Option A and the least over three years. Option C costs the most up front and lands between the two over three years; what it really costs is control of the test program, which does not appear in this table.</w:t>
      </w:r>
    </w:p>
    <w:p>
      <w:pPr>
        <w:pStyle w:val="Heading2"/>
      </w:pPr>
      <w:r>
        <w:t xml:space="preserve">Throughput</w:t>
      </w:r>
    </w:p>
    <w:p>
      <w:pPr>
        <w:spacing w:after="120"/>
      </w:pPr>
      <w:r>
        <w:t xml:space="preserve">With dual nests and a parallel load, a new station tests a GX-7 pair in about 105 seconds, or roughly 69 units an hour — about twice the current rate per station. Two new stations plus the two retained ones give the line more end-of-line capacity than any upstream step, which moves the bottleneck back to placement, where it belongs.</w:t>
      </w:r>
    </w:p>
    <w:p>
      <w:pPr>
        <w:pStyle w:val="Heading1"/>
      </w:pPr>
      <w:r>
        <w:t xml:space="preserve">Recommendation</w:t>
      </w:r>
    </w:p>
    <w:p>
      <w:pPr>
        <w:spacing w:after="120"/>
      </w:pPr>
      <w:r>
        <w:t xml:space="preserve">Build two new stations of our own design — Option B. It is the cheapest over three years, it removes the bottleneck rather than paying around it, and it keeps the test program in our hands, which matters more each time firmware changes.</w:t>
      </w:r>
    </w:p>
    <w:p>
      <w:pPr>
        <w:spacing w:after="120"/>
      </w:pPr>
      <w:r>
        <w:t xml:space="preserve">The case against it is my time. Eleven weeks is a lot to take out of a four-month window that also contains RV-2 production readiness, and Option C would give most of that time back. If the RV-2 schedule tightens, the fallback is to do Option A's RV-2 fixture on an existing station first, which gets the RV-2 tested in about two weeks, and build the new stations afterwards.</w:t>
      </w:r>
    </w:p>
    <w:p>
      <w:pPr>
        <w:pStyle w:val="Heading1"/>
      </w:pPr>
      <w:r>
        <w:t xml:space="preserve">Rollout</w:t>
      </w:r>
    </w:p>
    <w:p>
      <w:pPr>
        <w:pStyle w:val="Heading2"/>
      </w:pPr>
      <w:r>
        <w:t xml:space="preserve">Phase 1: Build and Bench Test</w:t>
      </w:r>
    </w:p>
    <w:p>
      <w:pPr>
        <w:spacing w:after="120"/>
      </w:pPr>
      <w:r>
        <w:t xml:space="preserve">Order long-lead parts in the first week of March. The power supplies are the longest lead at five weeks. Build the first station in our lab, extend the test runner for dual-nest operation, and bench test it on known-good and known-bad units of each product, including units deliberately built with faults. Target: first station passing bench test by April 17.</w:t>
      </w:r>
    </w:p>
    <w:p>
      <w:pPr>
        <w:pStyle w:val="Heading2"/>
      </w:pPr>
      <w:r>
        <w:t xml:space="preserve">Phase 2: Correlation at Veskell</w:t>
      </w:r>
    </w:p>
    <w:p>
      <w:pPr>
        <w:spacing w:after="120"/>
      </w:pPr>
      <w:r>
        <w:t xml:space="preserve">Install the first new station at Veskell alongside the existing ones and run it in parallel for one full build. Every unit is tested on both an old station and the new one, and the two results are compared. The new station goes live only if it agrees with the old one on every unit the old one passes, and every disagreement on a failure is explained. Target: 500 units correlated by May 8.</w:t>
      </w:r>
    </w:p>
    <w:p>
      <w:pPr>
        <w:pStyle w:val="Heading3"/>
      </w:pPr>
      <w:r>
        <w:t xml:space="preserve">What Counts as Agreement</w:t>
      </w:r>
    </w:p>
    <w:p>
      <w:pPr>
        <w:spacing w:after="120"/>
      </w:pPr>
      <w:r>
        <w:t xml:space="preserve">A unit the old station passes and the new station fails is investigated one by one; if the new station is right, that is a defect the old one was missing. A unit the old station fails and the new one passes is expected in small numbers — those are the false failures this project exists to remove — but each is retested on the rework bench to confirm the unit is good. Any unit both stations pass but that later fails in the field is a correlation failure, and it stops the rollout until it is understood.</w:t>
      </w:r>
    </w:p>
    <w:p>
      <w:pPr>
        <w:pStyle w:val="Heading2"/>
      </w:pPr>
      <w:r>
        <w:t xml:space="preserve">Phase 3: Cutover and RV-2</w:t>
      </w:r>
    </w:p>
    <w:p>
      <w:pPr>
        <w:spacing w:after="120"/>
      </w:pPr>
      <w:r>
        <w:t xml:space="preserve">Bring the first station into production for the MX-3 and GX-7, build and correlate the second, and bring the RV-2 fixture online on both. Retire station 2. Target: both new stations in production, and RV-2 testable, by May 22 — a week and a half before RV-2 production begins.</w:t>
      </w:r>
    </w:p>
    <w:p>
      <w:pPr>
        <w:pStyle w:val="Heading1"/>
      </w:pPr>
      <w:r>
        <w:t xml:space="preserve">Risks</w:t>
      </w:r>
    </w:p>
    <w:p>
      <w:pPr>
        <w:pStyle w:val="Heading2"/>
      </w:pPr>
      <w:r>
        <w:t xml:space="preserve">Schedule Risk</w:t>
      </w:r>
    </w:p>
    <w:p>
      <w:pPr>
        <w:spacing w:after="120"/>
      </w:pPr>
      <w:r>
        <w:t xml:space="preserve">The plan has about two weeks of float before RV-2 production. The power supplies are single-source, and a slip in their delivery comes straight out of that float. The mitigation is the fallback described above: build the RV-2 fixture for an existing station in parallel, so that the RV-2 can be tested in June whatever happens to the new stations.</w:t>
      </w:r>
    </w:p>
    <w:p>
      <w:pPr>
        <w:pStyle w:val="Heading2"/>
      </w:pPr>
      <w:r>
        <w:t xml:space="preserve">Correlation Risk</w:t>
      </w:r>
    </w:p>
    <w:p>
      <w:pPr>
        <w:spacing w:after="120"/>
      </w:pPr>
      <w:r>
        <w:t xml:space="preserve">A new station that is stricter than the old one will fail units the old one passed. Some of those will be real defects the old stations have been missing. That is good for quality and bad for yield reports, and it will look like a yield drop in the month the new stations come in. The correlation run is designed to separate the two before anyone reads a yield number.</w:t>
      </w:r>
    </w:p>
    <w:p>
      <w:pPr>
        <w:pStyle w:val="Heading2"/>
      </w:pPr>
      <w:r>
        <w:t xml:space="preserve">Key-Person Risk</w:t>
      </w:r>
    </w:p>
    <w:p>
      <w:pPr>
        <w:spacing w:after="120"/>
      </w:pPr>
      <w:r>
        <w:t xml:space="preserve">Today, I am the only person who can maintain the test runner. The new stations make that no worse, but they do not fix it either. Part of the eleven weeks is writing the runner's documentation well enough that Sofia or a Veskell technician could keep a station running while I am away.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End-of-Line Test Station Upgrade Plan</dc:title>
  <dc:creator>Devon</dc:creator>
  <cp:lastModifiedBy>Devon</cp:lastModifiedBy>
  <cp:revision>1</cp:revision>
  <dcterms:created xsi:type="dcterms:W3CDTF">2026-02-26T09:00:00Z</dcterms:created>
  <dcterms:modified xsi:type="dcterms:W3CDTF">2026-02-26T09:00:00Z</dcterms:modified>
</cp:coreProperties>
</file>

<file path=docProps/custom.xml><?xml version="1.0" encoding="utf-8"?>
<Properties xmlns="http://schemas.openxmlformats.org/officeDocument/2006/custom-properties" xmlns:vt="http://schemas.openxmlformats.org/officeDocument/2006/docPropsVTypes"/>
</file>