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Contract Manufacturer Transition Plan</w:t>
      </w:r>
    </w:p>
    <w:p>
      <w:pPr>
        <w:pStyle w:val="Heading1"/>
      </w:pPr>
      <w:r>
        <w:t xml:space="preserve">Why a Second Contract Manufacturer</w:t>
      </w:r>
    </w:p>
    <w:p>
      <w:pPr>
        <w:pStyle w:val="Heading2"/>
      </w:pPr>
      <w:r>
        <w:t xml:space="preserve">Single-Source Exposure at Harlow Circuit Assembly</w:t>
      </w:r>
    </w:p>
    <w:p>
      <w:pPr>
        <w:spacing w:after="160"/>
      </w:pPr>
      <w:r>
        <w:t xml:space="preserve">Every board we ship is assembled by one contract manufacturer, Harlow Circuit Assembly in Lowell, Massachusetts. Harlow has been a good partner for four years and nothing in this plan is a complaint about their workmanship. The problem is that we have no alternative. If Harlow loses a line, a key operator, or a component allocation, we lose production, and we have no way to ramp elsewhere in less than about three months.</w:t>
      </w:r>
    </w:p>
    <w:p>
      <w:pPr>
        <w:spacing w:after="160"/>
      </w:pPr>
      <w:r>
        <w:t xml:space="preserve">That exposure has stopped being hypothetical. In November, a reflow oven failure took Harlow's second SMT line down for nine working days, and because our boards run on that line, we shipped nothing for most of two weeks. Quoted lead time for a standard build has also drifted from three weeks a year ago to five weeks now, as Harlow has taken on a medical device customer whose volume is ten times ours. We are a small account at Harlow and we are becoming a smaller one.</w:t>
      </w:r>
    </w:p>
    <w:p>
      <w:pPr>
        <w:pStyle w:val="Heading2"/>
      </w:pPr>
      <w:r>
        <w:t xml:space="preserve">What This Plan Proposes</w:t>
      </w:r>
    </w:p>
    <w:p>
      <w:pPr>
        <w:spacing w:after="160"/>
      </w:pPr>
      <w:r>
        <w:t xml:space="preserve">Qualify a second contract manufacturer, move one product line's board assembly to it in full, and keep the other lines at Harlow. The intended end state is two qualified manufacturers, each running production for us every month, with documentation and test fixtures at both sites complete enough that either could take the other's volume within six weeks. The plan below sets out the candidates, the options for splitting the work, the phases and their costs, and what could go wrong. The recommendation is one argument among the options, and the decisions at the end are the ones needed before any money is spent.</w:t>
      </w:r>
    </w:p>
    <w:p>
      <w:pPr>
        <w:pStyle w:val="Heading1"/>
      </w:pPr>
      <w:r>
        <w:t xml:space="preserve">Current Board Assembly Arrangement</w:t>
      </w:r>
    </w:p>
    <w:p>
      <w:pPr>
        <w:pStyle w:val="Heading2"/>
      </w:pPr>
      <w:r>
        <w:t xml:space="preserve">Volumes and Board Mix</w:t>
      </w:r>
    </w:p>
    <w:p>
      <w:pPr>
        <w:spacing w:after="160"/>
      </w:pPr>
      <w:r>
        <w:t xml:space="preserve">Harlow assembles five board types for us across three product lines. Average monthly volume over the last six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246"/>
        <w:gridCol w:w="2059"/>
        <w:gridCol w:w="1873"/>
      </w:tblGrid>
      <w:tr>
        <w:trPr>
          <w:tblHeader/>
        </w:trPr>
        <w:tc>
          <w:tcPr>
            <w:tcW w:type="dxa" w:w="3182"/>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Board</w:t>
            </w:r>
          </w:p>
        </w:tc>
        <w:tc>
          <w:tcPr>
            <w:tcW w:type="dxa" w:w="2246"/>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Product</w:t>
            </w:r>
          </w:p>
        </w:tc>
        <w:tc>
          <w:tcPr>
            <w:tcW w:type="dxa" w:w="2059"/>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Layers / placements</w:t>
            </w:r>
          </w:p>
        </w:tc>
        <w:tc>
          <w:tcPr>
            <w:tcW w:type="dxa" w:w="1873"/>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Avg. monthly volume</w:t>
            </w:r>
          </w:p>
        </w:tc>
      </w:tr>
      <w:tr>
        <w:tc>
          <w:tcPr>
            <w:tcW w:type="dxa" w:w="318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XT-9 main board (Rev C)</w:t>
            </w:r>
          </w:p>
        </w:tc>
        <w:tc>
          <w:tcPr>
            <w:tcW w:type="dxa" w:w="224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XT-9</w:t>
            </w:r>
          </w:p>
        </w:tc>
        <w:tc>
          <w:tcPr>
            <w:tcW w:type="dxa" w:w="2059"/>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 layers / 412</w:t>
            </w:r>
          </w:p>
        </w:tc>
        <w:tc>
          <w:tcPr>
            <w:tcW w:type="dxa" w:w="1873"/>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180</w:t>
            </w:r>
          </w:p>
        </w:tc>
      </w:tr>
      <w:tr>
        <w:tc>
          <w:tcPr>
            <w:tcW w:type="dxa" w:w="318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FieldSense 200 main board</w:t>
            </w:r>
          </w:p>
        </w:tc>
        <w:tc>
          <w:tcPr>
            <w:tcW w:type="dxa" w:w="224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FieldSense 200 Series</w:t>
            </w:r>
          </w:p>
        </w:tc>
        <w:tc>
          <w:tcPr>
            <w:tcW w:type="dxa" w:w="2059"/>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8 layers / 638</w:t>
            </w:r>
          </w:p>
        </w:tc>
        <w:tc>
          <w:tcPr>
            <w:tcW w:type="dxa" w:w="1873"/>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260</w:t>
            </w:r>
          </w:p>
        </w:tc>
      </w:tr>
      <w:tr>
        <w:tc>
          <w:tcPr>
            <w:tcW w:type="dxa" w:w="318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FieldSense 200 sensor head board</w:t>
            </w:r>
          </w:p>
        </w:tc>
        <w:tc>
          <w:tcPr>
            <w:tcW w:type="dxa" w:w="224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FieldSense 200 Series</w:t>
            </w:r>
          </w:p>
        </w:tc>
        <w:tc>
          <w:tcPr>
            <w:tcW w:type="dxa" w:w="2059"/>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 layers / 97</w:t>
            </w:r>
          </w:p>
        </w:tc>
        <w:tc>
          <w:tcPr>
            <w:tcW w:type="dxa" w:w="1873"/>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260</w:t>
            </w:r>
          </w:p>
        </w:tc>
      </w:tr>
      <w:tr>
        <w:tc>
          <w:tcPr>
            <w:tcW w:type="dxa" w:w="318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ProximaSense X4 transducer interface</w:t>
            </w:r>
          </w:p>
        </w:tc>
        <w:tc>
          <w:tcPr>
            <w:tcW w:type="dxa" w:w="224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ProximaSense X4</w:t>
            </w:r>
          </w:p>
        </w:tc>
        <w:tc>
          <w:tcPr>
            <w:tcW w:type="dxa" w:w="2059"/>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 layers / 184</w:t>
            </w:r>
          </w:p>
        </w:tc>
        <w:tc>
          <w:tcPr>
            <w:tcW w:type="dxa" w:w="1873"/>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150</w:t>
            </w:r>
          </w:p>
        </w:tc>
      </w:tr>
      <w:tr>
        <w:tc>
          <w:tcPr>
            <w:tcW w:type="dxa" w:w="318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ProximaSense X4 power board</w:t>
            </w:r>
          </w:p>
        </w:tc>
        <w:tc>
          <w:tcPr>
            <w:tcW w:type="dxa" w:w="2246"/>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ProximaSense X4</w:t>
            </w:r>
          </w:p>
        </w:tc>
        <w:tc>
          <w:tcPr>
            <w:tcW w:type="dxa" w:w="2059"/>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 layers / 61</w:t>
            </w:r>
          </w:p>
        </w:tc>
        <w:tc>
          <w:tcPr>
            <w:tcW w:type="dxa" w:w="1873"/>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150</w:t>
            </w:r>
          </w:p>
        </w:tc>
      </w:tr>
    </w:tbl>
    <w:p>
      <w:pPr>
        <w:spacing w:after="160"/>
      </w:pPr>
    </w:p>
    <w:p>
      <w:pPr>
        <w:spacing w:after="160"/>
      </w:pPr>
      <w:r>
        <w:t xml:space="preserve">Monthly volume is lumpy. The FieldSense 200 figure in particular swings between about 180 and 340 boards month to month depending on order timing, and a single large order can double it. Harlow absorbs that variation today mainly by extending lead time, which is part of why lead time has grown.</w:t>
      </w:r>
    </w:p>
    <w:p>
      <w:pPr>
        <w:pStyle w:val="Heading2"/>
      </w:pPr>
      <w:r>
        <w:t xml:space="preserve">Cost and Yield Baseline</w:t>
      </w:r>
    </w:p>
    <w:p>
      <w:pPr>
        <w:spacing w:after="160"/>
      </w:pPr>
      <w:r>
        <w:t xml:space="preserve">Harlow's assembly price per board, excluding components we consign, is $38.40 for the XT-9 main board, $52.10 for the FieldSense 200 main board, $9.80 for the sensor head board, $14.60 for the X4 transducer interface, and $6.20 for the X4 power board. First-pass yield at in-circuit test over the last six months was 97.8% on the XT-9 main board, 96.1% on the FieldSense 200 main board, and above 98.5% on the three simpler boards. Harlow's rework on failing boards recovers nearly all of them, so scrap cost is small, but rework adds between two and four days to a build.</w:t>
      </w:r>
    </w:p>
    <w:p>
      <w:pPr>
        <w:spacing w:after="160"/>
      </w:pPr>
      <w:r>
        <w:t xml:space="preserve">The FieldSense 200 main board is the hardest board we build: fine-pitch BGA processor, two 0.4 mm pitch connectors, and the highest placement count. It is also where Harlow's yield is lowest. Any new manufacturer will be judged largely on how it handles this board.</w:t>
      </w:r>
    </w:p>
    <w:p>
      <w:pPr>
        <w:pStyle w:val="Heading2"/>
      </w:pPr>
      <w:r>
        <w:t xml:space="preserve">Commercial Terms</w:t>
      </w:r>
    </w:p>
    <w:p>
      <w:pPr>
        <w:spacing w:after="160"/>
      </w:pPr>
      <w:r>
        <w:t xml:space="preserve">The master supply agreement with Harlow runs to December 2027 and has no volume commitment or exclusivity clause, so moving part of the work does not breach it. Callum has confirmed this. Harlow does hold our stencils, two in-circuit test fixtures, and a programming station for the FieldSense 200, all of which we own and can recall on 30 days' notice. Those fixtures are relevant to the phasing below: moving them would leave Harlow unable to test that board, so the new manufacturer needs its own set.</w:t>
      </w:r>
    </w:p>
    <w:p>
      <w:pPr>
        <w:pStyle w:val="Heading1"/>
      </w:pPr>
      <w:r>
        <w:t xml:space="preserve">Candidate Evaluation</w:t>
      </w:r>
    </w:p>
    <w:p>
      <w:pPr>
        <w:pStyle w:val="Heading2"/>
      </w:pPr>
      <w:r>
        <w:t xml:space="preserve">Evaluation Criteria and Weighting</w:t>
      </w:r>
    </w:p>
    <w:p>
      <w:pPr>
        <w:spacing w:after="160"/>
      </w:pPr>
      <w:r>
        <w:t xml:space="preserve">Candidates were scored out of 5 on six criteria, weighted by how much each matters to a company of our size. Technical capability on fine-pitch BGA and first-article discipline carry the most weight, because the FieldSense 200 main board is where a new manufacturer is most likely to fail. Price matters but is weighted below capability: a manufacturer that saves a dollar a board and costs us a month of yield problems is not a saving. Responsiveness to a low-volume customer is weighted heavily because it is the thing we have lost at Harlow.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rPr>
          <w:tblHeader/>
        </w:trPr>
        <w:tc>
          <w:tcPr>
            <w:tcW w:type="dxa" w:w="7020"/>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Criterion</w:t>
            </w:r>
          </w:p>
        </w:tc>
        <w:tc>
          <w:tcPr>
            <w:tcW w:type="dxa" w:w="2340"/>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Weight</w:t>
            </w:r>
          </w:p>
        </w:tc>
      </w:tr>
      <w:tr>
        <w:tc>
          <w:tcPr>
            <w:tcW w:type="dxa" w:w="702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Fine-pitch BGA and technical capability</w:t>
            </w:r>
          </w:p>
        </w:tc>
        <w:tc>
          <w:tcPr>
            <w:tcW w:type="dxa" w:w="23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25%</w:t>
            </w:r>
          </w:p>
        </w:tc>
      </w:tr>
      <w:tr>
        <w:tc>
          <w:tcPr>
            <w:tcW w:type="dxa" w:w="702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First-article and quality process</w:t>
            </w:r>
          </w:p>
        </w:tc>
        <w:tc>
          <w:tcPr>
            <w:tcW w:type="dxa" w:w="23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20%</w:t>
            </w:r>
          </w:p>
        </w:tc>
      </w:tr>
      <w:tr>
        <w:tc>
          <w:tcPr>
            <w:tcW w:type="dxa" w:w="702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Responsiveness to a low-volume customer</w:t>
            </w:r>
          </w:p>
        </w:tc>
        <w:tc>
          <w:tcPr>
            <w:tcW w:type="dxa" w:w="23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20%</w:t>
            </w:r>
          </w:p>
        </w:tc>
      </w:tr>
      <w:tr>
        <w:tc>
          <w:tcPr>
            <w:tcW w:type="dxa" w:w="702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Assembly price</w:t>
            </w:r>
          </w:p>
        </w:tc>
        <w:tc>
          <w:tcPr>
            <w:tcW w:type="dxa" w:w="23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15%</w:t>
            </w:r>
          </w:p>
        </w:tc>
      </w:tr>
      <w:tr>
        <w:tc>
          <w:tcPr>
            <w:tcW w:type="dxa" w:w="702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Lead time and capacity headroom</w:t>
            </w:r>
          </w:p>
        </w:tc>
        <w:tc>
          <w:tcPr>
            <w:tcW w:type="dxa" w:w="23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10%</w:t>
            </w:r>
          </w:p>
        </w:tc>
      </w:tr>
      <w:tr>
        <w:tc>
          <w:tcPr>
            <w:tcW w:type="dxa" w:w="702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Proximity and ease of site visits</w:t>
            </w:r>
          </w:p>
        </w:tc>
        <w:tc>
          <w:tcPr>
            <w:tcW w:type="dxa" w:w="23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10%</w:t>
            </w:r>
          </w:p>
        </w:tc>
      </w:tr>
    </w:tbl>
    <w:p>
      <w:pPr>
        <w:spacing w:after="160"/>
      </w:pPr>
    </w:p>
    <w:p>
      <w:pPr>
        <w:pStyle w:val="Heading2"/>
      </w:pPr>
      <w:r>
        <w:t xml:space="preserve">Keystone EMS</w:t>
      </w:r>
    </w:p>
    <w:p>
      <w:pPr>
        <w:spacing w:after="160"/>
      </w:pPr>
      <w:r>
        <w:t xml:space="preserve">Keystone is a 140-person manufacturer in Nashua, New Hampshire, forty minutes from Harlow and an hour from us. They run three SMT lines, two with 3D solder paste inspection, and do BGA work daily for industrial and test equipment customers. We visited on March 18. Their quoted assembly prices were within 4% of Harlow's across all five boards, with the FieldSense 200 main board at $53.90, and quoted standard lead time is three weeks. Keystone offered a dedicated program manager at our volume, which Harlow no longer does. They asked for a 12-month volume forecast but no minimum commitment. The weakness is capacity headroom: their lines are about 80% loaded, and a surge from us would compete with their existing customers in exactly the way it now does at Harlow, though at a lower multiple of our volume.</w:t>
      </w:r>
    </w:p>
    <w:p>
      <w:pPr>
        <w:pStyle w:val="Heading2"/>
      </w:pPr>
      <w:r>
        <w:t xml:space="preserve">Pellant Electronics</w:t>
      </w:r>
    </w:p>
    <w:p>
      <w:pPr>
        <w:spacing w:after="160"/>
      </w:pPr>
      <w:r>
        <w:t xml:space="preserve">Pellant, in Worcester, is the lowest-priced candidate by a clear margin: $46.80 for the FieldSense 200 main board and between 8% and 12% under Harlow on the others. They are larger than Keystone, with five lines and substantial spare capacity. The visit on March 24 raised concerns that outweigh the price. They do BGA work but mostly on coarser pitches, and when asked for first-pass yield data on comparable boards they offered a plant-wide figure rather than board-level data. Their first-article process is a checklist sign-off without a formal report. They also required a 12-month minimum of 2,000 boards across all types, which at our current mix is about a sixth of annual volume and would be binding in a slow year.</w:t>
      </w:r>
    </w:p>
    <w:p>
      <w:pPr>
        <w:pStyle w:val="Heading2"/>
      </w:pPr>
      <w:r>
        <w:t xml:space="preserve">Northgate Assembly Services</w:t>
      </w:r>
    </w:p>
    <w:p>
      <w:pPr>
        <w:spacing w:after="160"/>
      </w:pPr>
      <w:r>
        <w:t xml:space="preserve">Northgate is a small, 45-person shop in Manchester, New Hampshire with two lines and very strong responsiveness: the owner answered every question on the day it was asked. Their quality process is good and their pricing is between Keystone's and Pellant's. They have not built anything with a BGA finer than 0.8 mm pitch, however, and the FieldSense 200 processor is 0.5 mm. They would be a capable second source for the ProximaSense X4 and XT-9 boards but not for the board that most needs one.</w:t>
      </w:r>
    </w:p>
    <w:p>
      <w:pPr>
        <w:pStyle w:val="Heading2"/>
      </w:pPr>
      <w:r>
        <w:t xml:space="preserve">Scoring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1872"/>
        <w:gridCol w:w="1872"/>
        <w:gridCol w:w="1872"/>
      </w:tblGrid>
      <w:tr>
        <w:trPr>
          <w:tblHeader/>
        </w:trPr>
        <w:tc>
          <w:tcPr>
            <w:tcW w:type="dxa" w:w="3744"/>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Criterion (weight)</w:t>
            </w:r>
          </w:p>
        </w:tc>
        <w:tc>
          <w:tcPr>
            <w:tcW w:type="dxa" w:w="1872"/>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Keystone</w:t>
            </w:r>
          </w:p>
        </w:tc>
        <w:tc>
          <w:tcPr>
            <w:tcW w:type="dxa" w:w="1872"/>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Pellant</w:t>
            </w:r>
          </w:p>
        </w:tc>
        <w:tc>
          <w:tcPr>
            <w:tcW w:type="dxa" w:w="1872"/>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Northgate</w:t>
            </w:r>
          </w:p>
        </w:tc>
      </w:tr>
      <w:tr>
        <w:tc>
          <w:tcPr>
            <w:tcW w:type="dxa" w:w="3744"/>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BGA and technical capability (25%)</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5</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w:t>
            </w:r>
          </w:p>
        </w:tc>
      </w:tr>
      <w:tr>
        <w:tc>
          <w:tcPr>
            <w:tcW w:type="dxa" w:w="3744"/>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First-article and quality (20%)</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2</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w:t>
            </w:r>
          </w:p>
        </w:tc>
      </w:tr>
      <w:tr>
        <w:tc>
          <w:tcPr>
            <w:tcW w:type="dxa" w:w="3744"/>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Responsiveness (20%)</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5</w:t>
            </w:r>
          </w:p>
        </w:tc>
      </w:tr>
      <w:tr>
        <w:tc>
          <w:tcPr>
            <w:tcW w:type="dxa" w:w="3744"/>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Assembly price (15%)</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5</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w:t>
            </w:r>
          </w:p>
        </w:tc>
      </w:tr>
      <w:tr>
        <w:tc>
          <w:tcPr>
            <w:tcW w:type="dxa" w:w="3744"/>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Lead time and headroom (10%)</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5</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w:t>
            </w:r>
          </w:p>
        </w:tc>
      </w:tr>
      <w:tr>
        <w:tc>
          <w:tcPr>
            <w:tcW w:type="dxa" w:w="3744"/>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Proximity (10%)</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5</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5</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w:t>
            </w:r>
          </w:p>
        </w:tc>
      </w:tr>
      <w:tr>
        <w:tc>
          <w:tcPr>
            <w:tcW w:type="dxa" w:w="3744"/>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Weighted score</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4.10</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3.50</w:t>
            </w:r>
          </w:p>
        </w:tc>
        <w:tc>
          <w:tcPr>
            <w:tcW w:type="dxa" w:w="1872"/>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3.60</w:t>
            </w:r>
          </w:p>
        </w:tc>
      </w:tr>
    </w:tbl>
    <w:p>
      <w:pPr>
        <w:spacing w:after="160"/>
      </w:pPr>
    </w:p>
    <w:p>
      <w:pPr>
        <w:spacing w:after="160"/>
      </w:pPr>
      <w:r>
        <w:t xml:space="preserve">Keystone scores highest. The margin over Northgate is driven almost entirely by BGA capability, and if the plan only needed a second source for the simpler boards, Northgate would be a reasonable choice at a lower price.</w:t>
      </w:r>
    </w:p>
    <w:p>
      <w:pPr>
        <w:pStyle w:val="Heading1"/>
      </w:pPr>
      <w:r>
        <w:t xml:space="preserve">Options Considered</w:t>
      </w:r>
    </w:p>
    <w:p>
      <w:pPr>
        <w:pStyle w:val="Heading2"/>
      </w:pPr>
      <w:r>
        <w:t xml:space="preserve">Option A: Split by Product Line</w:t>
      </w:r>
    </w:p>
    <w:p>
      <w:pPr>
        <w:spacing w:after="160"/>
      </w:pPr>
      <w:r>
        <w:t xml:space="preserve">Move all FieldSense 200 board assembly to Keystone and keep the XT-9 and ProximaSense X4 boards at Harlow. Each manufacturer builds complete product lines, so each board type has one source at any given time, but both manufacturers are qualified and running every month. Moving FieldSense 200 specifically puts our highest-volume, hardest board with the manufacturer best equipped for it, and frees the most capacity at Harlow. The cost is that the FieldSense 200 is also the board with most at stake if the transfer goes badly.</w:t>
      </w:r>
    </w:p>
    <w:p>
      <w:pPr>
        <w:pStyle w:val="Heading2"/>
      </w:pPr>
      <w:r>
        <w:t xml:space="preserve">Option B: Dual-Source Every Board</w:t>
      </w:r>
    </w:p>
    <w:p>
      <w:pPr>
        <w:spacing w:after="160"/>
      </w:pPr>
      <w:r>
        <w:t xml:space="preserve">Qualify Keystone on all five boards and split each board's volume between the two manufacturers. This gives the strongest protection on paper, since either site could absorb any board immediately. In practice at our volumes it roughly halves each manufacturer's run length, which raises setup cost per board by an estimated $3 to $5, and it requires a duplicate set of test fixtures for every board type at about $38,000 in total. It also doubles the engineering attention every change order needs. At 1,000 boards a month, the cost is hard to justify.</w:t>
      </w:r>
    </w:p>
    <w:p>
      <w:pPr>
        <w:pStyle w:val="Heading2"/>
      </w:pPr>
      <w:r>
        <w:t xml:space="preserve">Option C: Qualified Standby Only</w:t>
      </w:r>
    </w:p>
    <w:p>
      <w:pPr>
        <w:spacing w:after="160"/>
      </w:pPr>
      <w:r>
        <w:t xml:space="preserve">Qualify Keystone on all boards with a first-article build, then leave all production at Harlow and keep Keystone as a standby. This is the cheapest option. The problem is that a standby manufacturer that has not built our boards in six months is not really qualified: operators change, process parameters drift, and the programs sit unused. Keystone also told us plainly that a customer with no running volume gets no priority in a surge, which is exactly the situation a standby exists for.</w:t>
      </w:r>
    </w:p>
    <w:p>
      <w:pPr>
        <w:pStyle w:val="Heading2"/>
      </w:pPr>
      <w:r>
        <w:t xml:space="preserve">Recommended Option</w:t>
      </w:r>
    </w:p>
    <w:p>
      <w:pPr>
        <w:spacing w:after="160"/>
      </w:pPr>
      <w:r>
        <w:t xml:space="preserve">Option A. It gives us two manufacturers that are both running our work every month, which is the only form of second source that is dependable. It puts the most demanding board with the most capable candidate, and it costs the least of the options that provide real protection. The standby element of Option C can be layered on later at low cost by having Keystone build one small lot of XT-9 main boards each quarter, so that it stays qualified on a second product line. I would argue against Option B unless volume roughly triples.</w:t>
      </w:r>
    </w:p>
    <w:p>
      <w:pPr>
        <w:pStyle w:val="Heading1"/>
      </w:pPr>
      <w:r>
        <w:t xml:space="preserve">Transition Phases</w:t>
      </w:r>
    </w:p>
    <w:p>
      <w:pPr>
        <w:pStyle w:val="Heading2"/>
      </w:pPr>
      <w:r>
        <w:t xml:space="preserve">Phase 1: Documentation Package and Commercial Terms</w:t>
      </w:r>
    </w:p>
    <w:p>
      <w:pPr>
        <w:spacing w:after="160"/>
      </w:pPr>
      <w:r>
        <w:t xml:space="preserve">Weeks 1 to 4. Marcus and I assemble the complete manufacturing data package for the two FieldSense 200 boards: Gerbers, assembly drawings, pick-and-place files, the approved manufacturer list, the test specification, and the rework limitations. Harlow's package has grown by accretion over four years and contains undocumented practices, including a manual underfill step on the BGA that exists only as a note on a traveler, so writing it down properly is most of the work in this phase. Callum negotiates the master supply agreement with Keystone in parallel. Sofia prepares the production programming image and the programming procedure for the FieldSense 200, which at Harlow runs on a station we built and which Keystone will run on a second unit.</w:t>
      </w:r>
    </w:p>
    <w:p>
      <w:pPr>
        <w:pStyle w:val="Heading2"/>
      </w:pPr>
      <w:r>
        <w:t xml:space="preserve">Phase 2: Fixtures and First Article Build</w:t>
      </w:r>
    </w:p>
    <w:p>
      <w:pPr>
        <w:spacing w:after="160"/>
      </w:pPr>
      <w:r>
        <w:t xml:space="preserve">Weeks 5 to 9. Keystone builds stencils, and we order a new in-circuit test fixture and programming station for each FieldSense 200 board, with a quoted fixture lead time of four weeks. First article is a build of 25 main boards and 25 sensor head boards, inspected by Keystone with a full first-article report and then independently tested by us: in-circuit test, functional test, X-ray on 100% of the BGAs, and a cross-section on two boards. The acceptance threshold for moving on is first-pass yield of at least 94% on the main board and no BGA voiding above 25% on any sampled joint.</w:t>
      </w:r>
    </w:p>
    <w:p>
      <w:pPr>
        <w:pStyle w:val="Heading2"/>
      </w:pPr>
      <w:r>
        <w:t xml:space="preserve">Phase 3: Pilot Production</w:t>
      </w:r>
    </w:p>
    <w:p>
      <w:pPr>
        <w:spacing w:after="160"/>
      </w:pPr>
      <w:r>
        <w:t xml:space="preserve">Weeks 10 to 15. Keystone builds two production lots of 120 boards each, which ship in finished product to customers, while Harlow continues to build the remaining FieldSense 200 volume. Yield, lead time, and field returns from Keystone lots are tracked separately. The gate to Phase 4 is Keystone matching Harlow's six-month first-pass yield of 96.1% on the main board across both pilot lots, with no systematic defect.</w:t>
      </w:r>
    </w:p>
    <w:p>
      <w:pPr>
        <w:pStyle w:val="Heading2"/>
      </w:pPr>
      <w:r>
        <w:t xml:space="preserve">Phase 4: Full FieldSense 200 Volume at Keystone</w:t>
      </w:r>
    </w:p>
    <w:p>
      <w:pPr>
        <w:spacing w:after="160"/>
      </w:pPr>
      <w:r>
        <w:t xml:space="preserve">From week 16. All FieldSense 200 board assembly moves to Keystone. Harlow retains XT-9 and ProximaSense X4 boards. Harlow's FieldSense 200 fixtures stay at Harlow rather than being recalled, so that it can build a FieldSense 200 lot if Keystone is interrupted. That is the practical protection the whole plan exists for. Starting Phase 1 in the first week of May puts Phase 4 in the third week of August.</w:t>
      </w:r>
    </w:p>
    <w:p>
      <w:pPr>
        <w:pStyle w:val="Heading1"/>
      </w:pPr>
      <w:r>
        <w:t xml:space="preserve">Cost of the Transition</w:t>
      </w:r>
    </w:p>
    <w:p>
      <w:pPr>
        <w:pStyle w:val="Heading2"/>
      </w:pPr>
      <w:r>
        <w:t xml:space="preserve">One-Time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20"/>
        <w:gridCol w:w="2340"/>
      </w:tblGrid>
      <w:tr>
        <w:trPr>
          <w:tblHeader/>
        </w:trPr>
        <w:tc>
          <w:tcPr>
            <w:tcW w:type="dxa" w:w="7020"/>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Item</w:t>
            </w:r>
          </w:p>
        </w:tc>
        <w:tc>
          <w:tcPr>
            <w:tcW w:type="dxa" w:w="2340"/>
            <w:tcBorders>
              <w:top w:val="single" w:color="A0A0A0" w:sz="4"/>
              <w:left w:val="single" w:color="A0A0A0" w:sz="4"/>
              <w:bottom w:val="single" w:color="A0A0A0" w:sz="4"/>
              <w:right w:val="single" w:color="A0A0A0" w:sz="4"/>
            </w:tcBorders>
            <w:shd w:fill="E7ECF2" w:color="auto" w:val="clear"/>
            <w:tcMar>
              <w:top w:type="dxa" w:w="60"/>
              <w:left w:type="dxa" w:w="100"/>
              <w:bottom w:type="dxa" w:w="60"/>
              <w:right w:type="dxa" w:w="100"/>
            </w:tcMar>
          </w:tcPr>
          <w:p>
            <w:r>
              <w:rPr>
                <w:b/>
                <w:bCs/>
                <w:sz w:val="20"/>
                <w:szCs w:val="20"/>
              </w:rPr>
              <w:t xml:space="preserve">Estimated cost</w:t>
            </w:r>
          </w:p>
        </w:tc>
      </w:tr>
      <w:tr>
        <w:tc>
          <w:tcPr>
            <w:tcW w:type="dxa" w:w="702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Stencils, both FieldSense 200 boards</w:t>
            </w:r>
          </w:p>
        </w:tc>
        <w:tc>
          <w:tcPr>
            <w:tcW w:type="dxa" w:w="23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$1,400</w:t>
            </w:r>
          </w:p>
        </w:tc>
      </w:tr>
      <w:tr>
        <w:tc>
          <w:tcPr>
            <w:tcW w:type="dxa" w:w="702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In-circuit test fixtures, two boards</w:t>
            </w:r>
          </w:p>
        </w:tc>
        <w:tc>
          <w:tcPr>
            <w:tcW w:type="dxa" w:w="23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$16,500</w:t>
            </w:r>
          </w:p>
        </w:tc>
      </w:tr>
      <w:tr>
        <w:tc>
          <w:tcPr>
            <w:tcW w:type="dxa" w:w="702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Programming station (second unit)</w:t>
            </w:r>
          </w:p>
        </w:tc>
        <w:tc>
          <w:tcPr>
            <w:tcW w:type="dxa" w:w="23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$4,200</w:t>
            </w:r>
          </w:p>
        </w:tc>
      </w:tr>
      <w:tr>
        <w:tc>
          <w:tcPr>
            <w:tcW w:type="dxa" w:w="702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First article build, NRE and setup</w:t>
            </w:r>
          </w:p>
        </w:tc>
        <w:tc>
          <w:tcPr>
            <w:tcW w:type="dxa" w:w="23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$6,800</w:t>
            </w:r>
          </w:p>
        </w:tc>
      </w:tr>
      <w:tr>
        <w:tc>
          <w:tcPr>
            <w:tcW w:type="dxa" w:w="702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First article independent testing (X-ray, cross-section)</w:t>
            </w:r>
          </w:p>
        </w:tc>
        <w:tc>
          <w:tcPr>
            <w:tcW w:type="dxa" w:w="23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$3,100</w:t>
            </w:r>
          </w:p>
        </w:tc>
      </w:tr>
      <w:tr>
        <w:tc>
          <w:tcPr>
            <w:tcW w:type="dxa" w:w="702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Engineering time, estimated 220 hours across Marcus, Sofia, and me</w:t>
            </w:r>
          </w:p>
        </w:tc>
        <w:tc>
          <w:tcPr>
            <w:tcW w:type="dxa" w:w="23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Internal</w:t>
            </w:r>
          </w:p>
        </w:tc>
      </w:tr>
      <w:tr>
        <w:tc>
          <w:tcPr>
            <w:tcW w:type="dxa" w:w="702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Travel and site visits</w:t>
            </w:r>
          </w:p>
        </w:tc>
        <w:tc>
          <w:tcPr>
            <w:tcW w:type="dxa" w:w="23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$1,500</w:t>
            </w:r>
          </w:p>
        </w:tc>
      </w:tr>
      <w:tr>
        <w:tc>
          <w:tcPr>
            <w:tcW w:type="dxa" w:w="702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Total external cost</w:t>
            </w:r>
          </w:p>
        </w:tc>
        <w:tc>
          <w:tcPr>
            <w:tcW w:type="dxa" w:w="2340"/>
            <w:tcBorders>
              <w:top w:val="single" w:color="A0A0A0" w:sz="4"/>
              <w:left w:val="single" w:color="A0A0A0" w:sz="4"/>
              <w:bottom w:val="single" w:color="A0A0A0" w:sz="4"/>
              <w:right w:val="single" w:color="A0A0A0" w:sz="4"/>
            </w:tcBorders>
            <w:tcMar>
              <w:top w:type="dxa" w:w="60"/>
              <w:left w:type="dxa" w:w="100"/>
              <w:bottom w:type="dxa" w:w="60"/>
              <w:right w:type="dxa" w:w="100"/>
            </w:tcMar>
          </w:tcPr>
          <w:p>
            <w:r>
              <w:rPr>
                <w:b w:val="false"/>
                <w:bCs w:val="false"/>
                <w:sz w:val="20"/>
                <w:szCs w:val="20"/>
              </w:rPr>
              <w:t xml:space="preserve">$33,500</w:t>
            </w:r>
          </w:p>
        </w:tc>
      </w:tr>
    </w:tbl>
    <w:p>
      <w:pPr>
        <w:spacing w:after="160"/>
      </w:pPr>
    </w:p>
    <w:p>
      <w:pPr>
        <w:spacing w:after="160"/>
      </w:pPr>
      <w:r>
        <w:t xml:space="preserve">Pilot lots are priced as ordinary production and are not included. Internal engineering time is the largest real cost and is estimated at about 220 hours over sixteen weeks, most of it concentrated in Phase 1. Renata has reviewed the external figures.</w:t>
      </w:r>
    </w:p>
    <w:p>
      <w:pPr>
        <w:pStyle w:val="Heading2"/>
      </w:pPr>
      <w:r>
        <w:t xml:space="preserve">Effect on Per-Unit Board Cost</w:t>
      </w:r>
    </w:p>
    <w:p>
      <w:pPr>
        <w:spacing w:after="160"/>
      </w:pPr>
      <w:r>
        <w:t xml:space="preserve">Keystone's price on the FieldSense 200 main board is $1.80 higher than Harlow's, and on the sensor head board $0.30 higher. At 260 boards a month that is about $550 a month, or $6,600 a year, which is the ongoing premium for a second source. Against that, the November line stoppage alone delayed roughly $180,000 of FieldSense 200 shipments by two weeks. The plan does not claim any cost saving; it is insurance priced at about 3% of what the product line spends on board assembly in a year.</w:t>
      </w:r>
    </w:p>
    <w:p>
      <w:pPr>
        <w:pStyle w:val="Heading1"/>
      </w:pPr>
      <w:r>
        <w:t xml:space="preserve">Transition Risks</w:t>
      </w:r>
    </w:p>
    <w:p>
      <w:pPr>
        <w:pStyle w:val="Heading2"/>
      </w:pPr>
      <w:r>
        <w:t xml:space="preserve">Supplier Qualification Risk</w:t>
      </w:r>
    </w:p>
    <w:p>
      <w:pPr>
        <w:spacing w:after="160"/>
      </w:pPr>
      <w:r>
        <w:t xml:space="preserve">The pilot lots may pass while a latent defect goes undetected until units have been in the field for months. BGA joints are the likeliest place for this: a marginal reflow profile produces joints that pass X-ray and electrical test but crack under thermal cycling. Mitigation is to run ten boards from the first pilot lot through 200 thermal cycles in the lab before Phase 4 begins, which adds about two weeks of calendar time in parallel with the second pilot lot, and to keep lot traceability so any field return can be tied to a manufacturer and date.</w:t>
      </w:r>
    </w:p>
    <w:p>
      <w:pPr>
        <w:pStyle w:val="Heading2"/>
      </w:pPr>
      <w:r>
        <w:t xml:space="preserve">Undocumented Process Knowledge at Harlow</w:t>
      </w:r>
    </w:p>
    <w:p>
      <w:pPr>
        <w:spacing w:after="160"/>
      </w:pPr>
      <w:r>
        <w:t xml:space="preserve">The underfill step on the FieldSense 200 BGA is the one we know about. There may be others: operators at Harlow have built this board for four years and have almost certainly adjusted placement or reflow settings in ways no one wrote down. If Keystone's yield comes in several points below Harlow's with no obvious cause, this is the likeliest explanation. Mitigation is to ask Harlow directly for their current reflow profile and any traveler notes as part of the fixture and program handover, which the supply agreement entitles us to, and to have Keystone's process engineer spend a day at Harlow if Harlow will agree. They may not, since they are losing volume, and the plan should not depend on it.</w:t>
      </w:r>
    </w:p>
    <w:p>
      <w:pPr>
        <w:pStyle w:val="Heading2"/>
      </w:pPr>
      <w:r>
        <w:t xml:space="preserve">Relationship with Harlow</w:t>
      </w:r>
    </w:p>
    <w:p>
      <w:pPr>
        <w:spacing w:after="160"/>
      </w:pPr>
      <w:r>
        <w:t xml:space="preserve">Harlow will lose about half of our board volume. Even though nothing in the agreement prevents it, they may respond by deprioritizing our remaining work, which would make the lead-time problem worse on the XT-9 and X4 boards during the transition. I plan to tell Harlow before Phase 1 begins, frame the change as capacity rather than dissatisfaction, and point out that it relieves exactly the scheduling pressure their larger customer creates. If Harlow responds badly, Northgate is a credible fallback for the XT-9 and X4 boards and could be qualified in about ten weeks.</w:t>
      </w:r>
    </w:p>
    <w:p>
      <w:pPr>
        <w:pStyle w:val="Heading2"/>
      </w:pPr>
      <w:r>
        <w:t xml:space="preserve">Component Allocation and Consigned Inventory</w:t>
      </w:r>
    </w:p>
    <w:p>
      <w:pPr>
        <w:spacing w:after="160"/>
      </w:pPr>
      <w:r>
        <w:t xml:space="preserve">We consign the FieldSense 200 processor and two other long-lead parts. During Phases 3 and 4 that inventory is split between two sites, which increases the total we must hold. The processor has a 22-week lead time, and splitting the stock without increasing it risks one site running short while the other has surplus. I estimate an additional $24,000 of processor inventory during the transition, which is working capital rather than cost and unwinds after Phase 4, but Renata needs to plan for it.</w:t>
      </w:r>
    </w:p>
    <w:p>
      <w:pPr>
        <w:pStyle w:val="Heading2"/>
      </w:pPr>
      <w:r>
        <w:t xml:space="preserve">Yield Dip During Ramp</w:t>
      </w:r>
    </w:p>
    <w:p>
      <w:pPr>
        <w:spacing w:after="160"/>
      </w:pPr>
      <w:r>
        <w:t xml:space="preserve">Every transfer of a complex board to a new manufacturer has a learning curve, and it is reasonable to expect Keystone's first-pass yield on the FieldSense 200 main board to start below Harlow's 96.1%. Industry experience with boards of this complexity suggests a first article somewhere between 88% and 94%, improving over the first three or four lots as the reflow profile, placement, and paste inspection thresholds are tuned. The plan's gate at Phase 2 is 94%, which sits at the optimistic end of that range, and it is quite possible the first article misses it. If it does, the right response is a second first-article build of 25 boards after process adjustment, not an immediate move to pilot, and that costs about three weeks and roughly $4,000 in additional NRE. If the second first article also misses, the plan should pause and the causes be understood before anything ships from Keystone. Recovered boards are not a direct cost, since Keystone reworks failures at its own expense under the draft agreement, but rework adds days to every lot and the lead-time advantage that is part of the argument for Keystone would not appear until yield settles. A realistic expectation, allowing for one repeated first article, is that Phase 4 starts in the second week of September rather than the third week of August. It is worth planning around the later date rather than committing customers to lead times that depend on the earlier one. A second, smaller effect is that FieldSense 200 lots built at Keystone during the ramp will have lower first-pass yield than the same lots would have had at Harlow, so for about two months our effective board cost on that product is slightly higher than either the Harlow or the Keystone quoted price implies. At a 90% yield that effect is about $1.10 per board, or under $300 a month at current volume, which is small, but it should be expected and not mistaken for a pricing problem.</w:t>
      </w:r>
    </w:p>
    <w:p>
      <w:pPr>
        <w:pStyle w:val="Heading1"/>
      </w:pPr>
      <w:r>
        <w:t xml:space="preserve">Decisions Needed Before Phase 1</w:t>
      </w:r>
    </w:p>
    <w:p>
      <w:pPr>
        <w:pStyle w:val="Heading2"/>
      </w:pPr>
      <w:r>
        <w:t xml:space="preserve">Approvals and Owners</w:t>
      </w:r>
    </w:p>
    <w:p>
      <w:pPr>
        <w:pStyle w:val="ListParagraph"/>
        <w:numPr>
          <w:ilvl w:val="0"/>
          <w:numId w:val="2"/>
        </w:numPr>
      </w:pPr>
      <w:r>
        <w:t xml:space="preserve">Priya: approve Option A and the $33,500 external budget.</w:t>
      </w:r>
    </w:p>
    <w:p>
      <w:pPr>
        <w:pStyle w:val="ListParagraph"/>
        <w:numPr>
          <w:ilvl w:val="0"/>
          <w:numId w:val="2"/>
        </w:numPr>
      </w:pPr>
      <w:r>
        <w:t xml:space="preserve">Renata: plan for about $24,000 of additional consigned processor inventory from July to September.</w:t>
      </w:r>
    </w:p>
    <w:p>
      <w:pPr>
        <w:pStyle w:val="ListParagraph"/>
        <w:numPr>
          <w:ilvl w:val="0"/>
          <w:numId w:val="2"/>
        </w:numPr>
      </w:pPr>
      <w:r>
        <w:t xml:space="preserve">Callum: negotiate the Keystone master supply agreement, with no minimum volume commitment.</w:t>
      </w:r>
    </w:p>
    <w:p>
      <w:pPr>
        <w:pStyle w:val="ListParagraph"/>
        <w:numPr>
          <w:ilvl w:val="0"/>
          <w:numId w:val="2"/>
        </w:numPr>
      </w:pPr>
      <w:r>
        <w:t xml:space="preserve">Marcus: agree to about 90 hours of Phase 1 engineering time for the data package and first-article review.</w:t>
      </w:r>
    </w:p>
    <w:p>
      <w:pPr>
        <w:pStyle w:val="ListParagraph"/>
        <w:numPr>
          <w:ilvl w:val="0"/>
          <w:numId w:val="2"/>
        </w:numPr>
      </w:pPr>
      <w:r>
        <w:t xml:space="preserve">Sofia: prepare the FieldSense 200 production programming image and procedure for a second site.</w:t>
      </w:r>
    </w:p>
    <w:p>
      <w:pPr>
        <w:spacing w:after="80"/>
      </w:pPr>
    </w:p>
    <w:p>
      <w:pPr>
        <w:spacing w:after="160"/>
      </w:pPr>
      <w:r>
        <w:t xml:space="preserve">If these are settled by the end of April, Phase 1 can begin in the first week of May. Each week of delay moves Phase 4 back by a week, and pushes the FieldSense 200 transfer into the fourth quarter, which is historically our heaviest shipping period and the worst time to be changing manufacturers.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Manufacturer Transition Plan</dc:title>
  <dc:creator>Devon</dc:creator>
  <cp:lastModifiedBy>Devon</cp:lastModifiedBy>
  <cp:revision>1</cp:revision>
  <dcterms:created xsi:type="dcterms:W3CDTF">2026-04-15T09:00:00Z</dcterms:created>
  <dcterms:modified xsi:type="dcterms:W3CDTF">2026-04-15T09:00:00Z</dcterms:modified>
</cp:coreProperties>
</file>

<file path=docProps/custom.xml><?xml version="1.0" encoding="utf-8"?>
<Properties xmlns="http://schemas.openxmlformats.org/officeDocument/2006/custom-properties" xmlns:vt="http://schemas.openxmlformats.org/officeDocument/2006/docPropsVTypes"/>
</file>