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XT-9 Rev B Thermal Qualification Report</w:t>
      </w:r>
    </w:p>
    <w:p>
      <w:pPr>
        <w:pStyle w:val="Heading1"/>
      </w:pPr>
      <w:r>
        <w:t xml:space="preserve">Scope of This Qualification</w:t>
      </w:r>
    </w:p>
    <w:p>
      <w:pPr>
        <w:pStyle w:val="Heading2"/>
      </w:pPr>
      <w:r>
        <w:t xml:space="preserve">Units and Firmware Under Test</w:t>
      </w:r>
    </w:p>
    <w:p>
      <w:pPr>
        <w:spacing w:after="160"/>
      </w:pPr>
      <w:r>
        <w:t xml:space="preserve">This report covers thermal qualification of the XT-9 Rev B analog output stage running firmware 3.5.0-rc2, which adds a temperature compensation table to the analog output path. The purpose was to measure how much of the known Rev B thermal drift the compensation removes, across the full rated operating range of −40 °C to +70 °C, and to decide whether the firmware is fit to release to Rev B units in the field.</w:t>
      </w:r>
    </w:p>
    <w:p>
      <w:pPr>
        <w:spacing w:after="160"/>
      </w:pPr>
      <w:r>
        <w:t xml:space="preserve">Twelve Rev B units were tested. Eight came from the finished goods stock that was placed on hold, and four were Rev B units returned from the field under warranty with no fault found. All twelve carry the Talcott VR-220 voltage reference. Two Rev C units, which carry the VR-240, were run alongside them in every chamber as a control. Each unit was configured for the 0–10 V output range, which is the configuration most Rev B customers run and the one where drift in millivolts is easiest to compare against the accuracy specification.</w:t>
      </w:r>
    </w:p>
    <w:p>
      <w:pPr>
        <w:pStyle w:val="Heading2"/>
      </w:pPr>
      <w:r>
        <w:t xml:space="preserve">What This Qualification Does Not Cover</w:t>
      </w:r>
    </w:p>
    <w:p>
      <w:pPr>
        <w:spacing w:after="160"/>
      </w:pPr>
      <w:r>
        <w:t xml:space="preserve">The 4–20 mA output mode was not characterized. It shares the same reference, so the drift mechanism is the same, but the current loop adds its own temperature coefficient through the sense resistor and the compensation table has not been fitted to it. Units configured for 4–20 mA should be treated as uncompensated until a separate run is done. Humidity was held at 30% RH throughout and its interaction with drift was not studied. Long-term aging of the VR-220, which shifts its tempco curve over years of service, is also out of scope; every unit tested had fewer than 14 months of powered hours.</w:t>
      </w:r>
    </w:p>
    <w:p>
      <w:pPr>
        <w:pStyle w:val="Heading1"/>
      </w:pPr>
      <w:r>
        <w:t xml:space="preserve">Background: Rev B Analog Output Drift</w:t>
      </w:r>
    </w:p>
    <w:p>
      <w:pPr>
        <w:pStyle w:val="Heading2"/>
      </w:pPr>
      <w:r>
        <w:t xml:space="preserve">Root Cause in the VR-220 Reference</w:t>
      </w:r>
    </w:p>
    <w:p>
      <w:pPr>
        <w:spacing w:after="160"/>
      </w:pPr>
      <w:r>
        <w:t xml:space="preserve">The XT-9 analog output is generated by a 16-bit DAC referenced to a 2.5 V precision reference. Rev B used the Talcott VR-220, whose datasheet tempco is 15 ppm/°C typical but whose curve is strongly nonlinear above about 55 °C: our own characterization of three loose VR-220 parts measured an effective slope of roughly 110 ppm/°C between 55 °C and 70 °C. Because every output count is scaled by the reference, reference drift appears directly as gain error on the output. At a full-scale 10 V output, a 1.8% gain error is 180 mV.</w:t>
      </w:r>
    </w:p>
    <w:p>
      <w:pPr>
        <w:spacing w:after="160"/>
      </w:pPr>
      <w:r>
        <w:t xml:space="preserve">Rev C replaced the VR-220 with the VR-240, which holds under 8 ppm/°C across the full range. The Rev C controls in this qualification stayed within ±0.08% of reading at every soak point, which confirms that the drift is confined to the Rev B reference and is not a board-level or DAC effect.</w:t>
      </w:r>
    </w:p>
    <w:p>
      <w:pPr>
        <w:pStyle w:val="Heading2"/>
      </w:pPr>
      <w:r>
        <w:t xml:space="preserve">Rev B Field Population</w:t>
      </w:r>
    </w:p>
    <w:p>
      <w:pPr>
        <w:spacing w:after="160"/>
      </w:pPr>
      <w:r>
        <w:t xml:space="preserve">Approximately 340 Rev B units have shipped. Installation temperatures are known for only a small fraction of them. Devon placed the Rev B units remaining in finished goods on hold; the physical count was 22 units, eight of which were drawn for this test. None of the held units will ship on new orders regardless of the outcome here.</w:t>
      </w:r>
    </w:p>
    <w:p>
      <w:pPr>
        <w:spacing w:after="160"/>
      </w:pPr>
      <w:r>
        <w:t xml:space="preserve">The exposure is concentrated in a subset of that population that cannot yet be identified. Rev B shipped from May 2024 until Rev C tooling was qualified early this year, and most of those units went into process monitoring on pumps, compressors, and heat exchangers. Installations near process heat are the ones at risk, and the order records rarely say where on a line a sensor was mounted. The results below are therefore stated by ambient temperature rather than by customer, so that they can be applied to any installation once its temperature is known.</w:t>
      </w:r>
    </w:p>
    <w:p>
      <w:pPr>
        <w:pStyle w:val="Heading1"/>
      </w:pPr>
      <w:r>
        <w:t xml:space="preserve">Firmware Thermal Compensation Under Test</w:t>
      </w:r>
    </w:p>
    <w:p>
      <w:pPr>
        <w:pStyle w:val="Heading2"/>
      </w:pPr>
      <w:r>
        <w:t xml:space="preserve">Compensation Table Design</w:t>
      </w:r>
    </w:p>
    <w:p>
      <w:pPr>
        <w:spacing w:after="160"/>
      </w:pPr>
      <w:r>
        <w:t xml:space="preserve">The XT-9 has an onboard thermal sensor mounted 11 mm from the reference, on the same copper pour. Firmware 3.5.0-rc2 reads that sensor every 250 ms, looks up a gain correction in a 23-point table spanning −40 °C to +70 °C at 5 °C intervals, and interpolates linearly between points. The correction is applied to the DAC code before it is written, so it corrects the output rather than the reported process value.</w:t>
      </w:r>
    </w:p>
    <w:p>
      <w:pPr>
        <w:spacing w:after="160"/>
      </w:pPr>
      <w:r>
        <w:t xml:space="preserve">The table was fitted to the mean VR-220 curve measured on six characterization units, none of which are among the twelve in this qualification. A single table is shared by every Rev B unit. Per-unit calibration of the table would reduce residual error further but would require each unit to pass through a thermal chamber, which is not practical for units already installed. The fitted table is deliberately conservative above 65 °C: it corrects about 85% of the mean drift there rather than all of it, because the spread between units is widest at the top of the range and full correction would overcorrect the flattest units.</w:t>
      </w:r>
    </w:p>
    <w:p>
      <w:pPr>
        <w:pStyle w:val="Heading2"/>
      </w:pPr>
      <w:r>
        <w:t xml:space="preserve">Firmware Build and Configuration</w:t>
      </w:r>
    </w:p>
    <w:p>
      <w:pPr>
        <w:spacing w:after="160"/>
      </w:pPr>
      <w:r>
        <w:t xml:space="preserve">All units were flashed with 3.5.0-rc2 through the service port and verified by checksum before testing. The only functional difference from the shipping 3.4.2 build is the compensation path and a new diagnostic register that reports the correction currently applied, in hundredths of a percent. The compensation can be disabled through a configuration flag, which is how the uncompensated baseline in each chamber was measured on the same units without reflashing. Flash usage grows by 1.4 KB and the added lookup and interpolation take 38 µs per output update, well inside the 250 ms loop. Neither affects the existing output update rate, and the build passed the full regression suite on the bench before any chamber work began.</w:t>
      </w:r>
    </w:p>
    <w:p>
      <w:pPr>
        <w:pStyle w:val="Heading1"/>
      </w:pPr>
      <w:r>
        <w:t xml:space="preserve">Test Method</w:t>
      </w:r>
    </w:p>
    <w:p>
      <w:pPr>
        <w:pStyle w:val="Heading2"/>
      </w:pPr>
      <w:r>
        <w:t xml:space="preserve">Chamber Setup and Instrumentation</w:t>
      </w:r>
    </w:p>
    <w:p>
      <w:pPr>
        <w:spacing w:after="160"/>
      </w:pPr>
      <w:r>
        <w:t xml:space="preserve">Three chambers were used. Chamber A is the 64-litre benchtop chamber in the engineering lab and ran the low and mid range. Chamber B is the larger 150-litre chamber and ran every high-ambient soak, where most of the drift occurs. Chamber C is the two-zone thermal shock chamber at the production test area, which Devon ran for the cycling profile.</w:t>
      </w:r>
    </w:p>
    <w:p>
      <w:pPr>
        <w:spacing w:after="160"/>
      </w:pPr>
      <w:r>
        <w:t xml:space="preserve">Each unit's output was measured by a 6½-digit DMM through a scanner card, sampling once every 10 seconds, against a commanded output of 2 V, 5 V, and 10 V held in turn for 20 minutes each. A reference thermocouple was bonded to the enclosure of every third unit. The DMM was verified against the lab's transfer standard on the first and last day of testing and drifted less than 20 µV over the run, which is negligible at the scale of these results.</w:t>
      </w:r>
    </w:p>
    <w:p>
      <w:pPr>
        <w:pStyle w:val="Heading2"/>
      </w:pPr>
      <w:r>
        <w:t xml:space="preserve">Soak Profile and Acceptance Criteria</w:t>
      </w:r>
    </w:p>
    <w:p>
      <w:pPr>
        <w:spacing w:after="160"/>
      </w:pPr>
      <w:r>
        <w:t xml:space="preserve">At each soak point units were held for 90 minutes before measurement to let the reference reach equilibrium, then measured compensated and uncompensated. Error is reported as a percentage of reading at the 10 V command, which is where gain error is largest. The acceptance criterion is the XT-9 published accuracy specification of ±0.3% of reading, applied to the worst unit rather than the mean. A soak point passes only if every Rev B unit is inside ±0.3% at all three commanded outputs. Soak points ran from coldest to hottest in a single ramp per chamber, so that no unit was exposed to a high soak and then measured cold, which would have mixed any hysteresis in the reference into the low-temperature results. Each chamber's air temperature was logged alongside the outputs, and a soak was repeated if chamber air moved more than 1 °C during the 90-minute hold. This happened once, at 65 °C in Chamber B, when the door seal was disturbed; the repeated soak is the one reported.</w:t>
      </w:r>
    </w:p>
    <w:p>
      <w:pPr>
        <w:pStyle w:val="Heading1"/>
      </w:pPr>
      <w:r>
        <w:t xml:space="preserve">Thermal Chamber Results</w:t>
      </w:r>
    </w:p>
    <w:p>
      <w:pPr>
        <w:pStyle w:val="Heading2"/>
      </w:pPr>
      <w:r>
        <w:t xml:space="preserve">Chamber A, Low and Mid Range</w:t>
      </w:r>
    </w:p>
    <w:p>
      <w:pPr>
        <w:pStyle w:val="Heading3"/>
      </w:pPr>
      <w:r>
        <w:t xml:space="preserve">Chamber A, −40 °C to 25 °C</w:t>
      </w:r>
    </w:p>
    <w:p>
      <w:pPr>
        <w:spacing w:after="160"/>
      </w:pPr>
      <w:r>
        <w:t xml:space="preserve">Across −40 °C, −20 °C, 0 °C, and 25 °C, the uncompensated Rev B units were already within specification. The worst uncompensated error in this range was −0.19% at −40 °C, on unit B-07. With compensation enabled the worst error fell to 0.06%. The compensation is doing very little work in this range, and nothing in these results argues against leaving it enabled here. The residual error at −40 °C is a small negative offset common to all twelve units and to both Rev C controls, which points to the DAC or the output amplifier rather than the reference. It is well inside specification and is not a Rev B issue.</w:t>
      </w:r>
    </w:p>
    <w:p>
      <w:pPr>
        <w:pStyle w:val="Heading3"/>
      </w:pPr>
      <w:r>
        <w:t xml:space="preserve">Chamber A, 40 °C and 50 °C Soak</w:t>
      </w:r>
    </w:p>
    <w:p>
      <w:pPr>
        <w:spacing w:after="160"/>
      </w:pPr>
      <w:r>
        <w:t xml:space="preserve">At 40 °C, uncompensated error averaged 0.11% with a worst case of 0.17%. At 50 °C, the mean rose to 0.34% and three of the twelve units exceeded the ±0.3% specification uncompensated, the worst at 0.41% (41 mV at full scale). With compensation, the 50 °C mean was 0.09% and the worst unit read 0.14%. This is the first soak point at which the compensation makes the difference between a unit that fails specification and one that passes.</w:t>
      </w:r>
    </w:p>
    <w:p>
      <w:pPr>
        <w:pStyle w:val="Heading2"/>
      </w:pPr>
      <w:r>
        <w:t xml:space="preserve">Chamber B, High Ambient</w:t>
      </w:r>
    </w:p>
    <w:p>
      <w:pPr>
        <w:pStyle w:val="Heading3"/>
      </w:pPr>
      <w:r>
        <w:t xml:space="preserve">Chamber B, 55 °C Soak</w:t>
      </w:r>
    </w:p>
    <w:p>
      <w:pPr>
        <w:spacing w:after="160"/>
      </w:pPr>
      <w:r>
        <w:t xml:space="preserve">At 55 °C every Rev B unit exceeded specification uncompensated: mean error 0.78%, worst 0.96%. Compensated, the mean was 0.19% and the worst unit read 0.29%, inside the ±0.3% limit by one hundredth of a percent. 55 °C is therefore the highest soak point at which every tested unit met specification with compensation enabled. The margin is thin. B-03, the worst unit here and at every higher soak point, read 0.29%, and two others read 0.27% and 0.26%. A unit slightly worse than B-03, which the field population of about 340 almost certainly contains, would fail at 55 °C. The Rev C controls read 0.04% and 0.06% uncompensated at this soak point.</w:t>
      </w:r>
    </w:p>
    <w:p>
      <w:pPr>
        <w:pStyle w:val="Heading3"/>
      </w:pPr>
      <w:r>
        <w:t xml:space="preserve">Chamber B, 60 °C Soak</w:t>
      </w:r>
    </w:p>
    <w:p>
      <w:pPr>
        <w:spacing w:after="160"/>
      </w:pPr>
      <w:r>
        <w:t xml:space="preserve">At 60 °C the uncompensated mean error was 1.62% and the worst unit, B-03, read 1.84%, or 184 mV at a 10 V command. With compensation the mean fell to 0.38% and the worst unit read 0.47%. Nine of the twelve units exceeded ±0.3% compensated. The compensation removed about 76% of the drift on average, which is in line with what was expected before the test, but it did not bring the population back into specification.</w:t>
      </w:r>
    </w:p>
    <w:p>
      <w:pPr>
        <w:spacing w:after="160"/>
      </w:pPr>
      <w:r>
        <w:t xml:space="preserve">The spread between units matters more here than the mean. The best compensated unit read 0.24% and the worst 0.47%, a spread nearly as large as the specification itself. The table is fitted to a mean curve, so a unit whose VR-220 sits on the steep side of the population will stay out of specification however the table is tuned.</w:t>
      </w:r>
    </w:p>
    <w:p>
      <w:pPr>
        <w:pStyle w:val="Heading3"/>
      </w:pPr>
      <w:r>
        <w:t xml:space="preserve">Chamber B, 65 °C and 70 °C Soak</w:t>
      </w:r>
    </w:p>
    <w:p>
      <w:pPr>
        <w:spacing w:after="160"/>
      </w:pPr>
      <w:r>
        <w:t xml:space="preserve">At 65 °C the compensated mean was 0.61% (worst 0.79%) against an uncompensated mean of 2.47%. At 70 °C, the top of the rated range, compensated error was 0.93% mean and 1.21% worst, against 3.38% and 3.90% uncompensated. The conservative fit above 65 °C shows here as residual positive error on every unit. No unit read negative error at 70 °C, which confirms that no unit was overcorrected, and that the choice to under-correct at the top of the range did what it was meant to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1591"/>
        <w:gridCol w:w="1591"/>
        <w:gridCol w:w="1591"/>
        <w:gridCol w:w="1591"/>
        <w:gridCol w:w="1686"/>
      </w:tblGrid>
      <w:tr>
        <w:trPr>
          <w:tblHeader/>
        </w:trPr>
        <w:tc>
          <w:tcPr>
            <w:tcW w:type="dxa" w:w="1310"/>
            <w:tcBorders>
              <w:top w:val="single" w:color="A0A0A0" w:sz="4"/>
              <w:left w:val="single" w:color="A0A0A0" w:sz="4"/>
              <w:bottom w:val="single" w:color="A0A0A0" w:sz="4"/>
              <w:right w:val="single" w:color="A0A0A0" w:sz="4"/>
            </w:tcBorders>
            <w:shd w:fill="E7ECF2" w:color="auto" w:val="clear"/>
            <w:tcMar>
              <w:top w:type="dxa" w:w="60"/>
              <w:left w:type="dxa" w:w="100"/>
              <w:bottom w:type="dxa" w:w="60"/>
              <w:right w:type="dxa" w:w="100"/>
            </w:tcMar>
          </w:tcPr>
          <w:p>
            <w:r>
              <w:rPr>
                <w:b/>
                <w:bCs/>
                <w:sz w:val="20"/>
                <w:szCs w:val="20"/>
              </w:rPr>
              <w:t xml:space="preserve">Soak point</w:t>
            </w:r>
          </w:p>
        </w:tc>
        <w:tc>
          <w:tcPr>
            <w:tcW w:type="dxa" w:w="1591"/>
            <w:tcBorders>
              <w:top w:val="single" w:color="A0A0A0" w:sz="4"/>
              <w:left w:val="single" w:color="A0A0A0" w:sz="4"/>
              <w:bottom w:val="single" w:color="A0A0A0" w:sz="4"/>
              <w:right w:val="single" w:color="A0A0A0" w:sz="4"/>
            </w:tcBorders>
            <w:shd w:fill="E7ECF2" w:color="auto" w:val="clear"/>
            <w:tcMar>
              <w:top w:type="dxa" w:w="60"/>
              <w:left w:type="dxa" w:w="100"/>
              <w:bottom w:type="dxa" w:w="60"/>
              <w:right w:type="dxa" w:w="100"/>
            </w:tcMar>
          </w:tcPr>
          <w:p>
            <w:r>
              <w:rPr>
                <w:b/>
                <w:bCs/>
                <w:sz w:val="20"/>
                <w:szCs w:val="20"/>
              </w:rPr>
              <w:t xml:space="preserve">Uncompensated mean</w:t>
            </w:r>
          </w:p>
        </w:tc>
        <w:tc>
          <w:tcPr>
            <w:tcW w:type="dxa" w:w="1591"/>
            <w:tcBorders>
              <w:top w:val="single" w:color="A0A0A0" w:sz="4"/>
              <w:left w:val="single" w:color="A0A0A0" w:sz="4"/>
              <w:bottom w:val="single" w:color="A0A0A0" w:sz="4"/>
              <w:right w:val="single" w:color="A0A0A0" w:sz="4"/>
            </w:tcBorders>
            <w:shd w:fill="E7ECF2" w:color="auto" w:val="clear"/>
            <w:tcMar>
              <w:top w:type="dxa" w:w="60"/>
              <w:left w:type="dxa" w:w="100"/>
              <w:bottom w:type="dxa" w:w="60"/>
              <w:right w:type="dxa" w:w="100"/>
            </w:tcMar>
          </w:tcPr>
          <w:p>
            <w:r>
              <w:rPr>
                <w:b/>
                <w:bCs/>
                <w:sz w:val="20"/>
                <w:szCs w:val="20"/>
              </w:rPr>
              <w:t xml:space="preserve">Uncompensated worst</w:t>
            </w:r>
          </w:p>
        </w:tc>
        <w:tc>
          <w:tcPr>
            <w:tcW w:type="dxa" w:w="1591"/>
            <w:tcBorders>
              <w:top w:val="single" w:color="A0A0A0" w:sz="4"/>
              <w:left w:val="single" w:color="A0A0A0" w:sz="4"/>
              <w:bottom w:val="single" w:color="A0A0A0" w:sz="4"/>
              <w:right w:val="single" w:color="A0A0A0" w:sz="4"/>
            </w:tcBorders>
            <w:shd w:fill="E7ECF2" w:color="auto" w:val="clear"/>
            <w:tcMar>
              <w:top w:type="dxa" w:w="60"/>
              <w:left w:type="dxa" w:w="100"/>
              <w:bottom w:type="dxa" w:w="60"/>
              <w:right w:type="dxa" w:w="100"/>
            </w:tcMar>
          </w:tcPr>
          <w:p>
            <w:r>
              <w:rPr>
                <w:b/>
                <w:bCs/>
                <w:sz w:val="20"/>
                <w:szCs w:val="20"/>
              </w:rPr>
              <w:t xml:space="preserve">Compensated mean</w:t>
            </w:r>
          </w:p>
        </w:tc>
        <w:tc>
          <w:tcPr>
            <w:tcW w:type="dxa" w:w="1591"/>
            <w:tcBorders>
              <w:top w:val="single" w:color="A0A0A0" w:sz="4"/>
              <w:left w:val="single" w:color="A0A0A0" w:sz="4"/>
              <w:bottom w:val="single" w:color="A0A0A0" w:sz="4"/>
              <w:right w:val="single" w:color="A0A0A0" w:sz="4"/>
            </w:tcBorders>
            <w:shd w:fill="E7ECF2" w:color="auto" w:val="clear"/>
            <w:tcMar>
              <w:top w:type="dxa" w:w="60"/>
              <w:left w:type="dxa" w:w="100"/>
              <w:bottom w:type="dxa" w:w="60"/>
              <w:right w:type="dxa" w:w="100"/>
            </w:tcMar>
          </w:tcPr>
          <w:p>
            <w:r>
              <w:rPr>
                <w:b/>
                <w:bCs/>
                <w:sz w:val="20"/>
                <w:szCs w:val="20"/>
              </w:rPr>
              <w:t xml:space="preserve">Compensated worst</w:t>
            </w:r>
          </w:p>
        </w:tc>
        <w:tc>
          <w:tcPr>
            <w:tcW w:type="dxa" w:w="1686"/>
            <w:tcBorders>
              <w:top w:val="single" w:color="A0A0A0" w:sz="4"/>
              <w:left w:val="single" w:color="A0A0A0" w:sz="4"/>
              <w:bottom w:val="single" w:color="A0A0A0" w:sz="4"/>
              <w:right w:val="single" w:color="A0A0A0" w:sz="4"/>
            </w:tcBorders>
            <w:shd w:fill="E7ECF2" w:color="auto" w:val="clear"/>
            <w:tcMar>
              <w:top w:type="dxa" w:w="60"/>
              <w:left w:type="dxa" w:w="100"/>
              <w:bottom w:type="dxa" w:w="60"/>
              <w:right w:type="dxa" w:w="100"/>
            </w:tcMar>
          </w:tcPr>
          <w:p>
            <w:r>
              <w:rPr>
                <w:b/>
                <w:bCs/>
                <w:sz w:val="20"/>
                <w:szCs w:val="20"/>
              </w:rPr>
              <w:t xml:space="preserve">Units in spec (comp.)</w:t>
            </w:r>
          </w:p>
        </w:tc>
      </w:tr>
      <w:tr>
        <w:tc>
          <w:tcPr>
            <w:tcW w:type="dxa" w:w="131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25 °C</w:t>
            </w:r>
          </w:p>
        </w:tc>
        <w:tc>
          <w:tcPr>
            <w:tcW w:type="dxa" w:w="1591"/>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0.03%</w:t>
            </w:r>
          </w:p>
        </w:tc>
        <w:tc>
          <w:tcPr>
            <w:tcW w:type="dxa" w:w="1591"/>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0.07%</w:t>
            </w:r>
          </w:p>
        </w:tc>
        <w:tc>
          <w:tcPr>
            <w:tcW w:type="dxa" w:w="1591"/>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0.02%</w:t>
            </w:r>
          </w:p>
        </w:tc>
        <w:tc>
          <w:tcPr>
            <w:tcW w:type="dxa" w:w="1591"/>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0.05%</w:t>
            </w:r>
          </w:p>
        </w:tc>
        <w:tc>
          <w:tcPr>
            <w:tcW w:type="dxa" w:w="168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12 of 12</w:t>
            </w:r>
          </w:p>
        </w:tc>
      </w:tr>
      <w:tr>
        <w:tc>
          <w:tcPr>
            <w:tcW w:type="dxa" w:w="131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40 °C</w:t>
            </w:r>
          </w:p>
        </w:tc>
        <w:tc>
          <w:tcPr>
            <w:tcW w:type="dxa" w:w="1591"/>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0.11%</w:t>
            </w:r>
          </w:p>
        </w:tc>
        <w:tc>
          <w:tcPr>
            <w:tcW w:type="dxa" w:w="1591"/>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0.17%</w:t>
            </w:r>
          </w:p>
        </w:tc>
        <w:tc>
          <w:tcPr>
            <w:tcW w:type="dxa" w:w="1591"/>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0.04%</w:t>
            </w:r>
          </w:p>
        </w:tc>
        <w:tc>
          <w:tcPr>
            <w:tcW w:type="dxa" w:w="1591"/>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0.08%</w:t>
            </w:r>
          </w:p>
        </w:tc>
        <w:tc>
          <w:tcPr>
            <w:tcW w:type="dxa" w:w="168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12 of 12</w:t>
            </w:r>
          </w:p>
        </w:tc>
      </w:tr>
      <w:tr>
        <w:tc>
          <w:tcPr>
            <w:tcW w:type="dxa" w:w="131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50 °C</w:t>
            </w:r>
          </w:p>
        </w:tc>
        <w:tc>
          <w:tcPr>
            <w:tcW w:type="dxa" w:w="1591"/>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0.34%</w:t>
            </w:r>
          </w:p>
        </w:tc>
        <w:tc>
          <w:tcPr>
            <w:tcW w:type="dxa" w:w="1591"/>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0.41%</w:t>
            </w:r>
          </w:p>
        </w:tc>
        <w:tc>
          <w:tcPr>
            <w:tcW w:type="dxa" w:w="1591"/>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0.09%</w:t>
            </w:r>
          </w:p>
        </w:tc>
        <w:tc>
          <w:tcPr>
            <w:tcW w:type="dxa" w:w="1591"/>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0.14%</w:t>
            </w:r>
          </w:p>
        </w:tc>
        <w:tc>
          <w:tcPr>
            <w:tcW w:type="dxa" w:w="168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12 of 12</w:t>
            </w:r>
          </w:p>
        </w:tc>
      </w:tr>
      <w:tr>
        <w:tc>
          <w:tcPr>
            <w:tcW w:type="dxa" w:w="131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55 °C</w:t>
            </w:r>
          </w:p>
        </w:tc>
        <w:tc>
          <w:tcPr>
            <w:tcW w:type="dxa" w:w="1591"/>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0.78%</w:t>
            </w:r>
          </w:p>
        </w:tc>
        <w:tc>
          <w:tcPr>
            <w:tcW w:type="dxa" w:w="1591"/>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0.96%</w:t>
            </w:r>
          </w:p>
        </w:tc>
        <w:tc>
          <w:tcPr>
            <w:tcW w:type="dxa" w:w="1591"/>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0.19%</w:t>
            </w:r>
          </w:p>
        </w:tc>
        <w:tc>
          <w:tcPr>
            <w:tcW w:type="dxa" w:w="1591"/>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0.29%</w:t>
            </w:r>
          </w:p>
        </w:tc>
        <w:tc>
          <w:tcPr>
            <w:tcW w:type="dxa" w:w="168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12 of 12</w:t>
            </w:r>
          </w:p>
        </w:tc>
      </w:tr>
      <w:tr>
        <w:tc>
          <w:tcPr>
            <w:tcW w:type="dxa" w:w="131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60 °C</w:t>
            </w:r>
          </w:p>
        </w:tc>
        <w:tc>
          <w:tcPr>
            <w:tcW w:type="dxa" w:w="1591"/>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1.62%</w:t>
            </w:r>
          </w:p>
        </w:tc>
        <w:tc>
          <w:tcPr>
            <w:tcW w:type="dxa" w:w="1591"/>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1.84%</w:t>
            </w:r>
          </w:p>
        </w:tc>
        <w:tc>
          <w:tcPr>
            <w:tcW w:type="dxa" w:w="1591"/>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0.38%</w:t>
            </w:r>
          </w:p>
        </w:tc>
        <w:tc>
          <w:tcPr>
            <w:tcW w:type="dxa" w:w="1591"/>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0.47%</w:t>
            </w:r>
          </w:p>
        </w:tc>
        <w:tc>
          <w:tcPr>
            <w:tcW w:type="dxa" w:w="168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3 of 12</w:t>
            </w:r>
          </w:p>
        </w:tc>
      </w:tr>
      <w:tr>
        <w:tc>
          <w:tcPr>
            <w:tcW w:type="dxa" w:w="131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65 °C</w:t>
            </w:r>
          </w:p>
        </w:tc>
        <w:tc>
          <w:tcPr>
            <w:tcW w:type="dxa" w:w="1591"/>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2.47%</w:t>
            </w:r>
          </w:p>
        </w:tc>
        <w:tc>
          <w:tcPr>
            <w:tcW w:type="dxa" w:w="1591"/>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2.88%</w:t>
            </w:r>
          </w:p>
        </w:tc>
        <w:tc>
          <w:tcPr>
            <w:tcW w:type="dxa" w:w="1591"/>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0.61%</w:t>
            </w:r>
          </w:p>
        </w:tc>
        <w:tc>
          <w:tcPr>
            <w:tcW w:type="dxa" w:w="1591"/>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0.79%</w:t>
            </w:r>
          </w:p>
        </w:tc>
        <w:tc>
          <w:tcPr>
            <w:tcW w:type="dxa" w:w="168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 of 12</w:t>
            </w:r>
          </w:p>
        </w:tc>
      </w:tr>
      <w:tr>
        <w:tc>
          <w:tcPr>
            <w:tcW w:type="dxa" w:w="131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70 °C</w:t>
            </w:r>
          </w:p>
        </w:tc>
        <w:tc>
          <w:tcPr>
            <w:tcW w:type="dxa" w:w="1591"/>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3.38%</w:t>
            </w:r>
          </w:p>
        </w:tc>
        <w:tc>
          <w:tcPr>
            <w:tcW w:type="dxa" w:w="1591"/>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3.90%</w:t>
            </w:r>
          </w:p>
        </w:tc>
        <w:tc>
          <w:tcPr>
            <w:tcW w:type="dxa" w:w="1591"/>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0.93%</w:t>
            </w:r>
          </w:p>
        </w:tc>
        <w:tc>
          <w:tcPr>
            <w:tcW w:type="dxa" w:w="1591"/>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1.21%</w:t>
            </w:r>
          </w:p>
        </w:tc>
        <w:tc>
          <w:tcPr>
            <w:tcW w:type="dxa" w:w="168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 of 12</w:t>
            </w:r>
          </w:p>
        </w:tc>
      </w:tr>
    </w:tbl>
    <w:p>
      <w:pPr>
        <w:spacing w:after="160"/>
      </w:pPr>
    </w:p>
    <w:p>
      <w:pPr>
        <w:pStyle w:val="Heading2"/>
      </w:pPr>
      <w:r>
        <w:t xml:space="preserve">Chamber C, Thermal Cycling</w:t>
      </w:r>
    </w:p>
    <w:p>
      <w:pPr>
        <w:spacing w:after="160"/>
      </w:pPr>
      <w:r>
        <w:t xml:space="preserve">Chamber C ran 40 cycles between 20 °C and 60 °C with 15-minute dwells and a transition of about 8 °C per minute, which is faster than any process environment the XT-9 is installed in but representative of a unit near a steam line or an intermittently operated furnace door. The compensated output tracked the steady-state results within 0.05% at the end of each dwell. During the rising transitions, however, the output overshot by as much as 0.22% for 60 to 90 seconds before settling, because the onboard sensor leads the reference die temperature by up to 4 °C when the enclosure heats quickly. The error returned to the steady-state value on every cycle and no cumulative shift was measured after 40 cycles.</w:t>
      </w:r>
    </w:p>
    <w:p>
      <w:pPr>
        <w:pStyle w:val="Heading1"/>
      </w:pPr>
      <w:r>
        <w:t xml:space="preserve">Findings</w:t>
      </w:r>
    </w:p>
    <w:p>
      <w:pPr>
        <w:pStyle w:val="Heading2"/>
      </w:pPr>
      <w:r>
        <w:t xml:space="preserve">Residual Error Against the ±0.3% Specification</w:t>
      </w:r>
    </w:p>
    <w:p>
      <w:pPr>
        <w:spacing w:after="160"/>
      </w:pPr>
      <w:r>
        <w:t xml:space="preserve">With firmware 3.5.0-rc2, all twelve Rev B units met the ±0.3% accuracy specification from −40 °C to 55 °C. At 60 °C the worst unit read 0.47% and the population mean 0.38%, and above 60 °C no unit met specification. Interpolating the worst-unit curve puts the last temperature at which every unit stays in specification at about 56 °C. The compensation reduces drift at 60 °C by a factor of about four, from 1.84% to 0.47% on the worst unit, but it does not remove it. Rev B units running above roughly 56 °C ambient will remain outside the published specification with this firmware installed.</w:t>
      </w:r>
    </w:p>
    <w:p>
      <w:pPr>
        <w:pStyle w:val="Heading2"/>
      </w:pPr>
      <w:r>
        <w:t xml:space="preserve">Unit-to-Unit Variation</w:t>
      </w:r>
    </w:p>
    <w:p>
      <w:pPr>
        <w:spacing w:after="160"/>
      </w:pPr>
      <w:r>
        <w:t xml:space="preserve">The four field-return units were not measurably worse than the eight from finished goods; the worst unit overall, B-03, came from finished goods. There is no evidence in this sample that field service has aged the reference, though fourteen months is too short to rule it out. The variation that matters is between individual VR-220 parts, and it is large enough that a single shared table cannot bring the whole population into specification above 56 °C. Ranking the units by compensated error gives the same order at 55 °C, 60 °C, 65 °C, and 70 °C, which means a unit's position within the population is stable and could in principle be measured once. A two-point field calibration, at ambient and at an elevated temperature, would be enough to fit a per-unit correction, but it would require a heat source at each installation and has not been pursued.</w:t>
      </w:r>
    </w:p>
    <w:p>
      <w:pPr>
        <w:pStyle w:val="Heading2"/>
      </w:pPr>
      <w:r>
        <w:t xml:space="preserve">Transient Overshoot</w:t>
      </w:r>
    </w:p>
    <w:p>
      <w:pPr>
        <w:spacing w:after="160"/>
      </w:pPr>
      <w:r>
        <w:t xml:space="preserve">The 0.22% overshoot during fast heating is a consequence of where the thermal sensor sits relative to the reference, not of the table, and cannot be removed in firmware without filtering the sensor reading hard enough to slow the correction for every other case. It is within specification at the temperatures where it was measured and is recorded here so that it is not mistaken for a fault if a customer reports a brief excursion during a startup. The overshoot scaled with the rate of heating: at 2 °C per minute, which the chamber ran as a check on the last five cycles, it fell to 0.07%. Most installed units will see heating rates of that order or slower, so the 0.22% figure should be read as a worst case.</w:t>
      </w:r>
    </w:p>
    <w:p>
      <w:pPr>
        <w:pStyle w:val="Heading1"/>
      </w:pPr>
      <w:r>
        <w:t xml:space="preserve">Recommendation</w:t>
      </w:r>
    </w:p>
    <w:p>
      <w:pPr>
        <w:pStyle w:val="Heading2"/>
      </w:pPr>
      <w:r>
        <w:t xml:space="preserve">Field Release of the Compensation Firmware</w:t>
      </w:r>
    </w:p>
    <w:p>
      <w:pPr>
        <w:spacing w:after="160"/>
      </w:pPr>
      <w:r>
        <w:t xml:space="preserve">Release firmware 3.5.0 with compensation enabled by default to all Rev B units in the field. It brings every tested unit into specification up to 55 °C, a range where roughly a quarter of the uncompensated units were already failing at 50 °C, and it reduces error substantially above that. It has no measurable effect on Rev C units, which ignore the table because their board revision register identifies them, so the same build can be distributed to both revisions. Customer-facing release notes should describe it as a thermal compensation enhancement and state the residual error at 60 °C plainly. Callum is to review that language before it goes out.</w:t>
      </w:r>
    </w:p>
    <w:p>
      <w:pPr>
        <w:pStyle w:val="Heading2"/>
      </w:pPr>
      <w:r>
        <w:t xml:space="preserve">Rev C Replacement Threshold</w:t>
      </w:r>
    </w:p>
    <w:p>
      <w:pPr>
        <w:spacing w:after="160"/>
      </w:pPr>
      <w:r>
        <w:t xml:space="preserve">For any Rev B unit installed where sustained ambient exceeds 50 °C, offer a Rev C replacement rather than relying on firmware. The data puts the firmware's limit at about 56 °C for the worst unit, and 50 °C leaves margin for the transient overshoot, for installation temperatures being reported low, and for any reference aging this test could not see. Rev C costs roughly $6 more per unit in materials than Rev B did; the larger cost in any replacement program is shipping and field labor, which is not estimated here.</w:t>
      </w:r>
    </w:p>
    <w:p>
      <w:pPr>
        <w:pStyle w:val="Heading2"/>
      </w:pPr>
      <w:r>
        <w:t xml:space="preserve">Open Items</w:t>
      </w:r>
    </w:p>
    <w:p>
      <w:pPr>
        <w:pStyle w:val="ListParagraph"/>
        <w:numPr>
          <w:ilvl w:val="0"/>
          <w:numId w:val="2"/>
        </w:numPr>
      </w:pPr>
      <w:r>
        <w:t xml:space="preserve">Characterize the 4–20 mA output mode with compensation enabled before it is released for that configuration.</w:t>
      </w:r>
    </w:p>
    <w:p>
      <w:pPr>
        <w:pStyle w:val="ListParagraph"/>
        <w:numPr>
          <w:ilvl w:val="0"/>
          <w:numId w:val="2"/>
        </w:numPr>
      </w:pPr>
      <w:r>
        <w:t xml:space="preserve">Produce a list of Rev B installations with known ambient above 50 °C, from support history and account records, so replacements can be offered rather than waited for.</w:t>
      </w:r>
    </w:p>
    <w:p>
      <w:pPr>
        <w:pStyle w:val="ListParagraph"/>
        <w:numPr>
          <w:ilvl w:val="0"/>
          <w:numId w:val="2"/>
        </w:numPr>
      </w:pPr>
      <w:r>
        <w:t xml:space="preserve">Retain the 22 held Rev B units in quarantine; the eight used in this test are marked and stored separately.</w:t>
      </w:r>
    </w:p>
    <w:p>
      <w:pPr>
        <w:pStyle w:val="ListParagraph"/>
        <w:numPr>
          <w:ilvl w:val="0"/>
          <w:numId w:val="2"/>
        </w:numPr>
      </w:pPr>
      <w:r>
        <w:t xml:space="preserve">Marcus to sign off on the release build before it is tagged 3.5.0.</w:t>
      </w:r>
    </w:p>
    <w:p>
      <w:pPr>
        <w:spacing w:after="8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XT-9 Rev B Thermal Qualification Report</dc:title>
  <dc:creator>Sofia</dc:creator>
  <cp:lastModifiedBy>Sofia</cp:lastModifiedBy>
  <cp:revision>1</cp:revision>
  <dcterms:created xsi:type="dcterms:W3CDTF">2026-03-12T09:00:00Z</dcterms:created>
  <dcterms:modified xsi:type="dcterms:W3CDTF">2026-03-12T09:00:00Z</dcterms:modified>
</cp:coreProperties>
</file>

<file path=docProps/custom.xml><?xml version="1.0" encoding="utf-8"?>
<Properties xmlns="http://schemas.openxmlformats.org/officeDocument/2006/custom-properties" xmlns:vt="http://schemas.openxmlformats.org/officeDocument/2006/docPropsVTypes"/>
</file>