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IEC 62443 Certification Readiness Assessment</w:t>
      </w:r>
    </w:p>
    <w:p>
      <w:pPr>
        <w:pStyle w:val="Heading1"/>
      </w:pPr>
      <w:r>
        <w:t xml:space="preserve">Why Certification Is Being Pursued</w:t>
      </w:r>
    </w:p>
    <w:p>
      <w:pPr>
        <w:pStyle w:val="Heading2"/>
      </w:pPr>
      <w:r>
        <w:t xml:space="preserve">Meridian Industrial Procurement Requirement</w:t>
      </w:r>
    </w:p>
    <w:p>
      <w:pPr>
        <w:spacing w:after="160"/>
      </w:pPr>
      <w:r>
        <w:t xml:space="preserve">Meridian Industrial has told us that IEC 62443 certification becomes a mandatory procurement requirement for its sensor suppliers from the start of Q3, which is July 1, 2026. Meridian is one of our five largest accounts. Losing eligibility to quote on new Meridian orders would be material, and other customers in the same sector are likely to adopt the same requirement within a year or two. Certification is therefore treated here as necessary rather than optional, and the open questions are how quickly and at what cost.</w:t>
      </w:r>
    </w:p>
    <w:p>
      <w:pPr>
        <w:pStyle w:val="Heading2"/>
      </w:pPr>
      <w:r>
        <w:t xml:space="preserve">Interim Self-Assessment</w:t>
      </w:r>
    </w:p>
    <w:p>
      <w:pPr>
        <w:spacing w:after="160"/>
      </w:pPr>
      <w:r>
        <w:t xml:space="preserve">Some purchasers accept a documented self-assessment against the standard while formal certification is in progress. Whether Meridian will is not yet known and is being asked of their procurement team. Until there is an answer, this assessment assumes they will not, and that a certificate from an accredited body is what is required.</w:t>
      </w:r>
    </w:p>
    <w:p>
      <w:pPr>
        <w:pStyle w:val="Heading1"/>
      </w:pPr>
      <w:r>
        <w:t xml:space="preserve">Regulatory Scope</w:t>
      </w:r>
    </w:p>
    <w:p>
      <w:pPr>
        <w:pStyle w:val="Heading2"/>
      </w:pPr>
      <w:r>
        <w:t xml:space="preserve">Parts of the Standard That Apply</w:t>
      </w:r>
    </w:p>
    <w:p>
      <w:pPr>
        <w:spacing w:after="160"/>
      </w:pPr>
      <w:r>
        <w:t xml:space="preserve">IEC 62443 is a family of standards for the security of industrial automation and control systems. Two parts apply to a component manufacturer in our position. Part 4-1 sets requirements for the secure product development lifecycle, covering the process by which products are designed, built, and maintained. Part 4-2 sets technical security requirements for the components themselves. Parts 2-4 and 3-3 apply to service providers and system integrators and are, on my reading, outside our scope, though the assessment body may take a different view of 3-3 where our products are sold into integrated systems.</w:t>
      </w:r>
    </w:p>
    <w:p>
      <w:pPr>
        <w:spacing w:after="160"/>
      </w:pPr>
      <w:r>
        <w:t xml:space="preserve">Certification under either part is by an accredited third-party body. It is not a self-declaration.</w:t>
      </w:r>
    </w:p>
    <w:p>
      <w:pPr>
        <w:pStyle w:val="Heading2"/>
      </w:pPr>
      <w:r>
        <w:t xml:space="preserve">Products in Scope</w:t>
      </w:r>
    </w:p>
    <w:p>
      <w:pPr>
        <w:spacing w:after="160"/>
      </w:pPr>
      <w:r>
        <w:t xml:space="preserve">The FieldSense 200 Series and the XT-9 with the networked output option both expose a network interface and accept firmware updates in the field, and both would be in scope. Whether the ProximaSense X4, which has no network interface, needs to be certified at all is unsettled. It likely falls outside 4-2, but I would not commit to that before the assessment body has confirmed it.</w:t>
      </w:r>
    </w:p>
    <w:p>
      <w:pPr>
        <w:pStyle w:val="Heading1"/>
      </w:pPr>
      <w:r>
        <w:t xml:space="preserve">Gap Analysis by Requirement Family</w:t>
      </w:r>
    </w:p>
    <w:p>
      <w:pPr>
        <w:pStyle w:val="Heading2"/>
      </w:pPr>
      <w:r>
        <w:t xml:space="preserve">Secure Development Lifecycle</w:t>
      </w:r>
    </w:p>
    <w:p>
      <w:pPr>
        <w:spacing w:after="160"/>
      </w:pPr>
      <w:r>
        <w:t xml:space="preserve">Engineering follows many of the practices 4-1 expects, but informally. Secure coding guidelines exist but have not been reviewed in about eighteen months, security requirements are not captured as a distinct part of product requirements, and there is no documented threat model for any current product. An auditor assesses what is written down and evidenced, so undocumented good practice counts for little. This is the largest gap by volume of work, though not the hardest to close.</w:t>
      </w:r>
    </w:p>
    <w:p>
      <w:pPr>
        <w:pStyle w:val="Heading2"/>
      </w:pPr>
      <w:r>
        <w:t xml:space="preserve">Firmware Update Authentication and Key Management</w:t>
      </w:r>
    </w:p>
    <w:p>
      <w:pPr>
        <w:spacing w:after="160"/>
      </w:pPr>
      <w:r>
        <w:t xml:space="preserve">Part 4-2 requires that firmware updates be authenticated before they are applied. Our current update mechanism does not meet that requirement as the assessor will read it. The requirement extends beyond signing the image to the management of the signing keys: how they are generated, stored, rotated, and revoked, and who can use them. We have no key management infrastructure today. This is the most technically demanding gap and the one with the least internal experience behind it.</w:t>
      </w:r>
    </w:p>
    <w:p>
      <w:pPr>
        <w:pStyle w:val="Heading2"/>
      </w:pPr>
      <w:r>
        <w:t xml:space="preserve">Vulnerability Handling and Disclosure</w:t>
      </w:r>
    </w:p>
    <w:p>
      <w:pPr>
        <w:spacing w:after="160"/>
      </w:pPr>
      <w:r>
        <w:t xml:space="preserve">There is no formal process for receiving, triaging, and disclosing security vulnerabilities, and no published point of contact for researchers or customers. Part 4-1 requires both.</w:t>
      </w:r>
    </w:p>
    <w:p>
      <w:pPr>
        <w:pStyle w:val="Heading2"/>
      </w:pPr>
      <w:r>
        <w:t xml:space="preserve">Component Technical Requirements</w:t>
      </w:r>
    </w:p>
    <w:p>
      <w:pPr>
        <w:spacing w:after="160"/>
      </w:pPr>
      <w:r>
        <w:t xml:space="preserve">The remaining 4-2 component requirements, covering identification and authentication, use control, data integrity, and similar, have not yet been mapped against the products. That mapping is the main output expected from the external gap assessment.</w:t>
      </w:r>
    </w:p>
    <w:p>
      <w:pPr>
        <w:pStyle w:val="Heading1"/>
      </w:pPr>
      <w:r>
        <w:t xml:space="preserve">Remediation Plan</w:t>
      </w:r>
    </w:p>
    <w:p>
      <w:pPr>
        <w:pStyle w:val="Heading2"/>
      </w:pPr>
      <w:r>
        <w:t xml:space="preserve">Documentation and Process Gaps</w:t>
      </w:r>
    </w:p>
    <w:p>
      <w:pPr>
        <w:spacing w:after="160"/>
      </w:pPr>
      <w:r>
        <w:t xml:space="preserve">The vulnerability disclosure process and the revised secure coding guidelines are already known to be missing and are being started now rather than after the gap assessment. Marcus estimates four to six weeks with Sofia leading. Sofia is also preparing a summary of current firmware security practice for the external assessor, which should shorten the assessment.</w:t>
      </w:r>
    </w:p>
    <w:p>
      <w:pPr>
        <w:pStyle w:val="Heading2"/>
      </w:pPr>
      <w:r>
        <w:t xml:space="preserve">Authenticated Update Mechanism</w:t>
      </w:r>
    </w:p>
    <w:p>
      <w:pPr>
        <w:spacing w:after="160"/>
      </w:pPr>
      <w:r>
        <w:t xml:space="preserve">Designing key management, implementing authenticated updates in firmware, and validating the result is estimated at three to four months, assuming no surprises. External expertise will probably be needed for the key management design. Some assessment bodies offer technical advisory services alongside assessment, which may be simpler than engaging a separate consultant, provided the arrangement does not compromise the independence of the assessment.</w:t>
      </w:r>
    </w:p>
    <w:p>
      <w:pPr>
        <w:pStyle w:val="Heading2"/>
      </w:pPr>
      <w:r>
        <w:t xml:space="preserve">External Gap Assessment</w:t>
      </w:r>
    </w:p>
    <w:p>
      <w:pPr>
        <w:spacing w:after="160"/>
      </w:pPr>
      <w:r>
        <w:t xml:space="preserve">An external consultant will carry out a formal gap assessment, expected to take two to three weeks. Until it is complete, the gaps listed above should be read as the ones we already know about rather than a full list.</w:t>
      </w:r>
    </w:p>
    <w:p>
      <w:pPr>
        <w:pStyle w:val="Heading1"/>
      </w:pPr>
      <w:r>
        <w:t xml:space="preserve">Assessment Body Selection</w:t>
      </w:r>
    </w:p>
    <w:p>
      <w:pPr>
        <w:pStyle w:val="Heading2"/>
      </w:pPr>
      <w:r>
        <w:t xml:space="preserve">Preliminary Quotes</w:t>
      </w:r>
    </w:p>
    <w:p>
      <w:pPr>
        <w:spacing w:after="160"/>
      </w:pPr>
      <w:r>
        <w:t xml:space="preserve">Three accredited bodies have been approached for preliminary quotes on assessment and certification of two product lines against 4-1 and 4-2. The figures are indicative and each was given on the understanding that it would be revised after a scoping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872"/>
        <w:gridCol w:w="2059"/>
        <w:gridCol w:w="2247"/>
      </w:tblGrid>
      <w:tr>
        <w:trPr>
          <w:tblHeader/>
        </w:trPr>
        <w:tc>
          <w:tcPr>
            <w:tcW w:type="dxa" w:w="3182"/>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Assessment body</w:t>
            </w:r>
          </w:p>
        </w:tc>
        <w:tc>
          <w:tcPr>
            <w:tcW w:type="dxa" w:w="1872"/>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Indicative fee</w:t>
            </w:r>
          </w:p>
        </w:tc>
        <w:tc>
          <w:tcPr>
            <w:tcW w:type="dxa" w:w="2059"/>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Earliest start</w:t>
            </w:r>
          </w:p>
        </w:tc>
        <w:tc>
          <w:tcPr>
            <w:tcW w:type="dxa" w:w="2247"/>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Advisory services</w:t>
            </w:r>
          </w:p>
        </w:tc>
      </w:tr>
      <w:tr>
        <w:tc>
          <w:tcPr>
            <w:tcW w:type="dxa" w:w="318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Kestrel Conformity Services</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$86,000</w:t>
            </w:r>
          </w:p>
        </w:tc>
        <w:tc>
          <w:tcPr>
            <w:tcW w:type="dxa" w:w="2059"/>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Late April</w:t>
            </w:r>
          </w:p>
        </w:tc>
        <w:tc>
          <w:tcPr>
            <w:tcW w:type="dxa" w:w="224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No</w:t>
            </w:r>
          </w:p>
        </w:tc>
      </w:tr>
      <w:tr>
        <w:tc>
          <w:tcPr>
            <w:tcW w:type="dxa" w:w="318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Arden Certification GmbH</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$104,000</w:t>
            </w:r>
          </w:p>
        </w:tc>
        <w:tc>
          <w:tcPr>
            <w:tcW w:type="dxa" w:w="2059"/>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Mid May</w:t>
            </w:r>
          </w:p>
        </w:tc>
        <w:tc>
          <w:tcPr>
            <w:tcW w:type="dxa" w:w="224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Yes, billed separately</w:t>
            </w:r>
          </w:p>
        </w:tc>
      </w:tr>
      <w:tr>
        <w:tc>
          <w:tcPr>
            <w:tcW w:type="dxa" w:w="318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Lindqvist Assurance</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$118,000</w:t>
            </w:r>
          </w:p>
        </w:tc>
        <w:tc>
          <w:tcPr>
            <w:tcW w:type="dxa" w:w="2059"/>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Early April</w:t>
            </w:r>
          </w:p>
        </w:tc>
        <w:tc>
          <w:tcPr>
            <w:tcW w:type="dxa" w:w="2247"/>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Yes, bundled</w:t>
            </w:r>
          </w:p>
        </w:tc>
      </w:tr>
    </w:tbl>
    <w:p>
      <w:pPr>
        <w:spacing w:after="160"/>
      </w:pPr>
    </w:p>
    <w:p>
      <w:pPr>
        <w:pStyle w:val="Heading2"/>
      </w:pPr>
      <w:r>
        <w:t xml:space="preserve">Selection Considerations</w:t>
      </w:r>
    </w:p>
    <w:p>
      <w:pPr>
        <w:spacing w:after="160"/>
      </w:pPr>
      <w:r>
        <w:t xml:space="preserve">The lowest quote is not necessarily the cheapest route. Lindqvist is the most expensive but can start soonest and bundles advisory support on key management, which may offset part of the difference. A recommendation will follow the scoping calls.</w:t>
      </w:r>
    </w:p>
    <w:p>
      <w:pPr>
        <w:pStyle w:val="Heading1"/>
      </w:pPr>
      <w:r>
        <w:t xml:space="preserve">Timeline and Cost</w:t>
      </w:r>
    </w:p>
    <w:p>
      <w:pPr>
        <w:pStyle w:val="Heading2"/>
      </w:pPr>
      <w:r>
        <w:t xml:space="preserve">Timeline to Certificate</w:t>
      </w:r>
    </w:p>
    <w:p>
      <w:pPr>
        <w:spacing w:after="160"/>
      </w:pPr>
      <w:r>
        <w:t xml:space="preserve">The formal assessment itself is expected to take three to four months. With the authenticated update work estimated at a similar length and the gap assessment still to run, a certificate by July 1 is not realistic. On current estimates the earliest plausible date is October 2026, and November or December is more likely. This is why Meridian's position on interim self-assessment matters as much as it does: if they will accept one, the July date can be met with a self-assessment and the certificate following later in the year.</w:t>
      </w:r>
    </w:p>
    <w:p>
      <w:pPr>
        <w:pStyle w:val="Heading2"/>
      </w:pPr>
      <w:r>
        <w:t xml:space="preserve">Cost Estimate</w:t>
      </w:r>
    </w:p>
    <w:p>
      <w:pPr>
        <w:spacing w:after="160"/>
      </w:pPr>
      <w:r>
        <w:t xml:space="preserve">The all-in cost is built up from four components: assessment body fees, the external gap assessment, internal engineering time, and external key management expertise. Assessment body fees account for between $86,000 and $118,000 on the quotes received. Taken together, I would not expect the total to come in below $200,000, and it could be higher depending on what the gap assessment finds.</w:t>
      </w:r>
    </w:p>
    <w:p>
      <w:pPr>
        <w:pStyle w:val="Heading1"/>
      </w:pPr>
      <w:r>
        <w:t xml:space="preserve">Approval Required</w:t>
      </w:r>
    </w:p>
    <w:p>
      <w:pPr>
        <w:pStyle w:val="Heading2"/>
      </w:pPr>
      <w:r>
        <w:t xml:space="preserve">Budget Exception</w:t>
      </w:r>
    </w:p>
    <w:p>
      <w:pPr>
        <w:spacing w:after="160"/>
      </w:pPr>
      <w:r>
        <w:t xml:space="preserve">Any project above $50,000 requires a budget exception approved by Priya. This one will clearly exceed that threshold. Renata is preparing a budget range for that approval. The information-gathering steps in this assessment should proceed in parallel and not wait on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IEC 62443 Certification Readiness Assessment</dc:title>
  <dc:creator>Callum</dc:creator>
  <cp:lastModifiedBy>Callum</cp:lastModifiedBy>
  <cp:revision>1</cp:revision>
  <dcterms:created xsi:type="dcterms:W3CDTF">2026-03-02T09:00:00Z</dcterms:created>
  <dcterms:modified xsi:type="dcterms:W3CDTF">2026-03-02T09:00:00Z</dcterms:modified>
</cp:coreProperties>
</file>

<file path=docProps/custom.xml><?xml version="1.0" encoding="utf-8"?>
<Properties xmlns="http://schemas.openxmlformats.org/officeDocument/2006/custom-properties" xmlns:vt="http://schemas.openxmlformats.org/officeDocument/2006/docPropsVTypes"/>
</file>