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Meta Appendix A: On Misuse, Misinterpretation, and Theoretical Overreach</w:t>
      </w:r>
    </w:p>
    <w:p>
      <w:pPr>
        <w:pStyle w:val="Heading2"/>
      </w:pPr>
      <w:r>
        <w:t>Collapse as Mechanism, Not Metaphor (CDR / CDG / CDT)</w:t>
      </w:r>
    </w:p>
    <w:p>
      <w:r>
        <w:t>Collapse events in this framework refer to real physical resolutions of quantum potential into definite geometry — not metaphorical transitions or abstract epistemic updates. Misapplying the term “collapse” to psychological realizations, cultural shifts, or metaphorical awakenings misconstrues the mechanism as narrative rather than physics.</w:t>
        <w:br/>
        <w:br/>
        <w:t>Collapse constructs structure; it does not simply *describe* it.</w:t>
      </w:r>
    </w:p>
    <w:p>
      <w:pPr>
        <w:pStyle w:val="Heading2"/>
      </w:pPr>
      <w:r>
        <w:t>Constraint Fields Are Not Hidden Variables (CDG)</w:t>
      </w:r>
    </w:p>
    <w:p>
      <w:r>
        <w:t>Collapse-Defined Gravity introduces the concept of a constraint field — an emergent structure derived from the distribution and tension of prior collapse events. These fields do not serve as hidden variables smuggled in to preserve classical realism. They are testable through their cumulative effects on curvature, lensing, and time delay.</w:t>
        <w:br/>
        <w:br/>
        <w:t>Misunderstanding constraint structures as non-empirical inserts would weaken CDG’s distinguishing feature: its falsifiability through geometric divergence from General Relativity.</w:t>
      </w:r>
    </w:p>
    <w:p>
      <w:pPr>
        <w:pStyle w:val="Heading2"/>
      </w:pPr>
      <w:r>
        <w:t>Informational Determinism vs. Fatalism (CDA / CDR)</w:t>
      </w:r>
    </w:p>
    <w:p>
      <w:r>
        <w:t>The theory holds that the present selects and stabilizes a logically consistent past, but this does not imply that the future is preordained. Collapse events occur at coherence thresholds, and while they constrain future possibility, they do not eliminate it.</w:t>
        <w:br/>
        <w:br/>
        <w:t>Mistaking this as a deterministic universe negates the very role of agency, which CDA seeks to formally articulate as the capacity to modulate potential collapse trajectories via decision-making structures.</w:t>
      </w:r>
    </w:p>
    <w:p>
      <w:pPr>
        <w:pStyle w:val="Heading2"/>
      </w:pPr>
      <w:r>
        <w:t>Collapse and the Simulation Hypothesis (CDR / CDA)</w:t>
      </w:r>
    </w:p>
    <w:p>
      <w:r>
        <w:t>The collapse-based framework may evoke analogies to simulation (e.g., the universe as informationally stitched), but it does not require, nor does it assume, that the universe is simulated in the digital or computational sense.</w:t>
        <w:br/>
        <w:br/>
        <w:t>While it permits philosophical exploration (see Mythos Addendum), its explanatory structures are physical — not computational.</w:t>
      </w:r>
    </w:p>
    <w:p>
      <w:pPr>
        <w:pStyle w:val="Heading2"/>
      </w:pPr>
      <w:r>
        <w:t>Misattributing Divine Foreknowledge or External Omniscience (CDT / CDA)</w:t>
      </w:r>
    </w:p>
    <w:p>
      <w:r>
        <w:t>The collapse frontier defines time directionality and generates consistent pasts. No moment exists before collapse. As such, no observer — divine or otherwise — can “see” what has not yet been resolved.</w:t>
        <w:br/>
        <w:br/>
        <w:t>Theories invoking omniscience as an explanation for consistency or order misinterpret CDT's causal structure: it is not foreknowledge that binds the timeline, but constraint tension and collapse history.</w:t>
      </w:r>
    </w:p>
    <w:p>
      <w:pPr>
        <w:pStyle w:val="Heading2"/>
      </w:pPr>
      <w:r>
        <w:t>Overconfidence in Experimental Substitution (CDG)</w:t>
      </w:r>
    </w:p>
    <w:p>
      <w:r>
        <w:t>While CDG offers compelling reinterpretations of unexplained phenomena (e.g., weak lensing voids, CMB anomalies, qubit decoherence), it does not yet provide high-precision numerical predictions across all regimes.</w:t>
        <w:br/>
        <w:br/>
        <w:t>It must not be prematurely cast as a wholesale replacement for GR — but as an alternative model under development, whose key value lies in its testable departure points.</w:t>
      </w:r>
    </w:p>
    <w:p>
      <w:pPr>
        <w:pStyle w:val="Heading2"/>
      </w:pPr>
      <w:r>
        <w:t>Equating Consistency with Truth (CDR / CDA)</w:t>
      </w:r>
    </w:p>
    <w:p>
      <w:r>
        <w:t>A collapse-defined past is internally consistent — that’s what makes the present coherent. But coherence is not the same as truth. The danger lies in assuming that what had to have been true to make the present work is therefore the only truth.</w:t>
        <w:br/>
        <w:br/>
        <w:t>This mistake leads to philosophical rigidity, ignoring the profound contingency of what might have collapsed differently.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