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rFonts w:ascii="Georgia" w:cs="Georgia" w:eastAsia="Georgia" w:hAnsi="Georgia"/>
        </w:rPr>
      </w:pPr>
      <w:r w:rsidDel="00000000" w:rsidR="00000000" w:rsidRPr="00000000">
        <w:rPr>
          <w:rFonts w:ascii="Georgia" w:cs="Georgia" w:eastAsia="Georgia" w:hAnsi="Georgia"/>
          <w:b w:val="1"/>
          <w:bCs w:val="1"/>
          <w:color w:val="1f3a5f"/>
          <w:sz w:val="64"/>
          <w:szCs w:val="64"/>
          <w:rtl w:val="0"/>
        </w:rPr>
        <w:t xml:space="preserve">CLE Compliance Playbook</w:t>
      </w:r>
      <w:r w:rsidDel="00000000" w:rsidR="00000000" w:rsidRPr="00000000">
        <w:rPr>
          <w:rtl w:val="0"/>
        </w:rPr>
      </w:r>
    </w:p>
    <w:p w:rsidR="00000000" w:rsidDel="00000000" w:rsidP="00000000" w:rsidRDefault="00000000" w:rsidRPr="00000000" w14:paraId="00000002">
      <w:pPr>
        <w:spacing w:after="480" w:before="0" w:lineRule="auto"/>
        <w:jc w:val="center"/>
        <w:rPr>
          <w:rFonts w:ascii="Georgia" w:cs="Georgia" w:eastAsia="Georgia" w:hAnsi="Georgia"/>
        </w:rPr>
      </w:pPr>
      <w:r w:rsidDel="00000000" w:rsidR="00000000" w:rsidRPr="00000000">
        <w:rPr>
          <w:rFonts w:ascii="Georgia" w:cs="Georgia" w:eastAsia="Georgia" w:hAnsi="Georgia"/>
          <w:color w:val="b8860b"/>
          <w:sz w:val="36"/>
          <w:szCs w:val="36"/>
          <w:rtl w:val="0"/>
        </w:rPr>
        <w:t xml:space="preserve">A Guide for Firm Administrators</w:t>
      </w:r>
      <w:r w:rsidDel="00000000" w:rsidR="00000000" w:rsidRPr="00000000">
        <w:rPr>
          <w:rtl w:val="0"/>
        </w:rPr>
      </w:r>
    </w:p>
    <w:p w:rsidR="00000000" w:rsidDel="00000000" w:rsidP="00000000" w:rsidRDefault="00000000" w:rsidRPr="00000000" w14:paraId="00000003">
      <w:pPr>
        <w:spacing w:after="240" w:before="0" w:lineRule="auto"/>
        <w:jc w:val="center"/>
        <w:rPr>
          <w:rFonts w:ascii="Georgia" w:cs="Georgia" w:eastAsia="Georgia" w:hAnsi="Georgia"/>
        </w:rPr>
      </w:pPr>
      <w:r w:rsidDel="00000000" w:rsidR="00000000" w:rsidRPr="00000000">
        <w:rPr>
          <w:rFonts w:ascii="Georgia" w:cs="Georgia" w:eastAsia="Georgia" w:hAnsi="Georgia"/>
          <w:color w:val="555555"/>
          <w:sz w:val="26"/>
          <w:szCs w:val="26"/>
          <w:rtl w:val="0"/>
        </w:rPr>
        <w:t xml:space="preserve">Billing Workshop: “Bill Your Time Today — In a Stress-Free Way”</w:t>
      </w:r>
      <w:r w:rsidDel="00000000" w:rsidR="00000000" w:rsidRPr="00000000">
        <w:rPr>
          <w:rtl w:val="0"/>
        </w:rPr>
      </w:r>
    </w:p>
    <w:p w:rsidR="00000000" w:rsidDel="00000000" w:rsidP="00000000" w:rsidRDefault="00000000" w:rsidRPr="00000000" w14:paraId="00000004">
      <w:pPr>
        <w:spacing w:after="120" w:before="1200" w:lineRule="auto"/>
        <w:jc w:val="center"/>
        <w:rPr>
          <w:rFonts w:ascii="Georgia" w:cs="Georgia" w:eastAsia="Georgia" w:hAnsi="Georgia"/>
        </w:rPr>
      </w:pPr>
      <w:r w:rsidDel="00000000" w:rsidR="00000000" w:rsidRPr="00000000">
        <w:rPr>
          <w:rFonts w:ascii="Georgia" w:cs="Georgia" w:eastAsia="Georgia" w:hAnsi="Georgia"/>
          <w:b w:val="1"/>
          <w:bCs w:val="1"/>
          <w:color w:val="1f3a5f"/>
          <w:sz w:val="28"/>
          <w:szCs w:val="28"/>
          <w:rtl w:val="0"/>
        </w:rPr>
        <w:t xml:space="preserve">Prepared by Molly Kremer, Esq.</w:t>
      </w:r>
      <w:r w:rsidDel="00000000" w:rsidR="00000000" w:rsidRPr="00000000">
        <w:rPr>
          <w:rtl w:val="0"/>
        </w:rPr>
      </w:r>
    </w:p>
    <w:p w:rsidR="00000000" w:rsidDel="00000000" w:rsidP="00000000" w:rsidRDefault="00000000" w:rsidRPr="00000000" w14:paraId="00000005">
      <w:pPr>
        <w:spacing w:after="120" w:before="0" w:lineRule="auto"/>
        <w:jc w:val="center"/>
        <w:rPr>
          <w:rFonts w:ascii="Georgia" w:cs="Georgia" w:eastAsia="Georgia" w:hAnsi="Georgia"/>
        </w:rPr>
      </w:pPr>
      <w:r w:rsidDel="00000000" w:rsidR="00000000" w:rsidRPr="00000000">
        <w:rPr>
          <w:rFonts w:ascii="Georgia" w:cs="Georgia" w:eastAsia="Georgia" w:hAnsi="Georgia"/>
          <w:color w:val="b8860b"/>
          <w:sz w:val="24"/>
          <w:szCs w:val="24"/>
          <w:rtl w:val="0"/>
        </w:rPr>
        <w:t xml:space="preserve">The Billing Coach</w:t>
      </w:r>
      <w:r w:rsidDel="00000000" w:rsidR="00000000" w:rsidRPr="00000000">
        <w:rPr>
          <w:rtl w:val="0"/>
        </w:rPr>
      </w:r>
    </w:p>
    <w:p w:rsidR="00000000" w:rsidDel="00000000" w:rsidP="00000000" w:rsidRDefault="00000000" w:rsidRPr="00000000" w14:paraId="00000006">
      <w:pPr>
        <w:spacing w:after="0" w:before="0" w:lineRule="auto"/>
        <w:jc w:val="center"/>
        <w:rPr>
          <w:rFonts w:ascii="Georgia" w:cs="Georgia" w:eastAsia="Georgia" w:hAnsi="Georgia"/>
        </w:rPr>
      </w:pPr>
      <w:r w:rsidDel="00000000" w:rsidR="00000000" w:rsidRPr="00000000">
        <w:rPr>
          <w:rFonts w:ascii="Georgia" w:cs="Georgia" w:eastAsia="Georgia" w:hAnsi="Georgia"/>
          <w:color w:val="555555"/>
          <w:sz w:val="20"/>
          <w:szCs w:val="20"/>
          <w:rtl w:val="0"/>
        </w:rPr>
        <w:t xml:space="preserve">thebillingcoach.com  |  info@thebillingcoach.com</w:t>
      </w: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240" w:lineRule="auto"/>
        <w:rPr>
          <w:rFonts w:ascii="Georgia" w:cs="Georgia" w:eastAsia="Georgia" w:hAnsi="Georgia"/>
        </w:rPr>
      </w:pPr>
      <w:r w:rsidDel="00000000" w:rsidR="00000000" w:rsidRPr="00000000">
        <w:rPr>
          <w:rFonts w:ascii="Georgia" w:cs="Georgia" w:eastAsia="Georgia" w:hAnsi="Georgia"/>
          <w:color w:val="1f3a5f"/>
          <w:sz w:val="36"/>
          <w:szCs w:val="36"/>
          <w:rtl w:val="0"/>
        </w:rPr>
        <w:t xml:space="preserve">How to Use This Playbook</w:t>
      </w:r>
      <w:r w:rsidDel="00000000" w:rsidR="00000000" w:rsidRPr="00000000">
        <w:rPr>
          <w:rtl w:val="0"/>
        </w:rPr>
      </w:r>
    </w:p>
    <w:p w:rsidR="00000000" w:rsidDel="00000000" w:rsidP="00000000" w:rsidRDefault="00000000" w:rsidRPr="00000000" w14:paraId="00000009">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This document is designed for firm CLE coordinators, professional development teams, and administrative staff responsible for securing continuing legal education credit when hosting the Billing Workshop “Bill Your Time Today — In a Stress-Free Way.” It walks through everything your team needs to handle on the firm side: the materials package you’ll receive from The Billing Coach, what your firm needs to prepare in advance, how to approach state CLE applications strategically, and a master checklist organized by phase.</w:t>
      </w:r>
      <w:r w:rsidDel="00000000" w:rsidR="00000000" w:rsidRPr="00000000">
        <w:rPr>
          <w:rtl w:val="0"/>
        </w:rPr>
      </w:r>
    </w:p>
    <w:p w:rsidR="00000000" w:rsidDel="00000000" w:rsidP="00000000" w:rsidRDefault="00000000" w:rsidRPr="00000000" w14:paraId="0000000A">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The playbook is intentionally written to work for any firm and any roster of states. Whether your attorneys are licensed in three states or thirty, and whether your workshop is six months out or six days out, the strategy and checklist below scale to fit. For state-specific details — governing bodies, fee schedules, contact information — see the companion document, </w:t>
      </w:r>
      <w:r w:rsidDel="00000000" w:rsidR="00000000" w:rsidRPr="00000000">
        <w:rPr>
          <w:rtl w:val="0"/>
        </w:rPr>
      </w:r>
    </w:p>
    <w:p w:rsidR="00000000" w:rsidDel="00000000" w:rsidP="00000000" w:rsidRDefault="00000000" w:rsidRPr="00000000" w14:paraId="0000000B">
      <w:pPr>
        <w:spacing w:after="20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CLE Credit Requirements by State (All 50 States — Reference Guide).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12" w:val="single"/>
              <w:left w:color="b8860b" w:space="0" w:sz="12" w:val="single"/>
              <w:bottom w:color="b8860b" w:space="0" w:sz="12" w:val="single"/>
              <w:right w:color="b8860b" w:space="0" w:sz="12" w:val="single"/>
            </w:tcBorders>
            <w:shd w:fill="f5f1e8" w:val="clear"/>
            <w:tcMar>
              <w:top w:w="200.0" w:type="dxa"/>
              <w:left w:w="240.0" w:type="dxa"/>
              <w:bottom w:w="200.0" w:type="dxa"/>
              <w:right w:w="240.0" w:type="dxa"/>
            </w:tcMar>
          </w:tcPr>
          <w:p w:rsidR="00000000" w:rsidDel="00000000" w:rsidP="00000000" w:rsidRDefault="00000000" w:rsidRPr="00000000" w14:paraId="0000000C">
            <w:pPr>
              <w:spacing w:after="120" w:before="0" w:lineRule="auto"/>
              <w:rPr>
                <w:rFonts w:ascii="Georgia" w:cs="Georgia" w:eastAsia="Georgia" w:hAnsi="Georgia"/>
              </w:rPr>
            </w:pPr>
            <w:r w:rsidDel="00000000" w:rsidR="00000000" w:rsidRPr="00000000">
              <w:rPr>
                <w:rFonts w:ascii="Georgia" w:cs="Georgia" w:eastAsia="Georgia" w:hAnsi="Georgia"/>
                <w:b w:val="1"/>
                <w:bCs w:val="1"/>
                <w:color w:val="1f3a5f"/>
                <w:sz w:val="22"/>
                <w:szCs w:val="22"/>
                <w:rtl w:val="0"/>
              </w:rPr>
              <w:t xml:space="preserve">On timing.</w:t>
            </w:r>
            <w:r w:rsidDel="00000000" w:rsidR="00000000" w:rsidRPr="00000000">
              <w:rPr>
                <w:rFonts w:ascii="Georgia" w:cs="Georgia" w:eastAsia="Georgia" w:hAnsi="Georgia"/>
                <w:sz w:val="22"/>
                <w:szCs w:val="22"/>
                <w:rtl w:val="0"/>
              </w:rPr>
              <w:t xml:space="preserve"> Most state CLE boards prefer applications 30–60 days before the program. The good news: most states also accept retroactive applications submitted after the program has been presented. California is the most generous, with a two-year retroactive window. New York is the most restrictive, with a tight post-program window for individuals. The strategic guidance in Part 3 is built around this reality — there is almost always a viable path to credit, even when lead time is short.</w:t>
            </w:r>
            <w:r w:rsidDel="00000000" w:rsidR="00000000" w:rsidRPr="00000000">
              <w:rPr>
                <w:rtl w:val="0"/>
              </w:rPr>
            </w:r>
          </w:p>
        </w:tc>
      </w:tr>
    </w:tbl>
    <w:p w:rsidR="00000000" w:rsidDel="00000000" w:rsidP="00000000" w:rsidRDefault="00000000" w:rsidRPr="00000000" w14:paraId="0000000D">
      <w:pPr>
        <w:pStyle w:val="Heading1"/>
        <w:spacing w:after="120" w:before="360" w:lineRule="auto"/>
        <w:rPr>
          <w:rFonts w:ascii="Georgia" w:cs="Georgia" w:eastAsia="Georgia" w:hAnsi="Georgia"/>
        </w:rPr>
      </w:pPr>
      <w:r w:rsidDel="00000000" w:rsidR="00000000" w:rsidRPr="00000000">
        <w:rPr>
          <w:rFonts w:ascii="Georgia" w:cs="Georgia" w:eastAsia="Georgia" w:hAnsi="Georgia"/>
          <w:color w:val="1f3a5f"/>
          <w:sz w:val="36"/>
          <w:szCs w:val="36"/>
          <w:rtl w:val="0"/>
        </w:rPr>
        <w:t xml:space="preserve">PART 1: Materials Package You Will Receive</w:t>
      </w:r>
      <w:r w:rsidDel="00000000" w:rsidR="00000000" w:rsidRPr="00000000">
        <w:rPr>
          <w:rtl w:val="0"/>
        </w:rPr>
      </w:r>
    </w:p>
    <w:p w:rsidR="00000000" w:rsidDel="00000000" w:rsidP="00000000" w:rsidRDefault="00000000" w:rsidRPr="00000000" w14:paraId="0000000E">
      <w:pPr>
        <w:spacing w:after="20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The Billing Coach prepares and delivers a complete materials package for each workshop engagement. These materials serve double duty: they are both the workshop content delivered to your attorneys and the documentation your firm will attach to state bar CLE applications. Everything is designed to satisfy the substantive requirements of every MCLE jurisdiction, including the strictest — California, New York, Washington — which require materials “sufficient to stand by themselves as an instructional tool.”</w:t>
      </w:r>
      <w:r w:rsidDel="00000000" w:rsidR="00000000" w:rsidRPr="00000000">
        <w:rPr>
          <w:rtl w:val="0"/>
        </w:rPr>
      </w:r>
    </w:p>
    <w:p w:rsidR="00000000" w:rsidDel="00000000" w:rsidP="00000000" w:rsidRDefault="00000000" w:rsidRPr="00000000" w14:paraId="0000000F">
      <w:pPr>
        <w:pStyle w:val="Heading2"/>
        <w:spacing w:after="120" w:before="20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A. Core Workshop Documentation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Timed Agenda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 detailed, minute-by-minute agenda showing start and end times for each segment, including breaks. Each segment is labeled with the type of credit it qualifies for (ethics vs. general). Required by every state with applications.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Written Materials / Slide Deck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The PowerPoint presentation, which counts as written materials in California and most other states. The deck is substantive and includes Rules of Professional Conduct citations and ABA Formal Opinion references throughout — not just on a single slide.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Resource &amp; Reference Guide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 comprehensive reference document containing all ABA Model Rules cited, ABA Formal Opinions on billing, case law citations, and state bar billing guidelines. This is the document that satisfies the “stand-alone instructional tool” requirement in California, New York, and Washington.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Speaker Bio / Credentials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Professional biography highlighting 16+ years of civil litigation experience, BigLaw background, coaching certifications, and subject matter expertise. Several states require speaker credentials with the application.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Course Description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 2–3 paragraph description of workshop content, learning objectives, and target audience, with explicit framing of the ethics / professional responsibility angle (billing accuracy, duty of competence, billing narrative integrity).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Certificate of Attendance Template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 professional certificate template including provider/sponsor name, activity title, date, credit hours offered, credit type, and signature line. A separate Arizona-specific version is included with the required self-reporting disclaimer language.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Evaluation Form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 brief post-workshop survey, which can be administered via Google Form or any survey platform. California specifically requires providers to distribute and retain evaluation forms.</w:t>
      </w:r>
    </w:p>
    <w:p w:rsidR="00000000" w:rsidDel="00000000" w:rsidP="00000000" w:rsidRDefault="00000000" w:rsidRPr="00000000" w14:paraId="00000017">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B. CLE-Compliant Slide Deck Modifications</w:t>
      </w:r>
      <w:r w:rsidDel="00000000" w:rsidR="00000000" w:rsidRPr="00000000">
        <w:rPr>
          <w:rtl w:val="0"/>
        </w:rPr>
      </w:r>
    </w:p>
    <w:p w:rsidR="00000000" w:rsidDel="00000000" w:rsidP="00000000" w:rsidRDefault="00000000" w:rsidRPr="00000000" w14:paraId="00000018">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The presentation is built (or adapted) to satisfy CLE ethics credit requirements across all applicable states. Specific modifications include: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Title slide with CLE accreditation information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Workshop title, presenter name and credentials, date, total credit hours offered, and credit type. Includes Arizona’s required self-reporting disclaimer language.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Learning objectives slide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Three to five clearly stated educational objectives at the start of the presentation (e.g., “Attendees will learn to accurately capture billable time using the Billing Bookends method”). Most state bars require these.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Rules of Professional Conduct citations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Explicit references to Model Rule 1.5 (Fees), Rule 1.4 (Communication About Fees), Rule 1.3 (Diligence), and Rule 8.4 (Professional Misconduct) woven throughout the deck. California requires that ethics credit activities include education on and citation to the Rules of Professional Conduct.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Duty of competence and malpractice prevention framing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Billing accuracy is framed as a competence and malpractice prevention issue — underbilling, overbilling, and inaccurate time reconstruction all implicate professional responsibility obligations. Several states (Idaho, Mississippi, West Virginia) explicitly grant ethics credit for malpractice prevention content.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AI section with ethics framing and firm policy reference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All AI-related content is framed within the context of the firm’s existing AI policy. Includes a slide clarifying that using AI to describe work already performed is distinct from using AI for legal research or production, plus a disclaimer that AI-generated narratives must always be reviewed and edited by the attorney before submission. Many states (California, North Carolina, and others) recognize AI-related ethics content for technology credit.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Resources / references slide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Final slide listing all Rules of Professional Conduct cited, ABA Formal Opinions on billing practices, and links to state bar billing guidelines.</w:t>
      </w:r>
    </w:p>
    <w:p w:rsidR="00000000" w:rsidDel="00000000" w:rsidP="00000000" w:rsidRDefault="00000000" w:rsidRPr="00000000" w14:paraId="0000001F">
      <w:pPr>
        <w:pStyle w:val="Heading1"/>
        <w:pageBreakBefore w:val="1"/>
        <w:spacing w:after="120" w:before="360" w:lineRule="auto"/>
        <w:rPr>
          <w:rFonts w:ascii="Georgia" w:cs="Georgia" w:eastAsia="Georgia" w:hAnsi="Georgia"/>
        </w:rPr>
      </w:pPr>
      <w:r w:rsidDel="00000000" w:rsidR="00000000" w:rsidRPr="00000000">
        <w:rPr>
          <w:rFonts w:ascii="Georgia" w:cs="Georgia" w:eastAsia="Georgia" w:hAnsi="Georgia"/>
          <w:color w:val="1f3a5f"/>
          <w:sz w:val="36"/>
          <w:szCs w:val="36"/>
          <w:rtl w:val="0"/>
        </w:rPr>
        <w:t xml:space="preserve">PART 2: What Your Firm Will Need to Prepare</w:t>
      </w:r>
      <w:r w:rsidDel="00000000" w:rsidR="00000000" w:rsidRPr="00000000">
        <w:rPr>
          <w:rtl w:val="0"/>
        </w:rPr>
      </w:r>
    </w:p>
    <w:p w:rsidR="00000000" w:rsidDel="00000000" w:rsidP="00000000" w:rsidRDefault="00000000" w:rsidRPr="00000000" w14:paraId="00000020">
      <w:pPr>
        <w:spacing w:after="20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Three categories of information are needed from the firm side to complete the materials package and ensure smooth CLE administration. Most firms can compile these within a few business days; gathering them early is the single highest-leverage thing your team can do to avoid last-minute scrambles.</w:t>
      </w:r>
      <w:r w:rsidDel="00000000" w:rsidR="00000000" w:rsidRPr="00000000">
        <w:rPr>
          <w:rtl w:val="0"/>
        </w:rPr>
      </w:r>
    </w:p>
    <w:p w:rsidR="00000000" w:rsidDel="00000000" w:rsidP="00000000" w:rsidRDefault="00000000" w:rsidRPr="00000000" w14:paraId="00000021">
      <w:pPr>
        <w:pStyle w:val="Heading2"/>
        <w:spacing w:after="120" w:before="20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A. Attendee Information</w:t>
      </w:r>
      <w:r w:rsidDel="00000000" w:rsidR="00000000" w:rsidRPr="00000000">
        <w:rPr>
          <w:rtl w:val="0"/>
        </w:rPr>
      </w:r>
    </w:p>
    <w:p w:rsidR="00000000" w:rsidDel="00000000" w:rsidP="00000000" w:rsidRDefault="00000000" w:rsidRPr="00000000" w14:paraId="00000022">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An attendee roster with the following data points for each attorney expected to attend: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Full name (as it appears on bar registration)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Bar number(s)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State(s) of licensure — including secondary admissions where attorneys want CLE credit reported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Email address (for certificate distribution)</w:t>
      </w:r>
    </w:p>
    <w:p w:rsidR="00000000" w:rsidDel="00000000" w:rsidP="00000000" w:rsidRDefault="00000000" w:rsidRPr="00000000" w14:paraId="00000027">
      <w:pPr>
        <w:spacing w:after="20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This roster drives everything downstream: it determines which state CLE boards your firm needs to engage, how many specialty credit categories are in play, and what attendance reporting is required after the program. States that require sponsor-side attendance reporting include California, Illinois, Nevada, Oregon, Tennessee, and Washington — among others. The companion 50-state guide identifies reporting requirements for each jurisdiction.</w:t>
      </w:r>
      <w:r w:rsidDel="00000000" w:rsidR="00000000" w:rsidRPr="00000000">
        <w:rPr>
          <w:rtl w:val="0"/>
        </w:rPr>
      </w:r>
    </w:p>
    <w:p w:rsidR="00000000" w:rsidDel="00000000" w:rsidP="00000000" w:rsidRDefault="00000000" w:rsidRPr="00000000" w14:paraId="00000028">
      <w:pPr>
        <w:pStyle w:val="Heading2"/>
        <w:spacing w:after="120" w:before="20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B. Firm CLE Provider Status Inventory</w:t>
      </w:r>
      <w:r w:rsidDel="00000000" w:rsidR="00000000" w:rsidRPr="00000000">
        <w:rPr>
          <w:rtl w:val="0"/>
        </w:rPr>
      </w:r>
    </w:p>
    <w:p w:rsidR="00000000" w:rsidDel="00000000" w:rsidP="00000000" w:rsidRDefault="00000000" w:rsidRPr="00000000" w14:paraId="00000029">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Many large and mid-sized firms already hold accredited CLE provider/sponsor status with one or more state bars. If so, this dramatically streamlines the application process — single-activity applications can be submitted through existing provider portals rather than requiring new sponsor registration. Common existing accreditations include: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California Multiple Activity Provider (MAP) status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New York Accredited CLE Provider status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Illinois PCAM-registered provider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Texas accredited sponsor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Pennsylvania CLE provider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State-specific sponsor accounts in any other jurisdiction where the firm regularly hosts CLE programming</w:t>
      </w:r>
    </w:p>
    <w:p w:rsidR="00000000" w:rsidDel="00000000" w:rsidP="00000000" w:rsidRDefault="00000000" w:rsidRPr="00000000" w14:paraId="00000030">
      <w:pPr>
        <w:spacing w:after="20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Confirm with your firm’s CLE administrator or professional development team which provider accounts are active. For each state where the firm holds existing provider status, note the account login, primary contact, and any historical fee schedule.</w:t>
      </w:r>
      <w:r w:rsidDel="00000000" w:rsidR="00000000" w:rsidRPr="00000000">
        <w:rPr>
          <w:rtl w:val="0"/>
        </w:rPr>
      </w:r>
    </w:p>
    <w:p w:rsidR="00000000" w:rsidDel="00000000" w:rsidP="00000000" w:rsidRDefault="00000000" w:rsidRPr="00000000" w14:paraId="00000031">
      <w:pPr>
        <w:pStyle w:val="Heading2"/>
        <w:spacing w:after="120" w:before="20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C. Webinar / Delivery Logistics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Attendance tracking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Confirm the delivery platform tracks login/logout times. Zoom’s attendance report (or your platform’s equivalent) captures this data, which is required for attendance verification in most states. Several states require attendance reporting within 30 days of the program.</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Recording setup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Decide in advance whether the workshop will be recorded for internal reference. Recording is supported and is often appropriate for attorneys who cannot attend live. Note: recordings should generally not be posted publicly.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Hybrid / multi-office logistics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For programs with multiple offices or hybrid attendance, identify a single point of contact responsible for compiling sign-in data across locations.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Interactivity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Plan for an interactive component (Q&amp;A, polls, or chat). Several states (notably New York for newly admitted attorneys, effective January 1, 2026) require live, interactive participation — not passive viewing — for credit to count.</w:t>
      </w:r>
    </w:p>
    <w:p w:rsidR="00000000" w:rsidDel="00000000" w:rsidP="00000000" w:rsidRDefault="00000000" w:rsidRPr="00000000" w14:paraId="00000036">
      <w:pPr>
        <w:pStyle w:val="Heading1"/>
        <w:pageBreakBefore w:val="1"/>
        <w:spacing w:after="120" w:before="360" w:lineRule="auto"/>
        <w:rPr>
          <w:rFonts w:ascii="Georgia" w:cs="Georgia" w:eastAsia="Georgia" w:hAnsi="Georgia"/>
        </w:rPr>
      </w:pPr>
      <w:r w:rsidDel="00000000" w:rsidR="00000000" w:rsidRPr="00000000">
        <w:rPr>
          <w:rFonts w:ascii="Georgia" w:cs="Georgia" w:eastAsia="Georgia" w:hAnsi="Georgia"/>
          <w:color w:val="1f3a5f"/>
          <w:sz w:val="36"/>
          <w:szCs w:val="36"/>
          <w:rtl w:val="0"/>
        </w:rPr>
        <w:t xml:space="preserve">PART 3: State Application Strategy</w:t>
      </w:r>
      <w:r w:rsidDel="00000000" w:rsidR="00000000" w:rsidRPr="00000000">
        <w:rPr>
          <w:rtl w:val="0"/>
        </w:rPr>
      </w:r>
    </w:p>
    <w:p w:rsidR="00000000" w:rsidDel="00000000" w:rsidP="00000000" w:rsidRDefault="00000000" w:rsidRPr="00000000" w14:paraId="00000037">
      <w:pPr>
        <w:spacing w:after="20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This section walks through the strategic questions your team will work through when filing CLE applications. State-specific procedural details are covered in the companion 50-state guide. The principles below apply regardless of which states are on your roster.</w:t>
      </w:r>
      <w:r w:rsidDel="00000000" w:rsidR="00000000" w:rsidRPr="00000000">
        <w:rPr>
          <w:rtl w:val="0"/>
        </w:rPr>
      </w:r>
    </w:p>
    <w:p w:rsidR="00000000" w:rsidDel="00000000" w:rsidP="00000000" w:rsidRDefault="00000000" w:rsidRPr="00000000" w14:paraId="00000038">
      <w:pPr>
        <w:pStyle w:val="Heading2"/>
        <w:spacing w:after="120" w:before="20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A. Identify the States That Matter</w:t>
      </w:r>
      <w:r w:rsidDel="00000000" w:rsidR="00000000" w:rsidRPr="00000000">
        <w:rPr>
          <w:rtl w:val="0"/>
        </w:rPr>
      </w:r>
    </w:p>
    <w:p w:rsidR="00000000" w:rsidDel="00000000" w:rsidP="00000000" w:rsidRDefault="00000000" w:rsidRPr="00000000" w14:paraId="00000039">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Start with the attendee roster. List every unique state where any attending attorney is licensed and wants CLE credit. This is the universe of state bar applications your team needs to consider. From there, apply two filters: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States with no MCLE requirement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Maryland, Massachusetts, Michigan, and South Dakota have no mandatory CLE requirement — attorneys in these states can simply receive a certificate of attendance with no application needed. The District of Columbia (a federal jurisdiction, not a state) is also non-mandatory.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Self-reporting states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Alaska, Connecticut, and New Hampshire (and several others to varying degrees) operate on attorney self-reporting. Sponsors do not pre-accredit programs in the same way; attorneys claim credit based on their own attendance and program documentation. The firm’s job is simpler: provide certificates and supporting materials.</w:t>
      </w:r>
    </w:p>
    <w:p w:rsidR="00000000" w:rsidDel="00000000" w:rsidP="00000000" w:rsidRDefault="00000000" w:rsidRPr="00000000" w14:paraId="0000003C">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B. Application Timing &amp; Lead Times</w:t>
      </w:r>
      <w:r w:rsidDel="00000000" w:rsidR="00000000" w:rsidRPr="00000000">
        <w:rPr>
          <w:rtl w:val="0"/>
        </w:rPr>
      </w:r>
    </w:p>
    <w:p w:rsidR="00000000" w:rsidDel="00000000" w:rsidP="00000000" w:rsidRDefault="00000000" w:rsidRPr="00000000" w14:paraId="0000003D">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Most state CLE boards prefer applications submitted 30–60 days before the program. Some require it: California requires Single Activity Provider applications at least 60 days before the activity date. New York generally requires sponsoring-organization applications at least 60 days before the program. When lead time is short, several strategies are available: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Retroactive applications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California allows providers to seek retroactive approval for up to two years from the activity date, with the same $90 fee. This is the most generous retroactive window in the country.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Reciprocity &amp; approved jurisdiction pathways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California is a New York Approved Jurisdiction. Once a program is California-approved, New York attorneys can claim credit under New York’s Approved Jurisdiction policy (calculated on a 50-minute credit hour). This is a reliable backup when New York’s 60-day window has been missed.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Individual attorney self-application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In Alaska, Connecticut, and similar self-reporting jurisdictions, attorneys claim credit individually after the workshop — no firm application is required.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Late-fee acceptance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In some jurisdictions (e.g., Washington, Idaho, Tennessee), filing the sponsor application late triggers a modest late fee but does not bar approval.</w:t>
      </w:r>
    </w:p>
    <w:p w:rsidR="00000000" w:rsidDel="00000000" w:rsidP="00000000" w:rsidRDefault="00000000" w:rsidRPr="00000000" w14:paraId="00000042">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C. The Three Regulatory Patterns</w:t>
      </w:r>
      <w:r w:rsidDel="00000000" w:rsidR="00000000" w:rsidRPr="00000000">
        <w:rPr>
          <w:rtl w:val="0"/>
        </w:rPr>
      </w:r>
    </w:p>
    <w:p w:rsidR="00000000" w:rsidDel="00000000" w:rsidP="00000000" w:rsidRDefault="00000000" w:rsidRPr="00000000" w14:paraId="00000043">
      <w:pPr>
        <w:spacing w:after="16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Every state CLE regime falls into one of three structural patterns. Identifying which pattern applies in each of your firm’s states tells you exactly what your team needs to do: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260"/>
        <w:gridCol w:w="2400"/>
        <w:gridCol w:w="2000"/>
        <w:tblGridChange w:id="0">
          <w:tblGrid>
            <w:gridCol w:w="1700"/>
            <w:gridCol w:w="3260"/>
            <w:gridCol w:w="2400"/>
            <w:gridCol w:w="2000"/>
          </w:tblGrid>
        </w:tblGridChange>
      </w:tblGrid>
      <w:tr>
        <w:trPr>
          <w:cantSplit w:val="0"/>
          <w:tblHeader w:val="1"/>
        </w:trPr>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44">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Pattern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45">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What It Means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46">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Example States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47">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What Your Team Does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8">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Sponsor-Accredited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9">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The firm (or workshop provider) applies for course accreditation. Once approved, attorneys receive credit automatically.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A">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California, New York, Illinois, Florida, Ohio, Texas, Washington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B">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File sponsor application; report attendance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C">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Attorney Self-Report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D">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There is no central pre-accreditation. Attorneys claim credit by submitting their own materials at year-end.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E">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Alaska, Connecticut, Arizona, New Hampshire (and partial states)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F">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Provide certificates and program materials to attendees; no firm application needed.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0">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Hybrid / Reciprocity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1">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Sponsor accreditation is preferred but the state recognizes credits accredited by another jurisdiction.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2">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Hawaii, New York (via Approved Jurisdiction policy), Illinois (out-of-state recognition)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3">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Use California or another approved state as the gateway; document cross-jurisdictional approval.</w:t>
            </w:r>
            <w:r w:rsidDel="00000000" w:rsidR="00000000" w:rsidRPr="00000000">
              <w:rPr>
                <w:rtl w:val="0"/>
              </w:rPr>
            </w:r>
          </w:p>
        </w:tc>
      </w:tr>
    </w:tbl>
    <w:p w:rsidR="00000000" w:rsidDel="00000000" w:rsidP="00000000" w:rsidRDefault="00000000" w:rsidRPr="00000000" w14:paraId="00000054">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D. Strategic Patterns Worth Knowing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California as a gateway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Filing California first creates leverage in other states. California’s two-year retroactive window means a CA application is rarely time-pressured — and California approval can serve as the basis for Hawaii reciprocity and New York’s Approved Jurisdiction pathway. When in doubt, secure California first.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New York is the bottleneck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Among states that pre-accredit, New York’s post-program window is the tightest. If the 60-day pre-program window will be missed, plan to use California reciprocity from the outset rather than racing the clock on a direct New York application.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Self-reporting reduces the workload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In self-reporting states, the firm’s job is simply to deliver complete, well-documented materials — timed agenda, written materials, certificate of attendance — and let attorneys claim credit individually. No firm application or fee is involved.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Florida’s special professionalism requirement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Florida amended Rule 6-10.3 effective January 8, 2024, reducing the total CLE requirement from 33 to 30 hours and adding a mandatory 2-hour Florida Legal Professionalism course produced by The Florida Bar. Out-of-state programs do not satisfy the 2-hour Florida professionalism requirement — attorneys must take that specific Florida Bar course separately.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Georgia" w:cs="Georgia" w:eastAsia="Georgia" w:hAnsi="Georgia"/>
          <w:b w:val="1"/>
          <w:bCs w:val="1"/>
          <w:i w:val="0"/>
          <w:iCs w:val="0"/>
          <w:smallCaps w:val="0"/>
          <w:strike w:val="0"/>
          <w:color w:val="1f3a5f"/>
          <w:sz w:val="22"/>
          <w:szCs w:val="22"/>
          <w:u w:val="none"/>
          <w:shd w:fill="auto" w:val="clear"/>
          <w:vertAlign w:val="baseline"/>
          <w:rtl w:val="0"/>
        </w:rPr>
        <w:t xml:space="preserve">Ohio leans pre-program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Ohio’s Commission on CLE strongly prefers pre-program submissions. Post-program submissions may be accepted in narrow circumstances; contact the Commission directly when retroactive submission is needed.</w:t>
      </w:r>
    </w:p>
    <w:p w:rsidR="00000000" w:rsidDel="00000000" w:rsidP="00000000" w:rsidRDefault="00000000" w:rsidRPr="00000000" w14:paraId="0000005A">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E. Retroactive Application Quick Reference</w:t>
      </w:r>
      <w:r w:rsidDel="00000000" w:rsidR="00000000" w:rsidRPr="00000000">
        <w:rPr>
          <w:rtl w:val="0"/>
        </w:rPr>
      </w:r>
    </w:p>
    <w:p w:rsidR="00000000" w:rsidDel="00000000" w:rsidP="00000000" w:rsidRDefault="00000000" w:rsidRPr="00000000" w14:paraId="0000005B">
      <w:pPr>
        <w:spacing w:after="16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When workshop dates move faster than application timelines, the table below summarizes which states reliably accept retroactive applications and which require special handling.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60"/>
        <w:gridCol w:w="4500"/>
        <w:tblGridChange w:id="0">
          <w:tblGrid>
            <w:gridCol w:w="1900"/>
            <w:gridCol w:w="2960"/>
            <w:gridCol w:w="4500"/>
          </w:tblGrid>
        </w:tblGridChange>
      </w:tblGrid>
      <w:tr>
        <w:trPr>
          <w:cantSplit w:val="0"/>
          <w:tblHeader w:val="1"/>
        </w:trPr>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5C">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Posture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5D">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States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5E">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Strategy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F">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Most generous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0">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California (up to 2 years, same $90 fee, no late penalty)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1">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Always file California even when lead time is short. CA approval also unlocks Hawaii reciprocity and the New York Approved Jurisdiction pathway.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2">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Routinely accepted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3">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Illinois, Missouri, Nevada, Texas, Washington, Pennsylvania, Tennessee, Georgia, and most states with sponsor-accreditation systems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4">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File the sponsor application post-program with a brief explanation of timing. Late fees may apply but applications are routinely accepted.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5">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Modest late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6">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Idaho ($25 late fee after 90 days), Oregon ($40 late fee after 30 days)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7">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Standard fees apply within the window; build the modest late-fee surcharge into the budget if filing post-program.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8">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Self-report only — no firm action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9">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Alaska, Arizona, Connecticut, New Hampshire (in part)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A">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No application needed at all. Provide certificates and let attorneys self-report.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B">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Limited / pre-program preferred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C">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New York (60-day pre-program window; 30-day post-program window for individuals only with good cause), Ohio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D">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If the pre-program window is missed in New York, pursue California first and use Approved Jurisdiction reciprocity. Contact the Ohio Commission directly for post-program submissions.</w:t>
            </w:r>
            <w:r w:rsidDel="00000000" w:rsidR="00000000" w:rsidRPr="00000000">
              <w:rPr>
                <w:rtl w:val="0"/>
              </w:rPr>
            </w:r>
          </w:p>
        </w:tc>
      </w:tr>
    </w:tbl>
    <w:p w:rsidR="00000000" w:rsidDel="00000000" w:rsidP="00000000" w:rsidRDefault="00000000" w:rsidRPr="00000000" w14:paraId="0000006E">
      <w:pPr>
        <w:pStyle w:val="Heading1"/>
        <w:pageBreakBefore w:val="1"/>
        <w:spacing w:after="120" w:before="360" w:lineRule="auto"/>
        <w:rPr>
          <w:rFonts w:ascii="Georgia" w:cs="Georgia" w:eastAsia="Georgia" w:hAnsi="Georgia"/>
        </w:rPr>
      </w:pPr>
      <w:r w:rsidDel="00000000" w:rsidR="00000000" w:rsidRPr="00000000">
        <w:rPr>
          <w:rFonts w:ascii="Georgia" w:cs="Georgia" w:eastAsia="Georgia" w:hAnsi="Georgia"/>
          <w:color w:val="1f3a5f"/>
          <w:sz w:val="36"/>
          <w:szCs w:val="36"/>
          <w:rtl w:val="0"/>
        </w:rPr>
        <w:t xml:space="preserve">PART 4: Master Checklist</w:t>
      </w:r>
      <w:r w:rsidDel="00000000" w:rsidR="00000000" w:rsidRPr="00000000">
        <w:rPr>
          <w:rtl w:val="0"/>
        </w:rPr>
      </w:r>
    </w:p>
    <w:p w:rsidR="00000000" w:rsidDel="00000000" w:rsidP="00000000" w:rsidRDefault="00000000" w:rsidRPr="00000000" w14:paraId="0000006F">
      <w:pPr>
        <w:spacing w:after="20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The checklist below is organized by phase. Items are written so they apply to any firm and any state roster. Adapt as needed for your specific engagement.</w:t>
      </w:r>
      <w:r w:rsidDel="00000000" w:rsidR="00000000" w:rsidRPr="00000000">
        <w:rPr>
          <w:rtl w:val="0"/>
        </w:rPr>
      </w:r>
    </w:p>
    <w:p w:rsidR="00000000" w:rsidDel="00000000" w:rsidP="00000000" w:rsidRDefault="00000000" w:rsidRPr="00000000" w14:paraId="00000070">
      <w:pPr>
        <w:pStyle w:val="Heading2"/>
        <w:spacing w:after="120" w:before="20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Phase 1: Materials Provided by The Billing Coach</w:t>
      </w:r>
      <w:r w:rsidDel="00000000" w:rsidR="00000000" w:rsidRPr="00000000">
        <w:rPr>
          <w:rtl w:val="0"/>
        </w:rPr>
      </w:r>
    </w:p>
    <w:p w:rsidR="00000000" w:rsidDel="00000000" w:rsidP="00000000" w:rsidRDefault="00000000" w:rsidRPr="00000000" w14:paraId="00000071">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Delivered before the workshop. Your team does not need to create any of these:</w:t>
      </w:r>
      <w:r w:rsidDel="00000000" w:rsidR="00000000" w:rsidRPr="00000000">
        <w:rPr>
          <w:rtl w:val="0"/>
        </w:rPr>
      </w:r>
    </w:p>
    <w:p w:rsidR="00000000" w:rsidDel="00000000" w:rsidP="00000000" w:rsidRDefault="00000000" w:rsidRPr="00000000" w14:paraId="00000072">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Finalized timed agenda with ethics credit segments clearly labeled</w:t>
      </w:r>
      <w:r w:rsidDel="00000000" w:rsidR="00000000" w:rsidRPr="00000000">
        <w:rPr>
          <w:rtl w:val="0"/>
        </w:rPr>
      </w:r>
    </w:p>
    <w:p w:rsidR="00000000" w:rsidDel="00000000" w:rsidP="00000000" w:rsidRDefault="00000000" w:rsidRPr="00000000" w14:paraId="00000073">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Slide deck with all CLE-compliant modifications (RPC citations, learning objectives, CLE accreditation slide with Arizona disclaimer, AI policy reference, resources slide)</w:t>
      </w:r>
      <w:r w:rsidDel="00000000" w:rsidR="00000000" w:rsidRPr="00000000">
        <w:rPr>
          <w:rtl w:val="0"/>
        </w:rPr>
      </w:r>
    </w:p>
    <w:p w:rsidR="00000000" w:rsidDel="00000000" w:rsidP="00000000" w:rsidRDefault="00000000" w:rsidRPr="00000000" w14:paraId="00000074">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Resource &amp; Reference Guide (ABA Model Rules, ABA Formal Opinions, case law, state bar billing resources)</w:t>
      </w:r>
      <w:r w:rsidDel="00000000" w:rsidR="00000000" w:rsidRPr="00000000">
        <w:rPr>
          <w:rtl w:val="0"/>
        </w:rPr>
      </w:r>
    </w:p>
    <w:p w:rsidR="00000000" w:rsidDel="00000000" w:rsidP="00000000" w:rsidRDefault="00000000" w:rsidRPr="00000000" w14:paraId="00000075">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Speaker bio and credentials document</w:t>
      </w:r>
      <w:r w:rsidDel="00000000" w:rsidR="00000000" w:rsidRPr="00000000">
        <w:rPr>
          <w:rtl w:val="0"/>
        </w:rPr>
      </w:r>
    </w:p>
    <w:p w:rsidR="00000000" w:rsidDel="00000000" w:rsidP="00000000" w:rsidRDefault="00000000" w:rsidRPr="00000000" w14:paraId="00000076">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Course description (2–3 paragraphs, ethics-framed)</w:t>
      </w:r>
      <w:r w:rsidDel="00000000" w:rsidR="00000000" w:rsidRPr="00000000">
        <w:rPr>
          <w:rtl w:val="0"/>
        </w:rPr>
      </w:r>
    </w:p>
    <w:p w:rsidR="00000000" w:rsidDel="00000000" w:rsidP="00000000" w:rsidRDefault="00000000" w:rsidRPr="00000000" w14:paraId="00000077">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Certificate of Attendance template (general and Arizona-specific versions)</w:t>
      </w:r>
      <w:r w:rsidDel="00000000" w:rsidR="00000000" w:rsidRPr="00000000">
        <w:rPr>
          <w:rtl w:val="0"/>
        </w:rPr>
      </w:r>
    </w:p>
    <w:p w:rsidR="00000000" w:rsidDel="00000000" w:rsidP="00000000" w:rsidRDefault="00000000" w:rsidRPr="00000000" w14:paraId="00000078">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Post-workshop evaluation form template</w:t>
      </w:r>
      <w:r w:rsidDel="00000000" w:rsidR="00000000" w:rsidRPr="00000000">
        <w:rPr>
          <w:rtl w:val="0"/>
        </w:rPr>
      </w:r>
    </w:p>
    <w:p w:rsidR="00000000" w:rsidDel="00000000" w:rsidP="00000000" w:rsidRDefault="00000000" w:rsidRPr="00000000" w14:paraId="00000079">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This CLE Compliance Playbook</w:t>
      </w:r>
      <w:r w:rsidDel="00000000" w:rsidR="00000000" w:rsidRPr="00000000">
        <w:rPr>
          <w:rtl w:val="0"/>
        </w:rPr>
      </w:r>
    </w:p>
    <w:p w:rsidR="00000000" w:rsidDel="00000000" w:rsidP="00000000" w:rsidRDefault="00000000" w:rsidRPr="00000000" w14:paraId="0000007A">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CLE Credit Requirements by State — companion reference guide for all 50 states</w:t>
      </w:r>
      <w:r w:rsidDel="00000000" w:rsidR="00000000" w:rsidRPr="00000000">
        <w:rPr>
          <w:rtl w:val="0"/>
        </w:rPr>
      </w:r>
    </w:p>
    <w:p w:rsidR="00000000" w:rsidDel="00000000" w:rsidP="00000000" w:rsidRDefault="00000000" w:rsidRPr="00000000" w14:paraId="0000007B">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Phase 2: Pre-Workshop — Firm Action Items</w:t>
      </w:r>
      <w:r w:rsidDel="00000000" w:rsidR="00000000" w:rsidRPr="00000000">
        <w:rPr>
          <w:rtl w:val="0"/>
        </w:rPr>
      </w:r>
    </w:p>
    <w:p w:rsidR="00000000" w:rsidDel="00000000" w:rsidP="00000000" w:rsidRDefault="00000000" w:rsidRPr="00000000" w14:paraId="0000007C">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To be completed by the firm’s CLE coordinator or professional development team before the workshop date:</w:t>
      </w:r>
      <w:r w:rsidDel="00000000" w:rsidR="00000000" w:rsidRPr="00000000">
        <w:rPr>
          <w:rtl w:val="0"/>
        </w:rPr>
      </w:r>
    </w:p>
    <w:p w:rsidR="00000000" w:rsidDel="00000000" w:rsidP="00000000" w:rsidRDefault="00000000" w:rsidRPr="00000000" w14:paraId="0000007D">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Roster —</w:t>
      </w:r>
      <w:r w:rsidDel="00000000" w:rsidR="00000000" w:rsidRPr="00000000">
        <w:rPr>
          <w:rFonts w:ascii="Georgia" w:cs="Georgia" w:eastAsia="Georgia" w:hAnsi="Georgia"/>
          <w:sz w:val="22"/>
          <w:szCs w:val="22"/>
          <w:rtl w:val="0"/>
        </w:rPr>
        <w:t xml:space="preserve"> Compile the attendee roster (full name, bar number, state(s) of licensure, email)</w:t>
      </w:r>
      <w:r w:rsidDel="00000000" w:rsidR="00000000" w:rsidRPr="00000000">
        <w:rPr>
          <w:rtl w:val="0"/>
        </w:rPr>
      </w:r>
    </w:p>
    <w:p w:rsidR="00000000" w:rsidDel="00000000" w:rsidP="00000000" w:rsidRDefault="00000000" w:rsidRPr="00000000" w14:paraId="0000007E">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Provider status —</w:t>
      </w:r>
      <w:r w:rsidDel="00000000" w:rsidR="00000000" w:rsidRPr="00000000">
        <w:rPr>
          <w:rFonts w:ascii="Georgia" w:cs="Georgia" w:eastAsia="Georgia" w:hAnsi="Georgia"/>
          <w:sz w:val="22"/>
          <w:szCs w:val="22"/>
          <w:rtl w:val="0"/>
        </w:rPr>
        <w:t xml:space="preserve"> Inventory existing CLE provider/sponsor accounts the firm holds in each relevant state</w:t>
      </w:r>
      <w:r w:rsidDel="00000000" w:rsidR="00000000" w:rsidRPr="00000000">
        <w:rPr>
          <w:rtl w:val="0"/>
        </w:rPr>
      </w:r>
    </w:p>
    <w:p w:rsidR="00000000" w:rsidDel="00000000" w:rsidP="00000000" w:rsidRDefault="00000000" w:rsidRPr="00000000" w14:paraId="0000007F">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Regulatory pattern map —</w:t>
      </w:r>
      <w:r w:rsidDel="00000000" w:rsidR="00000000" w:rsidRPr="00000000">
        <w:rPr>
          <w:rFonts w:ascii="Georgia" w:cs="Georgia" w:eastAsia="Georgia" w:hAnsi="Georgia"/>
          <w:sz w:val="22"/>
          <w:szCs w:val="22"/>
          <w:rtl w:val="0"/>
        </w:rPr>
        <w:t xml:space="preserve"> Identify which of the three regulatory patterns (sponsor-accredited, self-report, hybrid/reciprocity) applies in each state on the roster</w:t>
      </w:r>
      <w:r w:rsidDel="00000000" w:rsidR="00000000" w:rsidRPr="00000000">
        <w:rPr>
          <w:rtl w:val="0"/>
        </w:rPr>
      </w:r>
    </w:p>
    <w:p w:rsidR="00000000" w:rsidDel="00000000" w:rsidP="00000000" w:rsidRDefault="00000000" w:rsidRPr="00000000" w14:paraId="00000080">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Platform check —</w:t>
      </w:r>
      <w:r w:rsidDel="00000000" w:rsidR="00000000" w:rsidRPr="00000000">
        <w:rPr>
          <w:rFonts w:ascii="Georgia" w:cs="Georgia" w:eastAsia="Georgia" w:hAnsi="Georgia"/>
          <w:sz w:val="22"/>
          <w:szCs w:val="22"/>
          <w:rtl w:val="0"/>
        </w:rPr>
        <w:t xml:space="preserve"> Confirm the delivery platform captures login/logout times for attendance verification</w:t>
      </w:r>
      <w:r w:rsidDel="00000000" w:rsidR="00000000" w:rsidRPr="00000000">
        <w:rPr>
          <w:rtl w:val="0"/>
        </w:rPr>
      </w:r>
    </w:p>
    <w:p w:rsidR="00000000" w:rsidDel="00000000" w:rsidP="00000000" w:rsidRDefault="00000000" w:rsidRPr="00000000" w14:paraId="00000081">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Recording —</w:t>
      </w:r>
      <w:r w:rsidDel="00000000" w:rsidR="00000000" w:rsidRPr="00000000">
        <w:rPr>
          <w:rFonts w:ascii="Georgia" w:cs="Georgia" w:eastAsia="Georgia" w:hAnsi="Georgia"/>
          <w:sz w:val="22"/>
          <w:szCs w:val="22"/>
          <w:rtl w:val="0"/>
        </w:rPr>
        <w:t xml:space="preserve"> Confirm whether the workshop will be recorded and where the recording will be stored</w:t>
      </w:r>
      <w:r w:rsidDel="00000000" w:rsidR="00000000" w:rsidRPr="00000000">
        <w:rPr>
          <w:rtl w:val="0"/>
        </w:rPr>
      </w:r>
    </w:p>
    <w:p w:rsidR="00000000" w:rsidDel="00000000" w:rsidP="00000000" w:rsidRDefault="00000000" w:rsidRPr="00000000" w14:paraId="00000082">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California as priority —</w:t>
      </w:r>
      <w:r w:rsidDel="00000000" w:rsidR="00000000" w:rsidRPr="00000000">
        <w:rPr>
          <w:rFonts w:ascii="Georgia" w:cs="Georgia" w:eastAsia="Georgia" w:hAnsi="Georgia"/>
          <w:sz w:val="22"/>
          <w:szCs w:val="22"/>
          <w:rtl w:val="0"/>
        </w:rPr>
        <w:t xml:space="preserve"> File California first if the firm has multi-state attendees — it is the gateway to Hawaii reciprocity and New York’s Approved Jurisdiction pathway, and the two-year retroactive window means it is rarely time-pressured</w:t>
      </w:r>
      <w:r w:rsidDel="00000000" w:rsidR="00000000" w:rsidRPr="00000000">
        <w:rPr>
          <w:rtl w:val="0"/>
        </w:rPr>
      </w:r>
    </w:p>
    <w:p w:rsidR="00000000" w:rsidDel="00000000" w:rsidP="00000000" w:rsidRDefault="00000000" w:rsidRPr="00000000" w14:paraId="00000083">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New York priority —</w:t>
      </w:r>
      <w:r w:rsidDel="00000000" w:rsidR="00000000" w:rsidRPr="00000000">
        <w:rPr>
          <w:rFonts w:ascii="Georgia" w:cs="Georgia" w:eastAsia="Georgia" w:hAnsi="Georgia"/>
          <w:sz w:val="22"/>
          <w:szCs w:val="22"/>
          <w:rtl w:val="0"/>
        </w:rPr>
        <w:t xml:space="preserve"> File New York early or commit to the California reciprocity backup; New York’s windows are the tightest in the country</w:t>
      </w:r>
      <w:r w:rsidDel="00000000" w:rsidR="00000000" w:rsidRPr="00000000">
        <w:rPr>
          <w:rtl w:val="0"/>
        </w:rPr>
      </w:r>
    </w:p>
    <w:p w:rsidR="00000000" w:rsidDel="00000000" w:rsidP="00000000" w:rsidRDefault="00000000" w:rsidRPr="00000000" w14:paraId="00000084">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Other state applications —</w:t>
      </w:r>
      <w:r w:rsidDel="00000000" w:rsidR="00000000" w:rsidRPr="00000000">
        <w:rPr>
          <w:rFonts w:ascii="Georgia" w:cs="Georgia" w:eastAsia="Georgia" w:hAnsi="Georgia"/>
          <w:sz w:val="22"/>
          <w:szCs w:val="22"/>
          <w:rtl w:val="0"/>
        </w:rPr>
        <w:t xml:space="preserve"> File sponsor applications in remaining sponsor-accredited states with at least 30–60 days lead time where possible</w:t>
      </w:r>
      <w:r w:rsidDel="00000000" w:rsidR="00000000" w:rsidRPr="00000000">
        <w:rPr>
          <w:rtl w:val="0"/>
        </w:rPr>
      </w:r>
    </w:p>
    <w:p w:rsidR="00000000" w:rsidDel="00000000" w:rsidP="00000000" w:rsidRDefault="00000000" w:rsidRPr="00000000" w14:paraId="00000085">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Attendee communications —</w:t>
      </w:r>
      <w:r w:rsidDel="00000000" w:rsidR="00000000" w:rsidRPr="00000000">
        <w:rPr>
          <w:rFonts w:ascii="Georgia" w:cs="Georgia" w:eastAsia="Georgia" w:hAnsi="Georgia"/>
          <w:sz w:val="22"/>
          <w:szCs w:val="22"/>
          <w:rtl w:val="0"/>
        </w:rPr>
        <w:t xml:space="preserve"> Distribute a workshop calendar invitation with login link and CLE accreditation information</w:t>
      </w:r>
      <w:r w:rsidDel="00000000" w:rsidR="00000000" w:rsidRPr="00000000">
        <w:rPr>
          <w:rtl w:val="0"/>
        </w:rPr>
      </w:r>
    </w:p>
    <w:p w:rsidR="00000000" w:rsidDel="00000000" w:rsidP="00000000" w:rsidRDefault="00000000" w:rsidRPr="00000000" w14:paraId="00000086">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Phase 3: Day-of and Post-Workshop</w:t>
      </w:r>
      <w:r w:rsidDel="00000000" w:rsidR="00000000" w:rsidRPr="00000000">
        <w:rPr>
          <w:rtl w:val="0"/>
        </w:rPr>
      </w:r>
    </w:p>
    <w:p w:rsidR="00000000" w:rsidDel="00000000" w:rsidP="00000000" w:rsidRDefault="00000000" w:rsidRPr="00000000" w14:paraId="00000087">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Attendance capture —</w:t>
      </w:r>
      <w:r w:rsidDel="00000000" w:rsidR="00000000" w:rsidRPr="00000000">
        <w:rPr>
          <w:rFonts w:ascii="Georgia" w:cs="Georgia" w:eastAsia="Georgia" w:hAnsi="Georgia"/>
          <w:sz w:val="22"/>
          <w:szCs w:val="22"/>
          <w:rtl w:val="0"/>
        </w:rPr>
        <w:t xml:space="preserve"> Capture login/logout data and any required interactive participation evidence</w:t>
      </w:r>
      <w:r w:rsidDel="00000000" w:rsidR="00000000" w:rsidRPr="00000000">
        <w:rPr>
          <w:rtl w:val="0"/>
        </w:rPr>
      </w:r>
    </w:p>
    <w:p w:rsidR="00000000" w:rsidDel="00000000" w:rsidP="00000000" w:rsidRDefault="00000000" w:rsidRPr="00000000" w14:paraId="00000088">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Evaluation —</w:t>
      </w:r>
      <w:r w:rsidDel="00000000" w:rsidR="00000000" w:rsidRPr="00000000">
        <w:rPr>
          <w:rFonts w:ascii="Georgia" w:cs="Georgia" w:eastAsia="Georgia" w:hAnsi="Georgia"/>
          <w:sz w:val="22"/>
          <w:szCs w:val="22"/>
          <w:rtl w:val="0"/>
        </w:rPr>
        <w:t xml:space="preserve"> Distribute the post-workshop evaluation form to all attendees (required in California; recommended everywhere)</w:t>
      </w:r>
      <w:r w:rsidDel="00000000" w:rsidR="00000000" w:rsidRPr="00000000">
        <w:rPr>
          <w:rtl w:val="0"/>
        </w:rPr>
      </w:r>
    </w:p>
    <w:p w:rsidR="00000000" w:rsidDel="00000000" w:rsidP="00000000" w:rsidRDefault="00000000" w:rsidRPr="00000000" w14:paraId="00000089">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Certificates —</w:t>
      </w:r>
      <w:r w:rsidDel="00000000" w:rsidR="00000000" w:rsidRPr="00000000">
        <w:rPr>
          <w:rFonts w:ascii="Georgia" w:cs="Georgia" w:eastAsia="Georgia" w:hAnsi="Georgia"/>
          <w:sz w:val="22"/>
          <w:szCs w:val="22"/>
          <w:rtl w:val="0"/>
        </w:rPr>
        <w:t xml:space="preserve"> Distribute certificates of attendance. Note: California certificates cannot be issued until State Bar approval is received — communicate this delay clearly to CA-licensed attorneys</w:t>
      </w:r>
      <w:r w:rsidDel="00000000" w:rsidR="00000000" w:rsidRPr="00000000">
        <w:rPr>
          <w:rtl w:val="0"/>
        </w:rPr>
      </w:r>
    </w:p>
    <w:p w:rsidR="00000000" w:rsidDel="00000000" w:rsidP="00000000" w:rsidRDefault="00000000" w:rsidRPr="00000000" w14:paraId="0000008A">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Recording distribution —</w:t>
      </w:r>
      <w:r w:rsidDel="00000000" w:rsidR="00000000" w:rsidRPr="00000000">
        <w:rPr>
          <w:rFonts w:ascii="Georgia" w:cs="Georgia" w:eastAsia="Georgia" w:hAnsi="Georgia"/>
          <w:sz w:val="22"/>
          <w:szCs w:val="22"/>
          <w:rtl w:val="0"/>
        </w:rPr>
        <w:t xml:space="preserve"> Send the workshop recording (if applicable) to attendees for internal reference only — not for public posting</w:t>
      </w:r>
      <w:r w:rsidDel="00000000" w:rsidR="00000000" w:rsidRPr="00000000">
        <w:rPr>
          <w:rtl w:val="0"/>
        </w:rPr>
      </w:r>
    </w:p>
    <w:p w:rsidR="00000000" w:rsidDel="00000000" w:rsidP="00000000" w:rsidRDefault="00000000" w:rsidRPr="00000000" w14:paraId="0000008B">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Attendance reporting —</w:t>
      </w:r>
      <w:r w:rsidDel="00000000" w:rsidR="00000000" w:rsidRPr="00000000">
        <w:rPr>
          <w:rFonts w:ascii="Georgia" w:cs="Georgia" w:eastAsia="Georgia" w:hAnsi="Georgia"/>
          <w:sz w:val="22"/>
          <w:szCs w:val="22"/>
          <w:rtl w:val="0"/>
        </w:rPr>
        <w:t xml:space="preserve"> Report attendance to applicable state bars within each state’s deadline (commonly 30 days post-program; see reference table below)</w:t>
      </w:r>
      <w:r w:rsidDel="00000000" w:rsidR="00000000" w:rsidRPr="00000000">
        <w:rPr>
          <w:rtl w:val="0"/>
        </w:rPr>
      </w:r>
    </w:p>
    <w:p w:rsidR="00000000" w:rsidDel="00000000" w:rsidP="00000000" w:rsidRDefault="00000000" w:rsidRPr="00000000" w14:paraId="0000008C">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b w:val="1"/>
          <w:bCs w:val="1"/>
          <w:color w:val="1f3a5f"/>
          <w:sz w:val="22"/>
          <w:szCs w:val="22"/>
          <w:rtl w:val="0"/>
        </w:rPr>
        <w:t xml:space="preserve">Retroactive filings —</w:t>
      </w:r>
      <w:r w:rsidDel="00000000" w:rsidR="00000000" w:rsidRPr="00000000">
        <w:rPr>
          <w:rFonts w:ascii="Georgia" w:cs="Georgia" w:eastAsia="Georgia" w:hAnsi="Georgia"/>
          <w:sz w:val="22"/>
          <w:szCs w:val="22"/>
          <w:rtl w:val="0"/>
        </w:rPr>
        <w:t xml:space="preserve"> Submit any post-program retroactive applications using the strategy outlined in Part 3</w:t>
      </w:r>
      <w:r w:rsidDel="00000000" w:rsidR="00000000" w:rsidRPr="00000000">
        <w:rPr>
          <w:rtl w:val="0"/>
        </w:rPr>
      </w:r>
    </w:p>
    <w:p w:rsidR="00000000" w:rsidDel="00000000" w:rsidP="00000000" w:rsidRDefault="00000000" w:rsidRPr="00000000" w14:paraId="0000008D">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Phase 4: Records Retention</w:t>
      </w:r>
      <w:r w:rsidDel="00000000" w:rsidR="00000000" w:rsidRPr="00000000">
        <w:rPr>
          <w:rtl w:val="0"/>
        </w:rPr>
      </w:r>
    </w:p>
    <w:p w:rsidR="00000000" w:rsidDel="00000000" w:rsidP="00000000" w:rsidRDefault="00000000" w:rsidRPr="00000000" w14:paraId="0000008E">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State retention requirements vary; default to the longest applicable requirement to ensure compliance everywhere:</w:t>
      </w:r>
      <w:r w:rsidDel="00000000" w:rsidR="00000000" w:rsidRPr="00000000">
        <w:rPr>
          <w:rtl w:val="0"/>
        </w:rPr>
      </w:r>
    </w:p>
    <w:p w:rsidR="00000000" w:rsidDel="00000000" w:rsidP="00000000" w:rsidRDefault="00000000" w:rsidRPr="00000000" w14:paraId="0000008F">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Retain Records of Attendance (ROA) for 4 years — California’s requirement, the longest in the country</w:t>
      </w:r>
      <w:r w:rsidDel="00000000" w:rsidR="00000000" w:rsidRPr="00000000">
        <w:rPr>
          <w:rtl w:val="0"/>
        </w:rPr>
      </w:r>
    </w:p>
    <w:p w:rsidR="00000000" w:rsidDel="00000000" w:rsidP="00000000" w:rsidRDefault="00000000" w:rsidRPr="00000000" w14:paraId="00000090">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Retain evaluation forms for 1 year (California requirement)</w:t>
      </w:r>
      <w:r w:rsidDel="00000000" w:rsidR="00000000" w:rsidRPr="00000000">
        <w:rPr>
          <w:rtl w:val="0"/>
        </w:rPr>
      </w:r>
    </w:p>
    <w:p w:rsidR="00000000" w:rsidDel="00000000" w:rsidP="00000000" w:rsidRDefault="00000000" w:rsidRPr="00000000" w14:paraId="00000091">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Retain copies of all submitted course materials, timed agendas, and speaker credentials in case of audit</w:t>
      </w:r>
      <w:r w:rsidDel="00000000" w:rsidR="00000000" w:rsidRPr="00000000">
        <w:rPr>
          <w:rtl w:val="0"/>
        </w:rPr>
      </w:r>
    </w:p>
    <w:p w:rsidR="00000000" w:rsidDel="00000000" w:rsidP="00000000" w:rsidRDefault="00000000" w:rsidRPr="00000000" w14:paraId="00000092">
      <w:pPr>
        <w:spacing w:after="100" w:before="0" w:lineRule="auto"/>
        <w:ind w:left="360" w:firstLine="0"/>
        <w:rPr>
          <w:rFonts w:ascii="Georgia" w:cs="Georgia" w:eastAsia="Georgia" w:hAnsi="Georgia"/>
        </w:rPr>
      </w:pPr>
      <w:r w:rsidDel="00000000" w:rsidR="00000000" w:rsidRPr="00000000">
        <w:rPr>
          <w:rFonts w:ascii="Cardo" w:cs="Cardo" w:eastAsia="Cardo" w:hAnsi="Cardo"/>
          <w:b w:val="1"/>
          <w:bCs w:val="1"/>
          <w:color w:val="1f3a5f"/>
          <w:sz w:val="24"/>
          <w:szCs w:val="24"/>
          <w:rtl w:val="0"/>
        </w:rPr>
        <w:t xml:space="preserve">☐  </w:t>
      </w:r>
      <w:r w:rsidDel="00000000" w:rsidR="00000000" w:rsidRPr="00000000">
        <w:rPr>
          <w:rFonts w:ascii="Georgia" w:cs="Georgia" w:eastAsia="Georgia" w:hAnsi="Georgia"/>
          <w:sz w:val="22"/>
          <w:szCs w:val="22"/>
          <w:rtl w:val="0"/>
        </w:rPr>
        <w:t xml:space="preserve">Retain a record of which attorneys received credit in which state, including credit hours and credit type</w:t>
      </w:r>
      <w:r w:rsidDel="00000000" w:rsidR="00000000" w:rsidRPr="00000000">
        <w:rPr>
          <w:rtl w:val="0"/>
        </w:rPr>
      </w:r>
    </w:p>
    <w:p w:rsidR="00000000" w:rsidDel="00000000" w:rsidP="00000000" w:rsidRDefault="00000000" w:rsidRPr="00000000" w14:paraId="00000093">
      <w:pPr>
        <w:pStyle w:val="Heading1"/>
        <w:pageBreakBefore w:val="1"/>
        <w:spacing w:after="120" w:before="360" w:lineRule="auto"/>
        <w:rPr>
          <w:rFonts w:ascii="Georgia" w:cs="Georgia" w:eastAsia="Georgia" w:hAnsi="Georgia"/>
        </w:rPr>
      </w:pPr>
      <w:r w:rsidDel="00000000" w:rsidR="00000000" w:rsidRPr="00000000">
        <w:rPr>
          <w:rFonts w:ascii="Georgia" w:cs="Georgia" w:eastAsia="Georgia" w:hAnsi="Georgia"/>
          <w:color w:val="1f3a5f"/>
          <w:sz w:val="36"/>
          <w:szCs w:val="36"/>
          <w:rtl w:val="0"/>
        </w:rPr>
        <w:t xml:space="preserve">Quick Reference: Post-Workshop Attendance Reporting</w:t>
      </w:r>
      <w:r w:rsidDel="00000000" w:rsidR="00000000" w:rsidRPr="00000000">
        <w:rPr>
          <w:rtl w:val="0"/>
        </w:rPr>
      </w:r>
    </w:p>
    <w:p w:rsidR="00000000" w:rsidDel="00000000" w:rsidP="00000000" w:rsidRDefault="00000000" w:rsidRPr="00000000" w14:paraId="00000094">
      <w:pPr>
        <w:spacing w:after="16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The table below summarizes attendance reporting requirements by regulatory pattern. Most sponsor-accredited states require reporting within 30 days of the program. Self-report states require no firm-side reporting. For state-specific deadlines, see the companion 50-state guide.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00"/>
        <w:gridCol w:w="2460"/>
        <w:tblGridChange w:id="0">
          <w:tblGrid>
            <w:gridCol w:w="2400"/>
            <w:gridCol w:w="4500"/>
            <w:gridCol w:w="2460"/>
          </w:tblGrid>
        </w:tblGridChange>
      </w:tblGrid>
      <w:tr>
        <w:trPr>
          <w:cantSplit w:val="0"/>
          <w:tblHeader w:val="1"/>
        </w:trPr>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95">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State Type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96">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Reporting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97">
            <w:pPr>
              <w:spacing w:after="0" w:before="0" w:lineRule="auto"/>
              <w:rPr>
                <w:rFonts w:ascii="Georgia" w:cs="Georgia" w:eastAsia="Georgia" w:hAnsi="Georgia"/>
              </w:rPr>
            </w:pPr>
            <w:r w:rsidDel="00000000" w:rsidR="00000000" w:rsidRPr="00000000">
              <w:rPr>
                <w:rFonts w:ascii="Georgia" w:cs="Georgia" w:eastAsia="Georgia" w:hAnsi="Georgia"/>
                <w:b w:val="1"/>
                <w:bCs w:val="1"/>
                <w:color w:val="ffffff"/>
                <w:sz w:val="18"/>
                <w:szCs w:val="18"/>
                <w:rtl w:val="0"/>
              </w:rPr>
              <w:t xml:space="preserve">Examples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8">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30-day sponsor reporting</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9">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Sponsor must submit attendance to the state CLE board within 30 days of the program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A">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Nevada, North Carolina, Ohio, Oregon, Tennessee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B">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Reporting upon approval</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C">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Provider maintains attendance records and submits at the time of (or after) accreditation approval. Certificates may not issue until approval received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D">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California, Idaho</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E">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Monthly or batch reporting</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F">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Provider reports attendance per the state board’s recurring schedule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0">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Illinois (PCAM-monthly)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1">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Attorney self-report (no sponsor reporting)</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2">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Sponsor provides certificate; attorney reports individually on annual or biennial registration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3">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Alaska, Arizona, Connecticut, Hawaii, New Hampshire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4">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Birthday-cycle reporting</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5">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Reporting tied to attorney’s birth month or admission anniversary; sponsor reporting requirements depend on accreditation type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6">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New York, Texas, Utah</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7">
            <w:pPr>
              <w:spacing w:after="0" w:before="0" w:lineRule="auto"/>
              <w:rPr>
                <w:rFonts w:ascii="Georgia" w:cs="Georgia" w:eastAsia="Georgia" w:hAnsi="Georgia"/>
              </w:rPr>
            </w:pPr>
            <w:r w:rsidDel="00000000" w:rsidR="00000000" w:rsidRPr="00000000">
              <w:rPr>
                <w:rFonts w:ascii="Georgia" w:cs="Georgia" w:eastAsia="Georgia" w:hAnsi="Georgia"/>
                <w:b w:val="1"/>
                <w:bCs w:val="1"/>
                <w:sz w:val="16"/>
                <w:szCs w:val="16"/>
                <w:rtl w:val="0"/>
              </w:rPr>
              <w:t xml:space="preserve">No reporting (no MCLE)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8">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No reporting required; certificates issued for personal records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9">
            <w:pPr>
              <w:spacing w:after="0" w:before="0" w:lineRule="auto"/>
              <w:rPr>
                <w:rFonts w:ascii="Georgia" w:cs="Georgia" w:eastAsia="Georgia" w:hAnsi="Georgia"/>
              </w:rPr>
            </w:pPr>
            <w:r w:rsidDel="00000000" w:rsidR="00000000" w:rsidRPr="00000000">
              <w:rPr>
                <w:rFonts w:ascii="Georgia" w:cs="Georgia" w:eastAsia="Georgia" w:hAnsi="Georgia"/>
                <w:sz w:val="16"/>
                <w:szCs w:val="16"/>
                <w:rtl w:val="0"/>
              </w:rPr>
              <w:t xml:space="preserve">Maryland, Massachusetts, Michigan, South Dakota</w:t>
            </w:r>
            <w:r w:rsidDel="00000000" w:rsidR="00000000" w:rsidRPr="00000000">
              <w:rPr>
                <w:rtl w:val="0"/>
              </w:rPr>
            </w:r>
          </w:p>
        </w:tc>
      </w:tr>
    </w:tbl>
    <w:p w:rsidR="00000000" w:rsidDel="00000000" w:rsidP="00000000" w:rsidRDefault="00000000" w:rsidRPr="00000000" w14:paraId="000000AA">
      <w:pPr>
        <w:pStyle w:val="Heading2"/>
        <w:spacing w:after="120" w:before="240" w:lineRule="auto"/>
        <w:rPr>
          <w:rFonts w:ascii="Georgia" w:cs="Georgia" w:eastAsia="Georgia" w:hAnsi="Georgia"/>
        </w:rPr>
      </w:pPr>
      <w:r w:rsidDel="00000000" w:rsidR="00000000" w:rsidRPr="00000000">
        <w:rPr>
          <w:rFonts w:ascii="Georgia" w:cs="Georgia" w:eastAsia="Georgia" w:hAnsi="Georgia"/>
          <w:color w:val="1f3a5f"/>
          <w:sz w:val="28"/>
          <w:szCs w:val="28"/>
          <w:rtl w:val="0"/>
        </w:rPr>
        <w:t xml:space="preserve">Records Retention at a Glance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12" w:val="single"/>
              <w:left w:color="b8860b" w:space="0" w:sz="12" w:val="single"/>
              <w:bottom w:color="b8860b" w:space="0" w:sz="12" w:val="single"/>
              <w:right w:color="b8860b" w:space="0" w:sz="12" w:val="single"/>
            </w:tcBorders>
            <w:shd w:fill="f5f1e8" w:val="clear"/>
            <w:tcMar>
              <w:top w:w="200.0" w:type="dxa"/>
              <w:left w:w="240.0" w:type="dxa"/>
              <w:bottom w:w="200.0" w:type="dxa"/>
              <w:right w:w="240.0" w:type="dxa"/>
            </w:tcMar>
          </w:tcPr>
          <w:p w:rsidR="00000000" w:rsidDel="00000000" w:rsidP="00000000" w:rsidRDefault="00000000" w:rsidRPr="00000000" w14:paraId="000000AB">
            <w:pPr>
              <w:spacing w:after="100" w:before="0" w:lineRule="auto"/>
              <w:rPr>
                <w:rFonts w:ascii="Georgia" w:cs="Georgia" w:eastAsia="Georgia" w:hAnsi="Georgia"/>
              </w:rPr>
            </w:pPr>
            <w:r w:rsidDel="00000000" w:rsidR="00000000" w:rsidRPr="00000000">
              <w:rPr>
                <w:rFonts w:ascii="Georgia" w:cs="Georgia" w:eastAsia="Georgia" w:hAnsi="Georgia"/>
                <w:b w:val="1"/>
                <w:bCs w:val="1"/>
                <w:color w:val="1f3a5f"/>
                <w:sz w:val="22"/>
                <w:szCs w:val="22"/>
                <w:rtl w:val="0"/>
              </w:rPr>
              <w:t xml:space="preserve">Default to California’s requirements — they’re the strictest. </w:t>
            </w:r>
            <w:r w:rsidDel="00000000" w:rsidR="00000000" w:rsidRPr="00000000">
              <w:rPr>
                <w:rFonts w:ascii="Georgia" w:cs="Georgia" w:eastAsia="Georgia" w:hAnsi="Georgia"/>
                <w:sz w:val="22"/>
                <w:szCs w:val="22"/>
                <w:rtl w:val="0"/>
              </w:rPr>
              <w:t xml:space="preserve">California requires providers to maintain Records of Attendance (ROA) for 4 years and Evaluation Forms for 1 year. Following California’s retention rules across the board ensures compliance with every other jurisdiction in the country.</w:t>
            </w:r>
            <w:r w:rsidDel="00000000" w:rsidR="00000000" w:rsidRPr="00000000">
              <w:rPr>
                <w:rtl w:val="0"/>
              </w:rPr>
            </w:r>
          </w:p>
        </w:tc>
      </w:tr>
    </w:tbl>
    <w:p w:rsidR="00000000" w:rsidDel="00000000" w:rsidP="00000000" w:rsidRDefault="00000000" w:rsidRPr="00000000" w14:paraId="000000AC">
      <w:pPr>
        <w:spacing w:after="0" w:before="480" w:lineRule="auto"/>
        <w:rPr>
          <w:rFonts w:ascii="Georgia" w:cs="Georgia" w:eastAsia="Georgia" w:hAnsi="Georgia"/>
        </w:rPr>
      </w:pPr>
      <w:r w:rsidDel="00000000" w:rsidR="00000000" w:rsidRPr="00000000">
        <w:rPr>
          <w:rtl w:val="0"/>
        </w:rPr>
      </w:r>
    </w:p>
    <w:p w:rsidR="00000000" w:rsidDel="00000000" w:rsidP="00000000" w:rsidRDefault="00000000" w:rsidRPr="00000000" w14:paraId="000000AD">
      <w:pPr>
        <w:pStyle w:val="Heading1"/>
        <w:spacing w:after="120" w:before="240" w:lineRule="auto"/>
        <w:rPr>
          <w:rFonts w:ascii="Georgia" w:cs="Georgia" w:eastAsia="Georgia" w:hAnsi="Georgia"/>
        </w:rPr>
      </w:pPr>
      <w:r w:rsidDel="00000000" w:rsidR="00000000" w:rsidRPr="00000000">
        <w:rPr>
          <w:rFonts w:ascii="Georgia" w:cs="Georgia" w:eastAsia="Georgia" w:hAnsi="Georgia"/>
          <w:color w:val="1f3a5f"/>
          <w:sz w:val="36"/>
          <w:szCs w:val="36"/>
          <w:rtl w:val="0"/>
        </w:rPr>
        <w:t xml:space="preserve">Questions?</w:t>
      </w:r>
      <w:r w:rsidDel="00000000" w:rsidR="00000000" w:rsidRPr="00000000">
        <w:rPr>
          <w:rtl w:val="0"/>
        </w:rPr>
      </w:r>
    </w:p>
    <w:p w:rsidR="00000000" w:rsidDel="00000000" w:rsidP="00000000" w:rsidRDefault="00000000" w:rsidRPr="00000000" w14:paraId="000000AE">
      <w:pPr>
        <w:spacing w:after="120" w:before="0" w:lineRule="auto"/>
        <w:rPr>
          <w:rFonts w:ascii="Georgia" w:cs="Georgia" w:eastAsia="Georgia" w:hAnsi="Georgia"/>
        </w:rPr>
      </w:pPr>
      <w:r w:rsidDel="00000000" w:rsidR="00000000" w:rsidRPr="00000000">
        <w:rPr>
          <w:rFonts w:ascii="Georgia" w:cs="Georgia" w:eastAsia="Georgia" w:hAnsi="Georgia"/>
          <w:sz w:val="22"/>
          <w:szCs w:val="22"/>
          <w:rtl w:val="0"/>
        </w:rPr>
        <w:t xml:space="preserve">For questions about this playbook, the Billing Workshop, or to coordinate CLE submission materials and accreditation support for a firmwide engagement, contact:</w:t>
      </w:r>
      <w:r w:rsidDel="00000000" w:rsidR="00000000" w:rsidRPr="00000000">
        <w:rPr>
          <w:rtl w:val="0"/>
        </w:rPr>
      </w:r>
    </w:p>
    <w:p w:rsidR="00000000" w:rsidDel="00000000" w:rsidP="00000000" w:rsidRDefault="00000000" w:rsidRPr="00000000" w14:paraId="000000AF">
      <w:pPr>
        <w:spacing w:after="60" w:before="200" w:lineRule="auto"/>
        <w:jc w:val="center"/>
        <w:rPr>
          <w:rFonts w:ascii="Georgia" w:cs="Georgia" w:eastAsia="Georgia" w:hAnsi="Georgia"/>
        </w:rPr>
      </w:pPr>
      <w:r w:rsidDel="00000000" w:rsidR="00000000" w:rsidRPr="00000000">
        <w:rPr>
          <w:rFonts w:ascii="Georgia" w:cs="Georgia" w:eastAsia="Georgia" w:hAnsi="Georgia"/>
          <w:b w:val="1"/>
          <w:bCs w:val="1"/>
          <w:color w:val="1f3a5f"/>
          <w:sz w:val="26"/>
          <w:szCs w:val="26"/>
          <w:rtl w:val="0"/>
        </w:rPr>
        <w:t xml:space="preserve">Molly Kremer, Esq.</w:t>
      </w:r>
      <w:r w:rsidDel="00000000" w:rsidR="00000000" w:rsidRPr="00000000">
        <w:rPr>
          <w:rtl w:val="0"/>
        </w:rPr>
      </w:r>
    </w:p>
    <w:p w:rsidR="00000000" w:rsidDel="00000000" w:rsidP="00000000" w:rsidRDefault="00000000" w:rsidRPr="00000000" w14:paraId="000000B0">
      <w:pPr>
        <w:spacing w:after="60" w:before="0" w:lineRule="auto"/>
        <w:jc w:val="center"/>
        <w:rPr>
          <w:rFonts w:ascii="Georgia" w:cs="Georgia" w:eastAsia="Georgia" w:hAnsi="Georgia"/>
        </w:rPr>
      </w:pPr>
      <w:r w:rsidDel="00000000" w:rsidR="00000000" w:rsidRPr="00000000">
        <w:rPr>
          <w:rFonts w:ascii="Georgia" w:cs="Georgia" w:eastAsia="Georgia" w:hAnsi="Georgia"/>
          <w:color w:val="b8860b"/>
          <w:sz w:val="24"/>
          <w:szCs w:val="24"/>
          <w:rtl w:val="0"/>
        </w:rPr>
        <w:t xml:space="preserve">The Billing Coach</w:t>
      </w:r>
      <w:r w:rsidDel="00000000" w:rsidR="00000000" w:rsidRPr="00000000">
        <w:rPr>
          <w:rtl w:val="0"/>
        </w:rPr>
      </w:r>
    </w:p>
    <w:p w:rsidR="00000000" w:rsidDel="00000000" w:rsidP="00000000" w:rsidRDefault="00000000" w:rsidRPr="00000000" w14:paraId="000000B1">
      <w:pPr>
        <w:spacing w:after="60" w:before="0" w:lineRule="auto"/>
        <w:jc w:val="center"/>
        <w:rPr>
          <w:rFonts w:ascii="Georgia" w:cs="Georgia" w:eastAsia="Georgia" w:hAnsi="Georgia"/>
        </w:rPr>
      </w:pPr>
      <w:r w:rsidDel="00000000" w:rsidR="00000000" w:rsidRPr="00000000">
        <w:rPr>
          <w:rFonts w:ascii="Georgia" w:cs="Georgia" w:eastAsia="Georgia" w:hAnsi="Georgia"/>
          <w:sz w:val="22"/>
          <w:szCs w:val="22"/>
          <w:rtl w:val="0"/>
        </w:rPr>
        <w:t xml:space="preserve">info@thebillingcoach.com  |  thebillingcoach.com</w:t>
      </w:r>
      <w:r w:rsidDel="00000000" w:rsidR="00000000" w:rsidRPr="00000000">
        <w:rPr>
          <w:rtl w:val="0"/>
        </w:rPr>
      </w:r>
    </w:p>
    <w:p w:rsidR="00000000" w:rsidDel="00000000" w:rsidP="00000000" w:rsidRDefault="00000000" w:rsidRPr="00000000" w14:paraId="000000B2">
      <w:pPr>
        <w:spacing w:after="0" w:before="240" w:lineRule="auto"/>
        <w:jc w:val="center"/>
        <w:rPr>
          <w:rFonts w:ascii="Georgia" w:cs="Georgia" w:eastAsia="Georgia" w:hAnsi="Georgia"/>
        </w:rPr>
      </w:pPr>
      <w:r w:rsidDel="00000000" w:rsidR="00000000" w:rsidRPr="00000000">
        <w:rPr>
          <w:rFonts w:ascii="Georgia" w:cs="Georgia" w:eastAsia="Georgia" w:hAnsi="Georgia"/>
          <w:b w:val="1"/>
          <w:bCs w:val="1"/>
          <w:color w:val="b8860b"/>
          <w:sz w:val="24"/>
          <w:szCs w:val="24"/>
          <w:rtl w:val="0"/>
        </w:rPr>
        <w:t xml:space="preserve">Bill it like you mean it. It’s time.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pacing w:after="0" w:before="0" w:lineRule="auto"/>
      <w:jc w:val="center"/>
      <w:rPr/>
    </w:pPr>
    <w:r w:rsidDel="00000000" w:rsidR="00000000" w:rsidRPr="00000000">
      <w:rPr>
        <w:rFonts w:ascii="Calibri" w:cs="Calibri" w:eastAsia="Calibri" w:hAnsi="Calibri"/>
        <w:color w:val="777777"/>
        <w:sz w:val="16"/>
        <w:szCs w:val="16"/>
        <w:rtl w:val="0"/>
      </w:rPr>
      <w:t xml:space="preserve">Page </w:t>
    </w:r>
    <w:r w:rsidDel="00000000" w:rsidR="00000000" w:rsidRPr="00000000">
      <w:rPr>
        <w:rFonts w:ascii="Calibri" w:cs="Calibri" w:eastAsia="Calibri" w:hAnsi="Calibri"/>
        <w:color w:val="777777"/>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777777"/>
        <w:sz w:val="16"/>
        <w:szCs w:val="16"/>
        <w:rtl w:val="0"/>
      </w:rPr>
      <w:t xml:space="preserve"> of </w:t>
    </w:r>
    <w:r w:rsidDel="00000000" w:rsidR="00000000" w:rsidRPr="00000000">
      <w:rPr>
        <w:rFonts w:ascii="Calibri" w:cs="Calibri" w:eastAsia="Calibri" w:hAnsi="Calibri"/>
        <w:color w:val="777777"/>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spacing w:after="0" w:before="0" w:lineRule="auto"/>
      <w:jc w:val="right"/>
      <w:rPr/>
    </w:pPr>
    <w:r w:rsidDel="00000000" w:rsidR="00000000" w:rsidRPr="00000000">
      <w:rPr>
        <w:rFonts w:ascii="Calibri" w:cs="Calibri" w:eastAsia="Calibri" w:hAnsi="Calibri"/>
        <w:color w:val="777777"/>
        <w:sz w:val="16"/>
        <w:szCs w:val="16"/>
        <w:rtl w:val="0"/>
      </w:rPr>
      <w:t xml:space="preserve">CLE Compliance Playbook  |  Molly Kremer, Esq. — The Billing Coach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b8860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