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C97"/>
          <w:sz w:val="52"/>
        </w:rPr>
        <w:t>The Neuro-Bridge Framework</w:t>
      </w:r>
    </w:p>
    <w:p>
      <w:pPr>
        <w:jc w:val="center"/>
      </w:pPr>
      <w:r>
        <w:rPr>
          <w:color w:val="2C3E50"/>
          <w:sz w:val="32"/>
        </w:rPr>
        <w:t>A Large-Scale EEG Biomarker Study for Early Detection</w:t>
        <w:br/>
        <w:t>of Alzheimer's Disease Through Neural Rhythm Decay Analysis</w:t>
      </w:r>
    </w:p>
    <w:p/>
    <w:p>
      <w:pPr>
        <w:jc w:val="center"/>
      </w:pPr>
      <w:r>
        <w:rPr>
          <w:b/>
          <w:sz w:val="36"/>
        </w:rPr>
        <w:t>Mohan Krishna</w:t>
      </w:r>
    </w:p>
    <w:p>
      <w:pPr>
        <w:jc w:val="center"/>
      </w:pPr>
      <w:r>
        <w:rPr>
          <w:i/>
          <w:sz w:val="26"/>
        </w:rPr>
        <w:t>Independent Neuroscience Research</w:t>
        <w:br/>
        <w:t>Project Neuro-Bridge</w:t>
      </w:r>
    </w:p>
    <w:p/>
    <w:p>
      <w:pPr>
        <w:jc w:val="center"/>
      </w:pPr>
      <w:r>
        <w:rPr>
          <w:sz w:val="28"/>
        </w:rPr>
        <w:t>May 2026</w:t>
      </w:r>
    </w:p>
    <w:p/>
    <w:p>
      <w:pPr>
        <w:jc w:val="center"/>
      </w:pPr>
      <w:r>
        <w:rPr>
          <w:color w:val="7F8C8D"/>
          <w:sz w:val="22"/>
        </w:rPr>
        <w:t>Total Subjects Analyzed: 161 | Total Data Processed: 28.3 GB</w:t>
      </w:r>
    </w:p>
    <w:p>
      <w:r>
        <w:br w:type="page"/>
      </w:r>
    </w:p>
    <w:p>
      <w:pPr>
        <w:pStyle w:val="Heading1"/>
      </w:pPr>
      <w:r>
        <w:t>Table of Contents</w:t>
      </w:r>
    </w:p>
    <w:p>
      <w:pPr>
        <w:spacing w:after="40"/>
      </w:pPr>
      <w:r>
        <w:rPr>
          <w:b/>
          <w:sz w:val="22"/>
        </w:rPr>
        <w:t>1.  Abstract</w:t>
      </w:r>
    </w:p>
    <w:p>
      <w:pPr>
        <w:spacing w:after="40"/>
      </w:pPr>
      <w:r>
        <w:rPr>
          <w:b/>
          <w:sz w:val="22"/>
        </w:rPr>
        <w:t>2.  Introduction</w:t>
      </w:r>
    </w:p>
    <w:p>
      <w:pPr>
        <w:spacing w:after="40"/>
      </w:pPr>
      <w:r>
        <w:rPr>
          <w:sz w:val="22"/>
        </w:rPr>
        <w:t>2.1     Background and Significance</w:t>
      </w:r>
    </w:p>
    <w:p>
      <w:pPr>
        <w:spacing w:after="40"/>
      </w:pPr>
      <w:r>
        <w:rPr>
          <w:sz w:val="22"/>
        </w:rPr>
        <w:t>2.2     The Oscillatory Hypothesis</w:t>
      </w:r>
    </w:p>
    <w:p>
      <w:pPr>
        <w:spacing w:after="40"/>
      </w:pPr>
      <w:r>
        <w:rPr>
          <w:sz w:val="22"/>
        </w:rPr>
        <w:t>2.3     Study Objectives</w:t>
      </w:r>
    </w:p>
    <w:p>
      <w:pPr>
        <w:spacing w:after="40"/>
      </w:pPr>
      <w:r>
        <w:rPr>
          <w:b/>
          <w:sz w:val="22"/>
        </w:rPr>
        <w:t>3.  Literature Review</w:t>
      </w:r>
    </w:p>
    <w:p>
      <w:pPr>
        <w:spacing w:after="40"/>
      </w:pPr>
      <w:r>
        <w:rPr>
          <w:sz w:val="22"/>
        </w:rPr>
        <w:t>3.1     EEG in Alzheimer's Research</w:t>
      </w:r>
    </w:p>
    <w:p>
      <w:pPr>
        <w:spacing w:after="40"/>
      </w:pPr>
      <w:r>
        <w:rPr>
          <w:sz w:val="22"/>
        </w:rPr>
        <w:t>3.2     Alpha Rhythm and Cognitive Function</w:t>
      </w:r>
    </w:p>
    <w:p>
      <w:pPr>
        <w:spacing w:after="40"/>
      </w:pPr>
      <w:r>
        <w:rPr>
          <w:sz w:val="22"/>
        </w:rPr>
        <w:t>3.3     Gap in Current Knowledge</w:t>
      </w:r>
    </w:p>
    <w:p>
      <w:pPr>
        <w:spacing w:after="40"/>
      </w:pPr>
      <w:r>
        <w:rPr>
          <w:b/>
          <w:sz w:val="22"/>
        </w:rPr>
        <w:t>4.  Materials and Methods</w:t>
      </w:r>
    </w:p>
    <w:p>
      <w:pPr>
        <w:spacing w:after="40"/>
      </w:pPr>
      <w:r>
        <w:rPr>
          <w:sz w:val="22"/>
        </w:rPr>
        <w:t>4.1     Dataset Descriptions</w:t>
      </w:r>
    </w:p>
    <w:p>
      <w:pPr>
        <w:spacing w:after="40"/>
      </w:pPr>
      <w:r>
        <w:rPr>
          <w:sz w:val="22"/>
        </w:rPr>
        <w:t>4.2     Signal Processing Pipeline</w:t>
      </w:r>
    </w:p>
    <w:p>
      <w:pPr>
        <w:spacing w:after="40"/>
      </w:pPr>
      <w:r>
        <w:rPr>
          <w:sz w:val="22"/>
        </w:rPr>
        <w:t>4.3     Statistical Analysis</w:t>
      </w:r>
    </w:p>
    <w:p>
      <w:pPr>
        <w:spacing w:after="40"/>
      </w:pPr>
      <w:r>
        <w:rPr>
          <w:b/>
          <w:sz w:val="22"/>
        </w:rPr>
        <w:t>5.  Results</w:t>
      </w:r>
    </w:p>
    <w:p>
      <w:pPr>
        <w:spacing w:after="40"/>
      </w:pPr>
      <w:r>
        <w:rPr>
          <w:sz w:val="22"/>
        </w:rPr>
        <w:t>5.1     Healthy Population Baseline</w:t>
      </w:r>
    </w:p>
    <w:p>
      <w:pPr>
        <w:spacing w:after="40"/>
      </w:pPr>
      <w:r>
        <w:rPr>
          <w:sz w:val="22"/>
        </w:rPr>
        <w:t>5.2     Alzheimer's Disease Population</w:t>
      </w:r>
    </w:p>
    <w:p>
      <w:pPr>
        <w:spacing w:after="40"/>
      </w:pPr>
      <w:r>
        <w:rPr>
          <w:sz w:val="22"/>
        </w:rPr>
        <w:t>5.3     Cognitive-Electrophysiological Correlation</w:t>
      </w:r>
    </w:p>
    <w:p>
      <w:pPr>
        <w:spacing w:after="40"/>
      </w:pPr>
      <w:r>
        <w:rPr>
          <w:sz w:val="22"/>
        </w:rPr>
        <w:t>5.4     Population-Level Comparison</w:t>
      </w:r>
    </w:p>
    <w:p>
      <w:pPr>
        <w:spacing w:after="40"/>
      </w:pPr>
      <w:r>
        <w:rPr>
          <w:b/>
          <w:sz w:val="22"/>
        </w:rPr>
        <w:t>6.  Discussion</w:t>
      </w:r>
    </w:p>
    <w:p>
      <w:pPr>
        <w:spacing w:after="40"/>
      </w:pPr>
      <w:r>
        <w:rPr>
          <w:sz w:val="22"/>
        </w:rPr>
        <w:t>6.1     The Unified Rhythm-Decay Theory</w:t>
      </w:r>
    </w:p>
    <w:p>
      <w:pPr>
        <w:spacing w:after="40"/>
      </w:pPr>
      <w:r>
        <w:rPr>
          <w:sz w:val="22"/>
        </w:rPr>
        <w:t>6.2     Clinical Implications</w:t>
      </w:r>
    </w:p>
    <w:p>
      <w:pPr>
        <w:spacing w:after="40"/>
      </w:pPr>
      <w:r>
        <w:rPr>
          <w:sz w:val="22"/>
        </w:rPr>
        <w:t>6.3     Limitations</w:t>
      </w:r>
    </w:p>
    <w:p>
      <w:pPr>
        <w:spacing w:after="40"/>
      </w:pPr>
      <w:r>
        <w:rPr>
          <w:sz w:val="22"/>
        </w:rPr>
        <w:t>6.4     Comparison with Prior Literature</w:t>
      </w:r>
    </w:p>
    <w:p>
      <w:pPr>
        <w:spacing w:after="40"/>
      </w:pPr>
      <w:r>
        <w:rPr>
          <w:b/>
          <w:sz w:val="22"/>
        </w:rPr>
        <w:t>7.  Future Development</w:t>
      </w:r>
    </w:p>
    <w:p>
      <w:pPr>
        <w:spacing w:after="40"/>
      </w:pPr>
      <w:r>
        <w:rPr>
          <w:sz w:val="22"/>
        </w:rPr>
        <w:t>7.1     AI Diagnostic Model</w:t>
      </w:r>
    </w:p>
    <w:p>
      <w:pPr>
        <w:spacing w:after="40"/>
      </w:pPr>
      <w:r>
        <w:rPr>
          <w:sz w:val="22"/>
        </w:rPr>
        <w:t>7.2     Clinical Hospital Validation</w:t>
      </w:r>
    </w:p>
    <w:p>
      <w:pPr>
        <w:spacing w:after="40"/>
      </w:pPr>
      <w:r>
        <w:rPr>
          <w:sz w:val="22"/>
        </w:rPr>
        <w:t>7.3     Global Deployment Roadmap</w:t>
      </w:r>
    </w:p>
    <w:p>
      <w:pPr>
        <w:spacing w:after="40"/>
      </w:pPr>
      <w:r>
        <w:rPr>
          <w:b/>
          <w:sz w:val="22"/>
        </w:rPr>
        <w:t>8.  Conclusion</w:t>
      </w:r>
    </w:p>
    <w:p>
      <w:pPr>
        <w:spacing w:after="40"/>
      </w:pPr>
      <w:r>
        <w:rPr>
          <w:b/>
          <w:sz w:val="22"/>
        </w:rPr>
        <w:t>9.  References</w:t>
      </w:r>
    </w:p>
    <w:p>
      <w:r>
        <w:br w:type="page"/>
      </w:r>
    </w:p>
    <w:p>
      <w:pPr>
        <w:pStyle w:val="Heading1"/>
      </w:pPr>
      <w:r>
        <w:t>1. Abstract</w:t>
      </w:r>
    </w:p>
    <w:p>
      <w:r>
        <w:t>Alzheimer's disease (AD) remains one of the most devastating neurodegenerative disorders worldwide, affecting over 55 million people. Current diagnostic methods rely on expensive neuroimaging technologies such as MRI and PET scans, which are typically deployed only after significant, irreversible cognitive decline has already occurred. This study presents a novel, large-scale electroencephalographic (EEG) biomarker approach for early Alzheimer's detection by quantifying the systematic degradation of neural oscillatory rhythms — a phenomenon we term the "Rhythm-Decay Signature."</w:t>
      </w:r>
    </w:p>
    <w:p>
      <w:r>
        <w:t>We analyzed 28.3 gigabytes of raw electrophysiological data from 161 human subjects across three clinical groups: Healthy Controls (N=107), confirmed Alzheimer's Disease patients (N=35), and Other Dementia patients including Frontotemporal Dementia and Parkinson's Disease (N=19). Using Power Spectral Density (PSD) analysis with Welch's method, we established a population-level "Healthy Rhythm Baseline" of 9.87 Hz from 53 cognitively normal subjects and demonstrated a statistically significant frequency shift to 8.35 Hz in the Alzheimer's population — representing a 15.4% reduction in dominant oscillatory speed.</w:t>
      </w:r>
    </w:p>
    <w:p>
      <w:r>
        <w:t>Furthermore, we linked this frequency shift directly to cognitive performance using Montreal Cognitive Assessment (MoCa) scores from 29 AD patients, establishing a quantitative bridge between electrophysiological biomarkers and clinical dementia severity. Patients with peak frequencies below 8 Hz consistently exhibited MoCa scores below 15 (severe cognitive impairment), while those maintaining frequencies above 9 Hz scored above 18 (mild impairment).</w:t>
      </w:r>
    </w:p>
    <w:p>
      <w:r>
        <w:t>Based on these findings, we propose the "Unified Rhythm-Decay Theory," which frames Alzheimer's disease as a disorder of neural synchronization detectable through progressive slowing of cortical oscillations. We further outline a five-phase development roadmap, including the construction of an AI-powered diagnostic engine, clinical hospital validation trials, and a global deployment strategy for affordable, non-invasive Alzheimer's screening.</w:t>
      </w:r>
    </w:p>
    <w:p>
      <w:r>
        <w:rPr>
          <w:b/>
        </w:rPr>
        <w:t xml:space="preserve">Keywords: </w:t>
      </w:r>
      <w:r>
        <w:t>Alzheimer's Disease, EEG Biomarker, Alpha Rhythm, Theta Slowing, Power Spectral Density, MoCa, Neural Oscillations, Neurodegenerative Disease, Machine Learning, Digital Twin Diagnostics</w:t>
      </w:r>
    </w:p>
    <w:p>
      <w:r>
        <w:br w:type="page"/>
      </w:r>
    </w:p>
    <w:p>
      <w:pPr>
        <w:pStyle w:val="Heading1"/>
      </w:pPr>
      <w:r>
        <w:t>2. Introduction</w:t>
      </w:r>
    </w:p>
    <w:p>
      <w:pPr>
        <w:pStyle w:val="Heading2"/>
      </w:pPr>
      <w:r>
        <w:t>2.1 Background and Significance</w:t>
      </w:r>
    </w:p>
    <w:p>
      <w:r>
        <w:t>Alzheimer's disease (AD) is the leading cause of dementia globally, accounting for 60-70% of all dementia cases. According to the World Health Organization (2023), approximately 55 million people worldwide currently live with dementia, with nearly 10 million new cases diagnosed each year. The global economic burden of dementia exceeds $1.3 trillion annually, and this figure is projected to reach $2.8 trillion by 2030. Beyond the economic impact, the human cost is immeasurable — Alzheimer's systematically dismantles a person's identity, memories, and independence.</w:t>
      </w:r>
    </w:p>
    <w:p>
      <w:r>
        <w:t>The disease is characterized by progressive neuronal loss, synaptic dysfunction, and the accumulation of amyloid-beta (Aβ) plaques and neurofibrillary tau tangles in the brain. The hippocampus — the brain's primary memory center — is among the first regions affected, followed by the entorhinal cortex and eventually the entire cerebral cortex. This progressive destruction follows a predictable pattern known as Braak staging, beginning in the medial temporal lobe and spreading outward over a period of 10-20 years.</w:t>
      </w:r>
    </w:p>
    <w:p>
      <w:r>
        <w:t>Despite decades of intensive research, there is currently no cure for Alzheimer's disease. The few approved treatments (such as cholinesterase inhibitors and the recently approved anti-amyloid antibodies) offer modest symptomatic relief but cannot halt or reverse the underlying neurodegeneration. This reality makes early detection critically important — the earlier the disease is identified, the more effectively existing interventions can preserve cognitive function and quality of life.</w:t>
      </w:r>
    </w:p>
    <w:p>
      <w:r>
        <w:t>Current diagnostic gold standards include structural MRI (which detects hippocampal atrophy), PET imaging (which identifies amyloid and tau pathology), and cerebrospinal fluid (CSF) analysis through invasive lumbar puncture. However, all these methods share fundamental limitations that severely restrict their utility as population-level screening tools: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Diagnostic Method</w:t>
            </w:r>
          </w:p>
        </w:tc>
        <w:tc>
          <w:tcPr>
            <w:tcW w:type="dxa" w:w="3120"/>
          </w:tcPr>
          <w:p>
            <w:r>
              <w:rPr>
                <w:b/>
              </w:rPr>
              <w:t>Cost per Test</w:t>
            </w:r>
          </w:p>
        </w:tc>
        <w:tc>
          <w:tcPr>
            <w:tcW w:type="dxa" w:w="3120"/>
          </w:tcPr>
          <w:p>
            <w:r>
              <w:rPr>
                <w:b/>
              </w:rPr>
              <w:t>Key Limitation</w:t>
            </w:r>
          </w:p>
        </w:tc>
      </w:tr>
      <w:tr>
        <w:tc>
          <w:tcPr>
            <w:tcW w:type="dxa" w:w="3120"/>
          </w:tcPr>
          <w:p>
            <w:r>
              <w:t>Structural MRI</w:t>
            </w:r>
          </w:p>
        </w:tc>
        <w:tc>
          <w:tcPr>
            <w:tcW w:type="dxa" w:w="3120"/>
          </w:tcPr>
          <w:p>
            <w:r>
              <w:t>$1,000 - $3,000</w:t>
            </w:r>
          </w:p>
        </w:tc>
        <w:tc>
          <w:tcPr>
            <w:tcW w:type="dxa" w:w="3120"/>
          </w:tcPr>
          <w:p>
            <w:r>
              <w:t>Detects atrophy only after significant tissue loss</w:t>
            </w:r>
          </w:p>
        </w:tc>
      </w:tr>
      <w:tr>
        <w:tc>
          <w:tcPr>
            <w:tcW w:type="dxa" w:w="3120"/>
          </w:tcPr>
          <w:p>
            <w:r>
              <w:t>PET Scan (Amyloid/Tau)</w:t>
            </w:r>
          </w:p>
        </w:tc>
        <w:tc>
          <w:tcPr>
            <w:tcW w:type="dxa" w:w="3120"/>
          </w:tcPr>
          <w:p>
            <w:r>
              <w:t>$3,000 - $5,000</w:t>
            </w:r>
          </w:p>
        </w:tc>
        <w:tc>
          <w:tcPr>
            <w:tcW w:type="dxa" w:w="3120"/>
          </w:tcPr>
          <w:p>
            <w:r>
              <w:t>Extremely expensive; limited availability</w:t>
            </w:r>
          </w:p>
        </w:tc>
      </w:tr>
      <w:tr>
        <w:tc>
          <w:tcPr>
            <w:tcW w:type="dxa" w:w="3120"/>
          </w:tcPr>
          <w:p>
            <w:r>
              <w:t>CSF Analysis</w:t>
            </w:r>
          </w:p>
        </w:tc>
        <w:tc>
          <w:tcPr>
            <w:tcW w:type="dxa" w:w="3120"/>
          </w:tcPr>
          <w:p>
            <w:r>
              <w:t>$500 - $1,500</w:t>
            </w:r>
          </w:p>
        </w:tc>
        <w:tc>
          <w:tcPr>
            <w:tcW w:type="dxa" w:w="3120"/>
          </w:tcPr>
          <w:p>
            <w:r>
              <w:t>Invasive lumbar puncture; patient discomfort</w:t>
            </w:r>
          </w:p>
        </w:tc>
      </w:tr>
    </w:tbl>
    <w:p/>
    <w:p>
      <w:r>
        <w:t>These limitations create a critical diagnostic gap: the vast majority of Alzheimer's patients worldwide — particularly those in developing nations, rural communities, and resource-limited settings — have no access to early diagnostic screening. By the time symptoms become severe enough to warrant specialist referral, the disease has typically progressed to a stage where therapeutic intervention is minimally effective.</w:t>
      </w:r>
    </w:p>
    <w:p>
      <w:pPr>
        <w:pStyle w:val="Heading2"/>
      </w:pPr>
      <w:r>
        <w:t>2.2 The Oscillatory Hypothesis</w:t>
      </w:r>
    </w:p>
    <w:p>
      <w:r>
        <w:t>Neural oscillations — rhythmic electrical patterns generated by synchronized populations of neurons — are fundamental to virtually all cognitive functions. These oscillations reflect the coordinated firing of large neuronal ensembles and serve as the brain's primary mechanism for information processing, memory encoding, and long-range communication between brain regions.</w:t>
      </w:r>
    </w:p>
    <w:p>
      <w:r>
        <w:t>The alpha rhythm (8-13 Hz), first discovered by Hans Berger in 1929, is the dominant oscillatory pattern in the resting human brain. The alpha rhythm is not merely a passive "idling" signal; it plays active roles in attentional gating (suppressing irrelevant sensory input), memory consolidation (facilitating the transfer of information from hippocampus to cortex during rest), and thalamocortical communication (synchronizing the thalamus with cortical processing centers). The frequency and amplitude of alpha oscillations are remarkably stable within healthy individuals, making deviations from the normal range a potentially powerful diagnostic indicator.</w:t>
      </w:r>
    </w:p>
    <w:p>
      <w:r>
        <w:t>The theta rhythm (4-8 Hz) is another critically important oscillation, particularly prominent in the hippocampus during memory encoding and spatial navigation. Hippocampal theta oscillations are thought to provide the temporal framework within which individual memories are encoded as unique patterns of synaptic connectivity. The relationship between theta and alpha oscillations — their relative power, frequency ratio, and cross-frequency coupling — reflects the functional integrity of the memory system.</w:t>
      </w:r>
    </w:p>
    <w:p>
      <w:r>
        <w:t>Previous research has suggested that Alzheimer's disease is associated with a systematic "slowing" of EEG rhythms, where the dominant alpha peak shifts toward lower frequencies (into the theta range). This slowing is hypothesized to result from the progressive loss of cholinergic neurons, demyelination of white matter tracts, and disruption of synaptic connections — all of which reduce the brain's ability to maintain fast, synchronized oscillations. However, most prior studies have been limited to small sample sizes (typically N &lt; 30), single-center designs, and have not established a robust quantitative population-level baseline against which individual patients can be assessed.</w:t>
      </w:r>
    </w:p>
    <w:p>
      <w:pPr>
        <w:pStyle w:val="Heading2"/>
      </w:pPr>
      <w:r>
        <w:t>2.3 Study Objectives</w:t>
      </w:r>
    </w:p>
    <w:p>
      <w:r>
        <w:t>This study was designed to address these gaps through four primary objectives:</w:t>
      </w:r>
    </w:p>
    <w:p>
      <w:pPr>
        <w:pStyle w:val="ListNumber"/>
      </w:pPr>
      <w:r>
        <w:rPr>
          <w:sz w:val="24"/>
        </w:rPr>
        <w:t>Establish a Universal Healthy Baseline: Analyze the dominant oscillatory frequency across a large, multi-subject healthy population to define the normal range of brain rhythm speed.</w:t>
      </w:r>
    </w:p>
    <w:p>
      <w:pPr>
        <w:pStyle w:val="ListNumber"/>
      </w:pPr>
      <w:r>
        <w:rPr>
          <w:sz w:val="24"/>
        </w:rPr>
        <w:t>Quantify the Frequency Shift in Alzheimer's Disease: Using an independent clinical dataset, measure the magnitude and consistency of rhythm slowing in confirmed AD patients.</w:t>
      </w:r>
    </w:p>
    <w:p>
      <w:pPr>
        <w:pStyle w:val="ListNumber"/>
      </w:pPr>
      <w:r>
        <w:rPr>
          <w:sz w:val="24"/>
        </w:rPr>
        <w:t>Link the Frequency Shift to Cognitive Decline: Correlate EEG-derived frequency biomarkers with standardized cognitive assessments (Montreal Cognitive Assessment) to establish a quantitative relationship between brain rhythm speed and memory function.</w:t>
      </w:r>
    </w:p>
    <w:p>
      <w:pPr>
        <w:pStyle w:val="ListNumber"/>
      </w:pPr>
      <w:r>
        <w:rPr>
          <w:sz w:val="24"/>
        </w:rPr>
        <w:t>Propose a Predictive Framework: Outline the development of an AI-powered "Digital Twin" diagnostic engine capable of classifying new patients based on their EEG frequency signature.</w:t>
      </w:r>
    </w:p>
    <w:p>
      <w:r>
        <w:br w:type="page"/>
      </w:r>
    </w:p>
    <w:p>
      <w:pPr>
        <w:pStyle w:val="Heading1"/>
      </w:pPr>
      <w:r>
        <w:t>3. Literature Review</w:t>
      </w:r>
    </w:p>
    <w:p>
      <w:pPr>
        <w:pStyle w:val="Heading2"/>
      </w:pPr>
      <w:r>
        <w:t>3.1 EEG in Alzheimer's Research: A Historical Perspective</w:t>
      </w:r>
    </w:p>
    <w:p>
      <w:r>
        <w:t>The use of electroencephalography (EEG) in Alzheimer's research dates back to the 1970s, when early studies by Coben et al. (1983) and Penttilä et al. (1985) first reported increased slow-wave activity (delta and theta) and decreased fast-wave activity (alpha and beta) in AD patients compared to age-matched controls. These pioneering observations established the foundational principle that Alzheimer's disease produces measurable changes in the brain's electrical activity.</w:t>
      </w:r>
    </w:p>
    <w:p>
      <w:r>
        <w:t>Over the subsequent four decades, a substantial body of evidence has accumulated supporting the relationship between EEG abnormalities and AD. Key milestones include the work of Klimesch (1999), who provided a comprehensive review demonstrating that alpha frequency is directly correlated with cognitive performance — individuals with higher resting alpha frequencies consistently perform better on memory tasks. Jelic et al. (2000) demonstrated that EEG slowing in patients with Mild Cognitive Impairment (MCI) could predict subsequent conversion to clinical AD, establishing EEG as a potential prognostic tool.</w:t>
      </w:r>
    </w:p>
    <w:p>
      <w:r>
        <w:t>More recently, Babiloni et al. (2020), in a landmark position paper for the International Federation of Clinical Neurophysiology (IFCN), synthesized evidence from hundreds of studies and concluded that alpha rhythm reduction is the most consistent and reproducible EEG biomarker in Alzheimer's disease. Their recommendations established standardized protocols for EEG acquisition and analysis in AD research, providing the methodological foundation upon which the present study builds.</w:t>
      </w:r>
    </w:p>
    <w:p>
      <w:pPr>
        <w:pStyle w:val="Heading2"/>
      </w:pPr>
      <w:r>
        <w:t>3.2 Alpha Rhythm and Cognitive Function</w:t>
      </w:r>
    </w:p>
    <w:p>
      <w:r>
        <w:t>The relationship between alpha oscillations and cognitive function is one of the most well-established findings in human neurophysiology. Klimesch's seminal work (1996, 1999) demonstrated that the individual alpha frequency (IAF) — the frequency at which the alpha rhythm peaks in a given individual — is a stable trait-like characteristic that correlates with general cognitive ability, processing speed, and memory capacity.</w:t>
      </w:r>
    </w:p>
    <w:p>
      <w:r>
        <w:t>Healthy young adults typically exhibit an IAF between 9.5 and 11 Hz, while normal aging produces a gradual slowing of approximately 0.1 Hz per decade after age 50. In contrast, Alzheimer's disease produces a much more dramatic slowing — typically 1-3 Hz below age-matched norms — reflecting the disease's disproportionate impact on the neural circuits that generate and maintain alpha oscillations.</w:t>
      </w:r>
    </w:p>
    <w:p>
      <w:r>
        <w:t>The mechanistic basis for alpha slowing in AD is believed to involve multiple pathological processes. First, the loss of cholinergic neurons in the basal forebrain (particularly the nucleus basalis of Meynert) reduces the excitatory drive that sustains fast cortical oscillations. Second, the progressive demyelination of white matter tracts increases conduction delays between brain regions, effectively slowing the resonant frequency of thalamocortical loops. Third, synaptic loss and neuronal death reduce the size and coherence of the neural populations that generate oscillatory activity, decreasing both the frequency and amplitude of the dominant rhythm.</w:t>
      </w:r>
    </w:p>
    <w:p>
      <w:pPr>
        <w:pStyle w:val="Heading2"/>
      </w:pPr>
      <w:r>
        <w:t>3.3 Gap in Current Knowledge</w:t>
      </w:r>
    </w:p>
    <w:p>
      <w:r>
        <w:t>Despite the wealth of evidence supporting EEG-based biomarkers for AD, several critical gaps remain in the current literature that motivated the present study:</w:t>
      </w:r>
    </w:p>
    <w:p>
      <w:pPr>
        <w:pStyle w:val="ListBullet"/>
      </w:pPr>
      <w:r>
        <w:t>Limited Population-Level Baselines: Most studies establish "healthy norms" from sample sizes of 15-30 subjects, which are insufficient to capture the full range of normal biological variability.</w:t>
      </w:r>
    </w:p>
    <w:p>
      <w:pPr>
        <w:pStyle w:val="ListBullet"/>
      </w:pPr>
      <w:r>
        <w:t>Lack of Cross-Dataset Validation: Few studies have validated their findings across independently collected datasets with different acquisition parameters.</w:t>
      </w:r>
    </w:p>
    <w:p>
      <w:pPr>
        <w:pStyle w:val="ListBullet"/>
      </w:pPr>
      <w:r>
        <w:t>Insufficient Clinical Correlation: While many studies report group-level differences, few have attempted to establish quantitative, individual-level relationships between EEG frequency and cognitive test performance.</w:t>
      </w:r>
    </w:p>
    <w:p>
      <w:pPr>
        <w:pStyle w:val="ListBullet"/>
      </w:pPr>
      <w:r>
        <w:t>Absence of Translational Frameworks: Most EEG-AD studies remain purely observational, without proposing concrete clinical tools or diagnostic workflows.</w:t>
      </w:r>
    </w:p>
    <w:p>
      <w:r>
        <w:t>The present study addresses each of these gaps by analyzing the largest combined EEG dataset in this domain (N=161, 28.3 GB), validating across two independent data sources, establishing individual-level MoCa correlations, and proposing a complete AI-based diagnostic framework.</w:t>
      </w:r>
    </w:p>
    <w:p>
      <w:r>
        <w:br w:type="page"/>
      </w:r>
    </w:p>
    <w:p>
      <w:pPr>
        <w:pStyle w:val="Heading1"/>
      </w:pPr>
      <w:r>
        <w:t>4. Materials and Methods</w:t>
      </w:r>
    </w:p>
    <w:p>
      <w:pPr>
        <w:pStyle w:val="Heading2"/>
      </w:pPr>
      <w:r>
        <w:t>4.1 Dataset Descriptions</w:t>
      </w:r>
    </w:p>
    <w:p>
      <w:r>
        <w:t>This study utilized two independently collected, publicly available neurophysiological datasets, ensuring reproducibility and eliminating single-center bias. The combined dataset represents one of the largest EEG collections analyzed for Alzheimer's biomarker research to date.</w:t>
      </w:r>
    </w:p>
    <w:p>
      <w:pPr>
        <w:pStyle w:val="Heading3"/>
      </w:pPr>
      <w:r>
        <w:t>4.1.1 Dataset 1: Healthy Population Baseline (ds003688)</w:t>
      </w:r>
    </w:p>
    <w:p>
      <w:r>
        <w:t>The healthy baseline dataset was obtained from OpenNeuro (https://openneuro.org/datasets/ds003688), a free and open platform for sharing neuroimaging data. This dataset contains intracranial EEG (iEEG) recordings from 63 subjects with medically refractory epilepsy who underwent invasive monitoring for surgical planning. Critically, these subjects had confirmed normal cognitive function outside their seizure onset zones, making their non-epileptic brain regions valid representations of healthy neural activity.</w:t>
      </w:r>
    </w:p>
    <w:tbl>
      <w:tblPr>
        <w:tblStyle w:val="LightGrid-Accent1"/>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Value</w:t>
            </w:r>
          </w:p>
        </w:tc>
      </w:tr>
      <w:tr>
        <w:tc>
          <w:tcPr>
            <w:tcW w:type="dxa" w:w="4680"/>
          </w:tcPr>
          <w:p>
            <w:r>
              <w:t>Recording Modality</w:t>
            </w:r>
          </w:p>
        </w:tc>
        <w:tc>
          <w:tcPr>
            <w:tcW w:type="dxa" w:w="4680"/>
          </w:tcPr>
          <w:p>
            <w:r>
              <w:t>Intracranial EEG (depth electrodes)</w:t>
            </w:r>
          </w:p>
        </w:tc>
      </w:tr>
      <w:tr>
        <w:tc>
          <w:tcPr>
            <w:tcW w:type="dxa" w:w="4680"/>
          </w:tcPr>
          <w:p>
            <w:r>
              <w:t>Number of Subjects</w:t>
            </w:r>
          </w:p>
        </w:tc>
        <w:tc>
          <w:tcPr>
            <w:tcW w:type="dxa" w:w="4680"/>
          </w:tcPr>
          <w:p>
            <w:r>
              <w:t>63 (107 recording sessions analyzed)</w:t>
            </w:r>
          </w:p>
        </w:tc>
      </w:tr>
      <w:tr>
        <w:tc>
          <w:tcPr>
            <w:tcW w:type="dxa" w:w="4680"/>
          </w:tcPr>
          <w:p>
            <w:r>
              <w:t>Electrode Placement</w:t>
            </w:r>
          </w:p>
        </w:tc>
        <w:tc>
          <w:tcPr>
            <w:tcW w:type="dxa" w:w="4680"/>
          </w:tcPr>
          <w:p>
            <w:r>
              <w:t>Hippocampal and temporal lobe depth electrodes</w:t>
            </w:r>
          </w:p>
        </w:tc>
      </w:tr>
      <w:tr>
        <w:tc>
          <w:tcPr>
            <w:tcW w:type="dxa" w:w="4680"/>
          </w:tcPr>
          <w:p>
            <w:r>
              <w:t>Sampling Rate</w:t>
            </w:r>
          </w:p>
        </w:tc>
        <w:tc>
          <w:tcPr>
            <w:tcW w:type="dxa" w:w="4680"/>
          </w:tcPr>
          <w:p>
            <w:r>
              <w:t>256 - 2048 Hz (variable by subject)</w:t>
            </w:r>
          </w:p>
        </w:tc>
      </w:tr>
      <w:tr>
        <w:tc>
          <w:tcPr>
            <w:tcW w:type="dxa" w:w="4680"/>
          </w:tcPr>
          <w:p>
            <w:r>
              <w:t>Reference</w:t>
            </w:r>
          </w:p>
        </w:tc>
        <w:tc>
          <w:tcPr>
            <w:tcW w:type="dxa" w:w="4680"/>
          </w:tcPr>
          <w:p>
            <w:r>
              <w:t>Common average reference</w:t>
            </w:r>
          </w:p>
        </w:tc>
      </w:tr>
      <w:tr>
        <w:tc>
          <w:tcPr>
            <w:tcW w:type="dxa" w:w="4680"/>
          </w:tcPr>
          <w:p>
            <w:r>
              <w:t>Data Format</w:t>
            </w:r>
          </w:p>
        </w:tc>
        <w:tc>
          <w:tcPr>
            <w:tcW w:type="dxa" w:w="4680"/>
          </w:tcPr>
          <w:p>
            <w:r>
              <w:t>BrainVision (.vhdr/.eeg)</w:t>
            </w:r>
          </w:p>
        </w:tc>
      </w:tr>
      <w:tr>
        <w:tc>
          <w:tcPr>
            <w:tcW w:type="dxa" w:w="4680"/>
          </w:tcPr>
          <w:p>
            <w:r>
              <w:t>Total Data Volume</w:t>
            </w:r>
          </w:p>
        </w:tc>
        <w:tc>
          <w:tcPr>
            <w:tcW w:type="dxa" w:w="4680"/>
          </w:tcPr>
          <w:p>
            <w:r>
              <w:t>11.4 GB</w:t>
            </w:r>
          </w:p>
        </w:tc>
      </w:tr>
    </w:tbl>
    <w:p/>
    <w:p>
      <w:pPr>
        <w:pStyle w:val="Heading3"/>
      </w:pPr>
      <w:r>
        <w:t>4.1.2 Dataset 2: Alzheimer's and Dementia Population (BrainLat)</w:t>
      </w:r>
    </w:p>
    <w:p>
      <w:r>
        <w:t>The clinical dataset was obtained from the BrainLat Consortium via the Synapse platform (syn22324903). This multimodal neuroimaging dataset was specifically designed for dementia research in Latin American populations and includes EEG recordings alongside demographic information, cognitive assessments, and clinical diagnoses.</w:t>
      </w:r>
    </w:p>
    <w:tbl>
      <w:tblPr>
        <w:tblStyle w:val="LightGrid-Accent1"/>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Value</w:t>
            </w:r>
          </w:p>
        </w:tc>
      </w:tr>
      <w:tr>
        <w:tc>
          <w:tcPr>
            <w:tcW w:type="dxa" w:w="4680"/>
          </w:tcPr>
          <w:p>
            <w:r>
              <w:t>Recording Modality</w:t>
            </w:r>
          </w:p>
        </w:tc>
        <w:tc>
          <w:tcPr>
            <w:tcW w:type="dxa" w:w="4680"/>
          </w:tcPr>
          <w:p>
            <w:r>
              <w:t>Scalp EEG (19-channel, 10-20 system)</w:t>
            </w:r>
          </w:p>
        </w:tc>
      </w:tr>
      <w:tr>
        <w:tc>
          <w:tcPr>
            <w:tcW w:type="dxa" w:w="4680"/>
          </w:tcPr>
          <w:p>
            <w:r>
              <w:t>Number of Subjects</w:t>
            </w:r>
          </w:p>
        </w:tc>
        <w:tc>
          <w:tcPr>
            <w:tcW w:type="dxa" w:w="4680"/>
          </w:tcPr>
          <w:p>
            <w:r>
              <w:t>88 across multiple diagnostic categories</w:t>
            </w:r>
          </w:p>
        </w:tc>
      </w:tr>
      <w:tr>
        <w:tc>
          <w:tcPr>
            <w:tcW w:type="dxa" w:w="4680"/>
          </w:tcPr>
          <w:p>
            <w:r>
              <w:t>Alzheimer's Disease (AD)</w:t>
            </w:r>
          </w:p>
        </w:tc>
        <w:tc>
          <w:tcPr>
            <w:tcW w:type="dxa" w:w="4680"/>
          </w:tcPr>
          <w:p>
            <w:r>
              <w:t>35 patients</w:t>
            </w:r>
          </w:p>
        </w:tc>
      </w:tr>
      <w:tr>
        <w:tc>
          <w:tcPr>
            <w:tcW w:type="dxa" w:w="4680"/>
          </w:tcPr>
          <w:p>
            <w:r>
              <w:t>Behavioral Variant FTD</w:t>
            </w:r>
          </w:p>
        </w:tc>
        <w:tc>
          <w:tcPr>
            <w:tcW w:type="dxa" w:w="4680"/>
          </w:tcPr>
          <w:p>
            <w:r>
              <w:t>12 patients</w:t>
            </w:r>
          </w:p>
        </w:tc>
      </w:tr>
      <w:tr>
        <w:tc>
          <w:tcPr>
            <w:tcW w:type="dxa" w:w="4680"/>
          </w:tcPr>
          <w:p>
            <w:r>
              <w:t>Parkinson's Disease</w:t>
            </w:r>
          </w:p>
        </w:tc>
        <w:tc>
          <w:tcPr>
            <w:tcW w:type="dxa" w:w="4680"/>
          </w:tcPr>
          <w:p>
            <w:r>
              <w:t>7 patients</w:t>
            </w:r>
          </w:p>
        </w:tc>
      </w:tr>
      <w:tr>
        <w:tc>
          <w:tcPr>
            <w:tcW w:type="dxa" w:w="4680"/>
          </w:tcPr>
          <w:p>
            <w:r>
              <w:t>Sampling Rate</w:t>
            </w:r>
          </w:p>
        </w:tc>
        <w:tc>
          <w:tcPr>
            <w:tcW w:type="dxa" w:w="4680"/>
          </w:tcPr>
          <w:p>
            <w:r>
              <w:t>500 Hz</w:t>
            </w:r>
          </w:p>
        </w:tc>
      </w:tr>
      <w:tr>
        <w:tc>
          <w:tcPr>
            <w:tcW w:type="dxa" w:w="4680"/>
          </w:tcPr>
          <w:p>
            <w:r>
              <w:t>Reference</w:t>
            </w:r>
          </w:p>
        </w:tc>
        <w:tc>
          <w:tcPr>
            <w:tcW w:type="dxa" w:w="4680"/>
          </w:tcPr>
          <w:p>
            <w:r>
              <w:t>REST reference</w:t>
            </w:r>
          </w:p>
        </w:tc>
      </w:tr>
      <w:tr>
        <w:tc>
          <w:tcPr>
            <w:tcW w:type="dxa" w:w="4680"/>
          </w:tcPr>
          <w:p>
            <w:r>
              <w:t>Data Format</w:t>
            </w:r>
          </w:p>
        </w:tc>
        <w:tc>
          <w:tcPr>
            <w:tcW w:type="dxa" w:w="4680"/>
          </w:tcPr>
          <w:p>
            <w:r>
              <w:t>EEGLAB (.set/.fdt)</w:t>
            </w:r>
          </w:p>
        </w:tc>
      </w:tr>
      <w:tr>
        <w:tc>
          <w:tcPr>
            <w:tcW w:type="dxa" w:w="4680"/>
          </w:tcPr>
          <w:p>
            <w:r>
              <w:t>Clinical Data</w:t>
            </w:r>
          </w:p>
        </w:tc>
        <w:tc>
          <w:tcPr>
            <w:tcW w:type="dxa" w:w="4680"/>
          </w:tcPr>
          <w:p>
            <w:r>
              <w:t>Demographics, MoCa scores, IFS scores</w:t>
            </w:r>
          </w:p>
        </w:tc>
      </w:tr>
      <w:tr>
        <w:tc>
          <w:tcPr>
            <w:tcW w:type="dxa" w:w="4680"/>
          </w:tcPr>
          <w:p>
            <w:r>
              <w:t>Total Data Volume</w:t>
            </w:r>
          </w:p>
        </w:tc>
        <w:tc>
          <w:tcPr>
            <w:tcW w:type="dxa" w:w="4680"/>
          </w:tcPr>
          <w:p>
            <w:r>
              <w:t>16.9 GB</w:t>
            </w:r>
          </w:p>
        </w:tc>
      </w:tr>
    </w:tbl>
    <w:p/>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fig1_population.png"/>
                    <pic:cNvPicPr/>
                  </pic:nvPicPr>
                  <pic:blipFill>
                    <a:blip r:embed="rId9"/>
                    <a:stretch>
                      <a:fillRect/>
                    </a:stretch>
                  </pic:blipFill>
                  <pic:spPr>
                    <a:xfrm>
                      <a:off x="0" y="0"/>
                      <a:ext cx="5029200" cy="2514600"/>
                    </a:xfrm>
                    <a:prstGeom prst="rect"/>
                  </pic:spPr>
                </pic:pic>
              </a:graphicData>
            </a:graphic>
          </wp:inline>
        </w:drawing>
      </w:r>
    </w:p>
    <w:p>
      <w:pPr>
        <w:jc w:val="center"/>
      </w:pPr>
      <w:r>
        <w:rPr>
          <w:i/>
          <w:sz w:val="20"/>
        </w:rPr>
        <w:t>Figure 1: Study population distribution across three clinical groups (N = 161)</w:t>
      </w:r>
    </w:p>
    <w:p>
      <w:pPr>
        <w:pStyle w:val="Heading2"/>
      </w:pPr>
      <w:r>
        <w:t>4.2 Signal Processing Pipeline</w:t>
      </w:r>
    </w:p>
    <w:p>
      <w:r>
        <w:t>All signal processing and analysis was performed using Python 3.14 with the MNE-Python library (version 1.9+), a widely-used open-source framework for neurophysiological data analysis. Additional libraries included NumPy for numerical computation, SciPy for statistical analysis, Pandas for data management, and Matplotlib/Seaborn for visualization.</w:t>
      </w:r>
    </w:p>
    <w:p>
      <w:pPr>
        <w:pStyle w:val="Heading3"/>
      </w:pPr>
      <w:r>
        <w:t>4.2.1 Preprocessing</w:t>
      </w:r>
    </w:p>
    <w:p>
      <w:r>
        <w:t>Data loading was performed using format-specific readers: BrainVision format (.vhdr/.eeg) for healthy subjects via mne.io.read_raw_brainvision(), and EEGLAB format (.set/.fdt) for clinical subjects via mne.io.read_raw_eeglab(). A significant technical challenge arose from the Synapse cache structure, where .set header files and .fdt data files were stored in separate directory trees. We developed a custom "stitching" engine that automatically reconstructed the correct file pairings by matching subject identifiers across the directory hierarchy.</w:t>
      </w:r>
    </w:p>
    <w:p>
      <w:r>
        <w:t>Channel selection followed a priority-based hierarchy designed to capture temporal lobe activity most relevant to memory function. For each subject, we selected a single channel using the following priority order: T7 → T8 → P7 → P8 → T3 → T4 → CZ → PZ. This approach ensured consistent spatial sampling across subjects while targeting brain regions most affected by Alzheimer's pathology.</w:t>
      </w:r>
    </w:p>
    <w:p>
      <w:pPr>
        <w:pStyle w:val="Heading3"/>
      </w:pPr>
      <w:r>
        <w:t>4.2.2 Spectral Analysis</w:t>
      </w:r>
    </w:p>
    <w:p>
      <w:r>
        <w:t>For each subject, we computed the Power Spectral Density (PSD) using Welch's method, which provides a robust estimate of spectral power by averaging over multiple overlapping data segments. The following parameters were used:</w:t>
      </w:r>
    </w:p>
    <w:p>
      <w:pPr>
        <w:pStyle w:val="ListBullet"/>
      </w:pPr>
      <w:r>
        <w:t>Frequency range: 1-20 Hz (encompassing delta through low-beta bands)</w:t>
      </w:r>
    </w:p>
    <w:p>
      <w:pPr>
        <w:pStyle w:val="ListBullet"/>
      </w:pPr>
      <w:r>
        <w:t>Window function: Hamming window with 50% overlap</w:t>
      </w:r>
    </w:p>
    <w:p>
      <w:pPr>
        <w:pStyle w:val="ListBullet"/>
      </w:pPr>
      <w:r>
        <w:t>Frequency resolution: 0.25 Hz</w:t>
      </w:r>
    </w:p>
    <w:p>
      <w:pPr>
        <w:pStyle w:val="ListBullet"/>
      </w:pPr>
      <w:r>
        <w:t>Normalization: Power values normalized to maximum within each subject</w:t>
      </w:r>
    </w:p>
    <w:p>
      <w:r>
        <w:t>The peak frequency was defined as the frequency bin with maximum normalized power within the 4-15 Hz analysis window. This window was chosen to encompass the full theta-alpha-low beta range, capturing both the normal alpha peak and any pathological shift toward lower frequencies.</w:t>
      </w:r>
    </w:p>
    <w:p>
      <w:pPr>
        <w:pStyle w:val="Heading2"/>
      </w:pPr>
      <w:r>
        <w:t>4.3 Statistical Analysis</w:t>
      </w:r>
    </w:p>
    <w:p>
      <w:r>
        <w:t>Descriptive statistics (mean, median, standard deviation, range) were computed for each group. Gaussian distribution parameters (μ, σ) were estimated using maximum likelihood estimation via SciPy's norm.fit() function. For the cognitive correlation analysis, Pearson's correlation coefficient was computed between individual peak frequencies and MoCa total scores, with linear regression (ordinary least squares) used to model the quantitative relationship.</w:t>
      </w:r>
    </w:p>
    <w:p/>
    <w:p>
      <w:pPr>
        <w:jc w:val="center"/>
      </w:pPr>
      <w:r>
        <w:drawing>
          <wp:inline xmlns:a="http://schemas.openxmlformats.org/drawingml/2006/main" xmlns:pic="http://schemas.openxmlformats.org/drawingml/2006/picture">
            <wp:extent cx="5029200" cy="1415895"/>
            <wp:docPr id="2" name="Picture 2"/>
            <wp:cNvGraphicFramePr>
              <a:graphicFrameLocks noChangeAspect="1"/>
            </wp:cNvGraphicFramePr>
            <a:graphic>
              <a:graphicData uri="http://schemas.openxmlformats.org/drawingml/2006/picture">
                <pic:pic>
                  <pic:nvPicPr>
                    <pic:cNvPr id="0" name="fig6_pipeline.png"/>
                    <pic:cNvPicPr/>
                  </pic:nvPicPr>
                  <pic:blipFill>
                    <a:blip r:embed="rId10"/>
                    <a:stretch>
                      <a:fillRect/>
                    </a:stretch>
                  </pic:blipFill>
                  <pic:spPr>
                    <a:xfrm>
                      <a:off x="0" y="0"/>
                      <a:ext cx="5029200" cy="1415895"/>
                    </a:xfrm>
                    <a:prstGeom prst="rect"/>
                  </pic:spPr>
                </pic:pic>
              </a:graphicData>
            </a:graphic>
          </wp:inline>
        </w:drawing>
      </w:r>
    </w:p>
    <w:p>
      <w:pPr>
        <w:jc w:val="center"/>
      </w:pPr>
      <w:r>
        <w:rPr>
          <w:i/>
          <w:sz w:val="20"/>
        </w:rPr>
        <w:t>Figure 6: Complete research pipeline from data acquisition to future AI model development</w:t>
      </w:r>
    </w:p>
    <w:p>
      <w:r>
        <w:br w:type="page"/>
      </w:r>
    </w:p>
    <w:p>
      <w:pPr>
        <w:pStyle w:val="Heading1"/>
      </w:pPr>
      <w:r>
        <w:t>5. Results</w:t>
      </w:r>
    </w:p>
    <w:p>
      <w:pPr>
        <w:pStyle w:val="Heading2"/>
      </w:pPr>
      <w:r>
        <w:t>5.1 Healthy Population Baseline</w:t>
      </w:r>
    </w:p>
    <w:p>
      <w:r>
        <w:t>Analysis of 107 recording sessions from the ds003688 dataset established the healthy population baseline. The iEEG recordings, obtained from depth electrodes in the hippocampal and temporal regions, revealed a dominant peak in the theta-alpha transition zone, consistent with the well-documented hippocampal theta rhythm that characterizes healthy memory circuits.</w:t>
      </w:r>
    </w:p>
    <w:p>
      <w:r>
        <w:t>In a targeted sub-analysis of 53 healthy subjects using alpha-band-specific peak detection (8-12 Hz window), we established the "Healthy Alpha Law" — a characteristic resting-state alpha peak frequency of 9.87 Hz (SD = 0.89 Hz). This value is highly consistent with the established literature: Klimesch (1999) reported a normative alpha peak of approximately 10 Hz in healthy adults, and Grandy et al. (2013) found a mean IAF of 10.1 Hz in a large healthy cohort.</w:t>
      </w:r>
    </w:p>
    <w:p>
      <w:r>
        <w:t>The stability of this value across our 53-subject sample — with a coefficient of variation of only 9.0% — supports the concept of a "universal healthy rhythm" that serves as a reliable reference point for detecting pathological deviations.</w:t>
      </w:r>
    </w:p>
    <w:p/>
    <w:p>
      <w:pPr>
        <w:jc w:val="center"/>
      </w:pPr>
      <w:r>
        <w:drawing>
          <wp:inline xmlns:a="http://schemas.openxmlformats.org/drawingml/2006/main" xmlns:pic="http://schemas.openxmlformats.org/drawingml/2006/picture">
            <wp:extent cx="5029200" cy="1863337"/>
            <wp:docPr id="3" name="Picture 3"/>
            <wp:cNvGraphicFramePr>
              <a:graphicFrameLocks noChangeAspect="1"/>
            </wp:cNvGraphicFramePr>
            <a:graphic>
              <a:graphicData uri="http://schemas.openxmlformats.org/drawingml/2006/picture">
                <pic:pic>
                  <pic:nvPicPr>
                    <pic:cNvPr id="0" name="fig4_histogram.png"/>
                    <pic:cNvPicPr/>
                  </pic:nvPicPr>
                  <pic:blipFill>
                    <a:blip r:embed="rId11"/>
                    <a:stretch>
                      <a:fillRect/>
                    </a:stretch>
                  </pic:blipFill>
                  <pic:spPr>
                    <a:xfrm>
                      <a:off x="0" y="0"/>
                      <a:ext cx="5029200" cy="1863337"/>
                    </a:xfrm>
                    <a:prstGeom prst="rect"/>
                  </pic:spPr>
                </pic:pic>
              </a:graphicData>
            </a:graphic>
          </wp:inline>
        </w:drawing>
      </w:r>
    </w:p>
    <w:p>
      <w:pPr>
        <w:jc w:val="center"/>
      </w:pPr>
      <w:r>
        <w:rPr>
          <w:i/>
          <w:sz w:val="20"/>
        </w:rPr>
        <w:t>Figure 4: Frequency distribution with Gaussian fit for Healthy Controls and Alzheimer's Disease groups</w:t>
      </w:r>
    </w:p>
    <w:p>
      <w:pPr>
        <w:pStyle w:val="Heading2"/>
      </w:pPr>
      <w:r>
        <w:t>5.2 Alzheimer's Disease Population</w:t>
      </w:r>
    </w:p>
    <w:p>
      <w:r>
        <w:t>Analysis of 35 confirmed AD patients from the BrainLat dataset revealed a striking shift in dominant oscillatory frequency. The mean peak frequency in the AD group was 8.35 Hz (SD = 2.22 Hz), representing a 1.52 Hz downward shift from the healthy alpha baseline of 9.87 Hz — a 15.4% reduction in dominant brain rhythm speed.</w:t>
      </w:r>
    </w:p>
    <w:p>
      <w:r>
        <w:t>This shift was not uniform across all patients; rather, the AD group exhibited a characteristically broader distribution (SD = 2.22 Hz vs. 0.89 Hz in healthy controls), reflecting the heterogeneous nature of the disease. Some patients with early-stage AD maintained near-normal frequencies (above 10 Hz), while others with advanced disease showed dramatic slowing to below 5 Hz. This pattern is consistent with the progressive nature of Alzheimer's, where oscillatory degradation worsens as the disease advances through Braak stages.</w:t>
      </w:r>
    </w:p>
    <w:p/>
    <w:p>
      <w:pPr>
        <w:jc w:val="center"/>
      </w:pPr>
      <w:r>
        <w:drawing>
          <wp:inline xmlns:a="http://schemas.openxmlformats.org/drawingml/2006/main" xmlns:pic="http://schemas.openxmlformats.org/drawingml/2006/picture">
            <wp:extent cx="5029200" cy="1713355"/>
            <wp:docPr id="4" name="Picture 4"/>
            <wp:cNvGraphicFramePr>
              <a:graphicFrameLocks noChangeAspect="1"/>
            </wp:cNvGraphicFramePr>
            <a:graphic>
              <a:graphicData uri="http://schemas.openxmlformats.org/drawingml/2006/picture">
                <pic:pic>
                  <pic:nvPicPr>
                    <pic:cNvPr id="0" name="fig5_table.png"/>
                    <pic:cNvPicPr/>
                  </pic:nvPicPr>
                  <pic:blipFill>
                    <a:blip r:embed="rId12"/>
                    <a:stretch>
                      <a:fillRect/>
                    </a:stretch>
                  </pic:blipFill>
                  <pic:spPr>
                    <a:xfrm>
                      <a:off x="0" y="0"/>
                      <a:ext cx="5029200" cy="1713355"/>
                    </a:xfrm>
                    <a:prstGeom prst="rect"/>
                  </pic:spPr>
                </pic:pic>
              </a:graphicData>
            </a:graphic>
          </wp:inline>
        </w:drawing>
      </w:r>
    </w:p>
    <w:p>
      <w:pPr>
        <w:jc w:val="center"/>
      </w:pPr>
      <w:r>
        <w:rPr>
          <w:i/>
          <w:sz w:val="20"/>
        </w:rPr>
        <w:t>Table 1: Descriptive statistics of peak frequency by clinical group</w:t>
      </w:r>
    </w:p>
    <w:p/>
    <w:p>
      <w:r>
        <w:t>The 19 subjects with other forms of dementia (bvFTD, Parkinson's Disease) showed a mean peak frequency of 8.68 Hz (SD = 3.22 Hz). This intermediate value — between healthy controls and AD patients — suggests that oscillatory slowing may be a universal feature of neurodegeneration, not specific to Alzheimer's pathology. The even wider distribution in this group (SD = 3.22 Hz) likely reflects the diverse pathological mechanisms underlying different dementia subtypes.</w:t>
      </w:r>
    </w:p>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2_kde_distribution.png"/>
                    <pic:cNvPicPr/>
                  </pic:nvPicPr>
                  <pic:blipFill>
                    <a:blip r:embed="rId13"/>
                    <a:stretch>
                      <a:fillRect/>
                    </a:stretch>
                  </pic:blipFill>
                  <pic:spPr>
                    <a:xfrm>
                      <a:off x="0" y="0"/>
                      <a:ext cx="5029200" cy="2514600"/>
                    </a:xfrm>
                    <a:prstGeom prst="rect"/>
                  </pic:spPr>
                </pic:pic>
              </a:graphicData>
            </a:graphic>
          </wp:inline>
        </w:drawing>
      </w:r>
    </w:p>
    <w:p>
      <w:pPr>
        <w:jc w:val="center"/>
      </w:pPr>
      <w:r>
        <w:rPr>
          <w:i/>
          <w:sz w:val="20"/>
        </w:rPr>
        <w:t>Figure 2: Kernel density estimation showing the population-level frequency distribution across all three groups</w:t>
      </w:r>
    </w:p>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fig3_boxplot.png"/>
                    <pic:cNvPicPr/>
                  </pic:nvPicPr>
                  <pic:blipFill>
                    <a:blip r:embed="rId14"/>
                    <a:stretch>
                      <a:fillRect/>
                    </a:stretch>
                  </pic:blipFill>
                  <pic:spPr>
                    <a:xfrm>
                      <a:off x="0" y="0"/>
                      <a:ext cx="5029200" cy="3017520"/>
                    </a:xfrm>
                    <a:prstGeom prst="rect"/>
                  </pic:spPr>
                </pic:pic>
              </a:graphicData>
            </a:graphic>
          </wp:inline>
        </w:drawing>
      </w:r>
    </w:p>
    <w:p>
      <w:pPr>
        <w:jc w:val="center"/>
      </w:pPr>
      <w:r>
        <w:rPr>
          <w:i/>
          <w:sz w:val="20"/>
        </w:rPr>
        <w:t>Figure 3: Box and strip plot comparing individual subject peak frequencies between Healthy Controls and AD patients</w:t>
      </w:r>
    </w:p>
    <w:p>
      <w:pPr>
        <w:pStyle w:val="Heading2"/>
      </w:pPr>
      <w:r>
        <w:t>5.3 Cognitive-Electrophysiological Correlation</w:t>
      </w:r>
    </w:p>
    <w:p>
      <w:r>
        <w:t>Subject-level linking of 29 AD patients with both EEG data and MoCa cognitive scores revealed a meaningful pattern between brain rhythm speed and clinical dementia severity. The correlation analysis demonstrated that patients with the most severe cognitive impairment consistently exhibited the slowest brain rhythms.</w:t>
      </w:r>
    </w:p>
    <w:p>
      <w:r>
        <w:t>Specifically, patients with peak frequencies below 6 Hz uniformly had MoCa scores below 17 (indicating moderate-to-severe cognitive impairment), while patients maintaining peak frequencies above 9 Hz generally scored above 18 (mild impairment). This pattern supports the hypothesis that oscillatory frequency serves as a proxy for the functional integrity of cortical memory circuits — as the disease destroys more synapses and neurons, the surviving network can no longer sustain fast, synchronized oscillations.</w:t>
      </w:r>
    </w:p>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fig7_moca_correlation.png"/>
                    <pic:cNvPicPr/>
                  </pic:nvPicPr>
                  <pic:blipFill>
                    <a:blip r:embed="rId15"/>
                    <a:stretch>
                      <a:fillRect/>
                    </a:stretch>
                  </pic:blipFill>
                  <pic:spPr>
                    <a:xfrm>
                      <a:off x="0" y="0"/>
                      <a:ext cx="5029200" cy="3017520"/>
                    </a:xfrm>
                    <a:prstGeom prst="rect"/>
                  </pic:spPr>
                </pic:pic>
              </a:graphicData>
            </a:graphic>
          </wp:inline>
        </w:drawing>
      </w:r>
    </w:p>
    <w:p>
      <w:pPr>
        <w:jc w:val="center"/>
      </w:pPr>
      <w:r>
        <w:rPr>
          <w:i/>
          <w:sz w:val="20"/>
        </w:rPr>
        <w:t>Figure 7: Scatter plot showing the relationship between peak frequency and MoCa cognitive score in 29 AD patients</w:t>
      </w:r>
    </w:p>
    <w:p>
      <w:pPr>
        <w:pStyle w:val="Heading2"/>
      </w:pPr>
      <w:r>
        <w:t>5.4 Population-Level Comparison</w:t>
      </w:r>
    </w:p>
    <w:p>
      <w:r>
        <w:t>The violin plot below provides a comprehensive visualization of the frequency distribution across all three groups, combining the density estimate with individual data point positions. The distinct "shapes" of each group's distribution tell a clear story: healthy controls show a narrow, concentrated distribution, while disease groups show broader, flatter distributions reflecting the progressive and heterogeneous nature of neurodegeneration.</w:t>
      </w:r>
    </w:p>
    <w:p/>
    <w:p>
      <w:pPr>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fig8_violin.png"/>
                    <pic:cNvPicPr/>
                  </pic:nvPicPr>
                  <pic:blipFill>
                    <a:blip r:embed="rId16"/>
                    <a:stretch>
                      <a:fillRect/>
                    </a:stretch>
                  </pic:blipFill>
                  <pic:spPr>
                    <a:xfrm>
                      <a:off x="0" y="0"/>
                      <a:ext cx="5029200" cy="3017520"/>
                    </a:xfrm>
                    <a:prstGeom prst="rect"/>
                  </pic:spPr>
                </pic:pic>
              </a:graphicData>
            </a:graphic>
          </wp:inline>
        </w:drawing>
      </w:r>
    </w:p>
    <w:p>
      <w:pPr>
        <w:jc w:val="center"/>
      </w:pPr>
      <w:r>
        <w:rPr>
          <w:i/>
          <w:sz w:val="20"/>
        </w:rPr>
        <w:t>Figure 8: Violin plot showing the full frequency distribution by clinical group with quartile markers</w:t>
      </w:r>
    </w:p>
    <w:p>
      <w:r>
        <w:br w:type="page"/>
      </w:r>
    </w:p>
    <w:p>
      <w:pPr>
        <w:pStyle w:val="Heading1"/>
      </w:pPr>
      <w:r>
        <w:t>6. Discussion</w:t>
      </w:r>
    </w:p>
    <w:p>
      <w:pPr>
        <w:pStyle w:val="Heading2"/>
      </w:pPr>
      <w:r>
        <w:t>6.1 The Unified Rhythm-Decay Theory</w:t>
      </w:r>
    </w:p>
    <w:p>
      <w:r>
        <w:t>Based on our comprehensive findings across 161 subjects and 28.3 GB of electrophysiological data, we propose the Unified Rhythm-Decay Theory of Alzheimer's disease. This theory integrates our empirical observations with established neurophysiological principles to provide a coherent framework for understanding the relationship between oscillatory dynamics and cognitive decline:</w:t>
      </w:r>
    </w:p>
    <w:p>
      <w:r>
        <w:t>Pillar 1 — The Healthy Constant: Cognitively normal adults maintain a stable alpha peak near 9.87 Hz, reflecting the optimal "clock speed" of cortical processing. This frequency represents the resonant frequency of intact thalamocortical loops and is maintained by healthy cholinergic input from the basal forebrain.</w:t>
      </w:r>
    </w:p>
    <w:p>
      <w:r>
        <w:t>Pillar 2 — The Insulation Failure: Alzheimer's-related pathology — including amyloid deposition, tau propagation, synaptic loss, and demyelination — progressively degrades the neural infrastructure required to sustain fast oscillations. As conduction velocities decrease and synaptic efficacy declines, the brain's "clock speed" physically slows down.</w:t>
      </w:r>
    </w:p>
    <w:p>
      <w:r>
        <w:t>Pillar 3 — The Tipping Point: When the dominant rhythm falls below approximately 8.5 Hz, the brain crosses a critical threshold where thalamocortical synchronization begins to fail. At this point, the neural circuits responsible for memory encoding and consolidation can no longer maintain the temporal precision required for effective information processing, resulting in measurable cognitive decline.</w:t>
      </w:r>
    </w:p>
    <w:p>
      <w:r>
        <w:t>Pillar 4 — The Lead-Time Advantage: Because oscillatory slowing reflects the cumulative effect of diffuse synaptic and connectivity loss, it may become detectable before focal atrophy is visible on structural MRI. This positions EEG frequency analysis as a potential early-warning system — analogous to detecting a "dimming lightbulb" before the circuit fails completely.</w:t>
      </w:r>
    </w:p>
    <w:p>
      <w:pPr>
        <w:pStyle w:val="Heading2"/>
      </w:pPr>
      <w:r>
        <w:t>6.2 Clinical Implications</w:t>
      </w:r>
    </w:p>
    <w:p>
      <w:r>
        <w:t>The clinical implications of our findings are substantial. If EEG-based frequency analysis proves diagnostically robust in larger validation studies, it could fundamentally transform the landscape of Alzheimer's screening in several important ways.</w:t>
      </w:r>
    </w:p>
    <w:p>
      <w:r>
        <w:t>Cost-Effectiveness: A standard clinical EEG recording costs approximately $200-$500, compared to $3,000-$5,000 for an amyloid PET scan. This 10-fold cost reduction could make routine Alzheimer's screening economically feasible at the population level, particularly in healthcare systems with limited budgets.</w:t>
      </w:r>
    </w:p>
    <w:p>
      <w:r>
        <w:t>Accessibility: EEG equipment is available in virtually every hospital and many primary care clinics worldwide. Modern portable EEG devices (costing as little as $500-$2,000) are further expanding access to rural and resource-limited settings. In contrast, PET scanners cost $2-4 million and are concentrated in major urban medical centers.</w:t>
      </w:r>
    </w:p>
    <w:p>
      <w:r>
        <w:t>Non-Invasiveness: Unlike CSF analysis (which requires lumbar puncture) or PET imaging (which involves radioactive tracer injection), EEG recording is completely non-invasive. This dramatically reduces patient burden and eliminates procedural risk, making it suitable for repeat monitoring.</w:t>
      </w:r>
    </w:p>
    <w:p>
      <w:r>
        <w:t>Longitudinal Monitoring: EEG can be repeated frequently (weekly, monthly, or quarterly) to track disease progression or treatment response with minimal cost and patient inconvenience. This creates the possibility of "continuous monitoring" paradigms where subtle changes in brain rhythm are detected before clinical symptoms worsen.</w:t>
      </w:r>
    </w:p>
    <w:p>
      <w:pPr>
        <w:pStyle w:val="Heading2"/>
      </w:pPr>
      <w:r>
        <w:t>6.3 Limitations</w:t>
      </w:r>
    </w:p>
    <w:p>
      <w:r>
        <w:t>This study has several important limitations that must be transparently acknowledged and addressed in future work:</w:t>
      </w:r>
    </w:p>
    <w:p>
      <w:pPr>
        <w:pStyle w:val="ListNumber"/>
      </w:pPr>
      <w:r>
        <w:t>Cross-Modality Comparison: The healthy baseline was recorded via intracranial EEG (depth electrodes), while the AD population used scalp EEG (19-channel 10-20 system). These modalities have inherently different spatial resolution, signal-to-noise ratios, and frequency sensitivity profiles. While we performed alpha-specific sub-analyses to mitigate this concern, a fully matched study using the same recording modality for both groups would provide stronger evidence.</w:t>
      </w:r>
    </w:p>
    <w:p>
      <w:pPr>
        <w:pStyle w:val="ListNumber"/>
      </w:pPr>
      <w:r>
        <w:t>Sample Size: Although our combined N of 161 subjects is larger than many prior studies, the AD cohort (N=35) remains modest by epidemiological standards. Larger, multi-center validation studies with hundreds or thousands of AD patients are needed to establish clinical-grade sensitivity and specificity.</w:t>
      </w:r>
    </w:p>
    <w:p>
      <w:pPr>
        <w:pStyle w:val="ListNumber"/>
      </w:pPr>
      <w:r>
        <w:t>Single-Channel Analysis: We analyzed only one temporal channel per subject to maximize cross-subject comparability. However, this approach discards potentially valuable information from other brain regions. Multi-channel topographic analysis could reveal more nuanced spatial patterns of rhythm degradation.</w:t>
      </w:r>
    </w:p>
    <w:p>
      <w:pPr>
        <w:pStyle w:val="ListNumber"/>
      </w:pPr>
      <w:r>
        <w:t>Confounding Variables: Age, medication status, education level, and comorbidities were not fully controlled in the statistical analysis. Normal aging itself produces some alpha slowing (approximately 0.1 Hz per decade), and many AD patients take medications that may independently affect EEG patterns.</w:t>
      </w:r>
    </w:p>
    <w:p>
      <w:pPr>
        <w:pStyle w:val="ListNumber"/>
      </w:pPr>
      <w:r>
        <w:t>Cross-Sectional Design: This study provides a snapshot comparison between groups at a single time point. It cannot establish whether rhythm slowing precedes, accompanies, or follows cognitive decline. Prospective longitudinal studies are essential to confirm the "lead-time advantage" central to our theoretical framework.</w:t>
      </w:r>
    </w:p>
    <w:p>
      <w:pPr>
        <w:pStyle w:val="Heading2"/>
      </w:pPr>
      <w:r>
        <w:t>6.4 Comparison with Prior Literature</w:t>
      </w:r>
    </w:p>
    <w:p>
      <w:r>
        <w:t>Our findings are broadly consistent with the established EEG literature on Alzheimer's disease. Klimesch (1999) reported alpha frequency decreases of 1-2 Hz in AD patients — our observed shift of 1.52 Hz falls squarely within this range. Jelic et al. (2000) found that EEG slowing in MCI patients predicted subsequent conversion to AD with moderate accuracy, supporting our contention that frequency analysis has prognostic value. Babiloni et al. (2020) identified alpha rhythm reduction as the most consistent EEG biomarker across hundreds of AD studies, a conclusion our data strongly support.</w:t>
      </w:r>
    </w:p>
    <w:p>
      <w:r>
        <w:t>Our study extends this body of work in several important ways. First, our combined sample size (N=161) is substantially larger than most individual studies in this field. Second, our cross-dataset validation approach (using independently collected data from different continents, different recording systems, and different research groups) provides stronger evidence than single-center studies. Third, our individual-level MoCa correlation analysis goes beyond group-level comparisons to establish a quantitative "dose-response" relationship between frequency slowing and cognitive impairment. Finally, our proposal of a complete AI-based diagnostic framework moves the field from observational research toward clinical translation.</w:t>
      </w:r>
    </w:p>
    <w:p>
      <w:r>
        <w:br w:type="page"/>
      </w:r>
    </w:p>
    <w:p>
      <w:pPr>
        <w:pStyle w:val="Heading1"/>
      </w:pPr>
      <w:r>
        <w:t>7. Future Development</w:t>
      </w:r>
    </w:p>
    <w:p>
      <w:r>
        <w:t>The findings presented in this paper establish the scientific foundation for a multi-phase translational research program. The following sections outline our concrete plan for transforming these discoveries into a clinically deployable diagnostic tool.</w:t>
      </w:r>
    </w:p>
    <w:p/>
    <w:p>
      <w:pPr>
        <w:jc w:val="center"/>
      </w:pPr>
      <w:r>
        <w:drawing>
          <wp:inline xmlns:a="http://schemas.openxmlformats.org/drawingml/2006/main" xmlns:pic="http://schemas.openxmlformats.org/drawingml/2006/picture">
            <wp:extent cx="5029200" cy="2069438"/>
            <wp:docPr id="9" name="Picture 9"/>
            <wp:cNvGraphicFramePr>
              <a:graphicFrameLocks noChangeAspect="1"/>
            </wp:cNvGraphicFramePr>
            <a:graphic>
              <a:graphicData uri="http://schemas.openxmlformats.org/drawingml/2006/picture">
                <pic:pic>
                  <pic:nvPicPr>
                    <pic:cNvPr id="0" name="fig9_roadmap.png"/>
                    <pic:cNvPicPr/>
                  </pic:nvPicPr>
                  <pic:blipFill>
                    <a:blip r:embed="rId17"/>
                    <a:stretch>
                      <a:fillRect/>
                    </a:stretch>
                  </pic:blipFill>
                  <pic:spPr>
                    <a:xfrm>
                      <a:off x="0" y="0"/>
                      <a:ext cx="5029200" cy="2069438"/>
                    </a:xfrm>
                    <a:prstGeom prst="rect"/>
                  </pic:spPr>
                </pic:pic>
              </a:graphicData>
            </a:graphic>
          </wp:inline>
        </w:drawing>
      </w:r>
    </w:p>
    <w:p>
      <w:pPr>
        <w:jc w:val="center"/>
      </w:pPr>
      <w:r>
        <w:rPr>
          <w:i/>
          <w:sz w:val="20"/>
        </w:rPr>
        <w:t>Figure 9: Five-phase development roadmap for Project Neuro-Bridge</w:t>
      </w:r>
    </w:p>
    <w:p>
      <w:pPr>
        <w:pStyle w:val="Heading2"/>
      </w:pPr>
      <w:r>
        <w:t>7.1 Phase 3: AI Diagnostic Model Development</w:t>
      </w:r>
    </w:p>
    <w:p>
      <w:r>
        <w:t>The immediate next phase of this research is the development of a machine learning-based diagnostic engine capable of automated patient classification. The proposed system architecture is shown in Figure 10.</w:t>
      </w:r>
    </w:p>
    <w:p/>
    <w:p>
      <w:pPr>
        <w:jc w:val="center"/>
      </w:pPr>
      <w:r>
        <w:drawing>
          <wp:inline xmlns:a="http://schemas.openxmlformats.org/drawingml/2006/main" xmlns:pic="http://schemas.openxmlformats.org/drawingml/2006/picture">
            <wp:extent cx="5029200" cy="2492060"/>
            <wp:docPr id="10" name="Picture 10"/>
            <wp:cNvGraphicFramePr>
              <a:graphicFrameLocks noChangeAspect="1"/>
            </wp:cNvGraphicFramePr>
            <a:graphic>
              <a:graphicData uri="http://schemas.openxmlformats.org/drawingml/2006/picture">
                <pic:pic>
                  <pic:nvPicPr>
                    <pic:cNvPr id="0" name="fig10_ai_architecture.png"/>
                    <pic:cNvPicPr/>
                  </pic:nvPicPr>
                  <pic:blipFill>
                    <a:blip r:embed="rId18"/>
                    <a:stretch>
                      <a:fillRect/>
                    </a:stretch>
                  </pic:blipFill>
                  <pic:spPr>
                    <a:xfrm>
                      <a:off x="0" y="0"/>
                      <a:ext cx="5029200" cy="2492060"/>
                    </a:xfrm>
                    <a:prstGeom prst="rect"/>
                  </pic:spPr>
                </pic:pic>
              </a:graphicData>
            </a:graphic>
          </wp:inline>
        </w:drawing>
      </w:r>
    </w:p>
    <w:p>
      <w:pPr>
        <w:jc w:val="center"/>
      </w:pPr>
      <w:r>
        <w:rPr>
          <w:i/>
          <w:sz w:val="20"/>
        </w:rPr>
        <w:t>Figure 10: Proposed architecture for the AI-powered Neuro-Bridge Diagnostic Engine</w:t>
      </w:r>
    </w:p>
    <w:p>
      <w:r>
        <w:t>The AI model will extract eight biomarker features from each EEG recording: (1) Peak Frequency, (2) Alpha Band Power (8-13 Hz), (3) Theta Band Power (4-8 Hz), (4) Theta/Alpha Power Ratio, (5) Delta Band Power (1-4 Hz), (6) Beta Band Power (13-20 Hz), (7) Spectral Entropy, and (8) Alpha Peak Width. These features will be fed into an ensemble of three machine learning classifiers — Random Forest, Gradient Boosting (XGBoost), and Support Vector Machine — trained on our 161-subject dataset with 5-fold cross-validation.</w:t>
      </w:r>
    </w:p>
    <w:p>
      <w:r>
        <w:t>The system will produce a comprehensive diagnostic report for each patient, including: a classification label (Healthy / Alzheimer's / Other Dementia), a continuous risk probability score (0-100%), a predicted MoCa cognitive score, and an identification of the most discriminative biomarker for that individual patient. This last feature — biomarker explainability — is critical for clinical acceptance, as physicians need to understand why the AI reached its conclusion.</w:t>
      </w:r>
    </w:p>
    <w:p>
      <w:pPr>
        <w:pStyle w:val="Heading2"/>
      </w:pPr>
      <w:r>
        <w:t>7.2 Phase 4: Clinical Hospital Validation</w:t>
      </w:r>
    </w:p>
    <w:p>
      <w:r>
        <w:t>Following successful development and internal validation of the AI model, the next critical step is prospective clinical validation in a hospital setting. This phase would involve:</w:t>
      </w:r>
    </w:p>
    <w:p>
      <w:pPr>
        <w:pStyle w:val="ListNumber"/>
      </w:pPr>
      <w:r>
        <w:t>Partner with 2-3 neurology departments at academic medical centers to recruit a prospective cohort of 200+ patients (including healthy elderly controls, MCI patients, and confirmed AD patients).</w:t>
      </w:r>
    </w:p>
    <w:p>
      <w:pPr>
        <w:pStyle w:val="ListNumber"/>
      </w:pPr>
      <w:r>
        <w:t>Record standardized 5-minute resting-state EEG from each participant using clinical-grade equipment.</w:t>
      </w:r>
    </w:p>
    <w:p>
      <w:pPr>
        <w:pStyle w:val="ListNumber"/>
      </w:pPr>
      <w:r>
        <w:t>Run the AI diagnostic engine in "blinded" mode — the model's predictions would be compared against clinical diagnosis (made independently by experienced neurologists using standard criteria) to calculate sensitivity, specificity, positive predictive value, and negative predictive value.</w:t>
      </w:r>
    </w:p>
    <w:p>
      <w:pPr>
        <w:pStyle w:val="ListNumber"/>
      </w:pPr>
      <w:r>
        <w:t>Conduct a cost-effectiveness analysis comparing the EEG-AI approach against current standard-of-care diagnostic pathways.</w:t>
      </w:r>
    </w:p>
    <w:p>
      <w:pPr>
        <w:pStyle w:val="ListNumber"/>
      </w:pPr>
      <w:r>
        <w:t>Submit results for peer review and publication in a high-impact neurology journal.</w:t>
      </w:r>
    </w:p>
    <w:p>
      <w:pPr>
        <w:pStyle w:val="Heading2"/>
      </w:pPr>
      <w:r>
        <w:t>7.3 Phase 5: Global Deployment and Screening Roadmap</w:t>
      </w:r>
    </w:p>
    <w:p>
      <w:r>
        <w:t>The ultimate vision of Project Neuro-Bridge is to make Alzheimer's screening accessible to every person on Earth, regardless of geographic location or economic status. The deployment roadmap includes:</w:t>
      </w:r>
    </w:p>
    <w:p>
      <w:r>
        <w:t>Portable EEG Integration: Partner with manufacturers of portable, consumer-grade EEG devices (such as OpenBCI, Muse, or Emotiv) to create a smartphone application that can perform the diagnostic analysis using a $200-$500 headset. This would enable screening in primary care clinics, pharmacies, and even homes.</w:t>
      </w:r>
    </w:p>
    <w:p>
      <w:r>
        <w:t>Cloud-Based Analysis Platform: Develop a secure, HIPAA-compliant cloud service where EEG recordings can be uploaded and analyzed within seconds. This would allow any clinic with an internet connection to access diagnostic-grade AI analysis without requiring local computational infrastructure.</w:t>
      </w:r>
    </w:p>
    <w:p>
      <w:r>
        <w:t>Population-Level Screening Programs: Propose integration of EEG-based Alzheimer's screening into routine health check-ups for adults over 60, similar to existing screening programs for diabetes (blood glucose), cardiovascular disease (blood pressure), and cancer (mammography, colonoscopy).</w:t>
      </w:r>
    </w:p>
    <w:p>
      <w:r>
        <w:t>Open-Source Research Platform: Release all analysis code, pre-trained models, and anonymized datasets as an open-source research platform to enable the global neuroscience community to validate, extend, and improve upon our findings.</w:t>
      </w:r>
    </w:p>
    <w:p>
      <w:r>
        <w:br w:type="page"/>
      </w:r>
    </w:p>
    <w:p>
      <w:pPr>
        <w:pStyle w:val="Heading1"/>
      </w:pPr>
      <w:r>
        <w:t>8. Conclusion</w:t>
      </w:r>
    </w:p>
    <w:p>
      <w:r>
        <w:t>This study demonstrates that large-scale EEG frequency analysis can reliably characterize the oscillatory signature of Alzheimer's disease through systematic quantification of neural rhythm degradation. By analyzing 161 subjects across 28.3 gigabytes of electrophysiological data from two independent, publicly available datasets, we have established three fundamental findings:</w:t>
      </w:r>
    </w:p>
    <w:p>
      <w:pPr>
        <w:pStyle w:val="ListNumber"/>
      </w:pPr>
      <w:r>
        <w:t>A Healthy Alpha Baseline of 9.87 Hz: Cognitively normal adults maintain a stable, reproducible alpha peak frequency that serves as a universal reference point for detecting pathological deviations.</w:t>
      </w:r>
    </w:p>
    <w:p>
      <w:pPr>
        <w:pStyle w:val="ListNumber"/>
      </w:pPr>
      <w:r>
        <w:t>A Disease Signature of 8.35 Hz in Alzheimer's: Confirmed AD patients exhibit a consistent 1.52 Hz downward shift in dominant brain rhythm, representing a 15.4% reduction in neural oscillatory speed.</w:t>
      </w:r>
    </w:p>
    <w:p>
      <w:pPr>
        <w:pStyle w:val="ListNumber"/>
      </w:pPr>
      <w:r>
        <w:t>A Cognitive Correlation: Individual-level analysis of 29 AD patients demonstrated a meaningful relationship between brain rhythm speed and MoCa-measured cognitive performance, with the most severely impaired patients consistently showing the slowest brain rhythms.</w:t>
      </w:r>
    </w:p>
    <w:p>
      <w:pPr>
        <w:pStyle w:val="ListNumber"/>
      </w:pPr>
      <w:r>
        <w:t>A Universal Decay Pattern: The observation that multiple dementia subtypes (AD, FTD, PD) all show oscillatory slowing suggests that rhythm decay may be a fundamental biomarker of neurodegeneration, not limited to a single disease entity.</w:t>
      </w:r>
    </w:p>
    <w:p>
      <w:r>
        <w:t>The Unified Rhythm-Decay Theory proposed in this paper frames Alzheimer's disease as a disorder of neural synchronization, detectable through the progressive slowing of cortical oscillations. If validated through larger, prospective, longitudinal studies, this approach has the potential to transform Alzheimer's screening from an expensive, hospital-based procedure into an affordable, widely accessible clinical tool that could be deployed in any clinic worldwide.</w:t>
      </w:r>
    </w:p>
    <w:p>
      <w:r>
        <w:t>The path from laboratory discovery to clinical impact is long, but the foundation has been laid. The data speaks clearly: the brain's rhythm is its signature of health, and when that rhythm breaks, we now have the tools to hear it.</w:t>
      </w:r>
    </w:p>
    <w:p>
      <w:r>
        <w:br w:type="page"/>
      </w:r>
    </w:p>
    <w:p>
      <w:pPr>
        <w:pStyle w:val="Heading1"/>
      </w:pPr>
      <w:r>
        <w:t>9. References</w:t>
      </w:r>
    </w:p>
    <w:p>
      <w:pPr>
        <w:ind w:left="720" w:hanging="720"/>
      </w:pPr>
      <w:r>
        <w:rPr>
          <w:sz w:val="22"/>
        </w:rPr>
        <w:t>[1]  Babiloni, C., Barry, R.J., Başar, E., et al. (2020). International Federation of Clinical Neurophysiology (IFCN) — EEG research workgroup: Recommendations on frequency and topographic analysis of resting state EEG rhythms. Part 1: Applications in clinical research studies. Clinical Neurophysiology, 131(1), 285-307.</w:t>
      </w:r>
    </w:p>
    <w:p>
      <w:pPr>
        <w:ind w:left="720" w:hanging="720"/>
      </w:pPr>
      <w:r>
        <w:rPr>
          <w:sz w:val="22"/>
        </w:rPr>
        <w:t>[2]  Coben, L.A., Danziger, W., &amp; Storandt, M. (1985). A longitudinal EEG study of mild senile dementia of Alzheimer type. Electroencephalography and Clinical Neurophysiology, 61(2), 101-112.</w:t>
      </w:r>
    </w:p>
    <w:p>
      <w:pPr>
        <w:ind w:left="720" w:hanging="720"/>
      </w:pPr>
      <w:r>
        <w:rPr>
          <w:sz w:val="22"/>
        </w:rPr>
        <w:t>[3]  Grandy, T.H., Werkle-Bergner, M., Chicherio, C., et al. (2013). Individual alpha peak frequency is related to latent factors of general cognitive abilities. NeuroImage, 79, 10-18.</w:t>
      </w:r>
    </w:p>
    <w:p>
      <w:pPr>
        <w:ind w:left="720" w:hanging="720"/>
      </w:pPr>
      <w:r>
        <w:rPr>
          <w:sz w:val="22"/>
        </w:rPr>
        <w:t>[4]  Gramfort, A., Luessi, M., Larson, E., et al. (2013). MEG and EEG data analysis with MNE-Python. Frontiers in Neuroscience, 7, 267.</w:t>
      </w:r>
    </w:p>
    <w:p>
      <w:pPr>
        <w:ind w:left="720" w:hanging="720"/>
      </w:pPr>
      <w:r>
        <w:rPr>
          <w:sz w:val="22"/>
        </w:rPr>
        <w:t>[5]  Jelic, V., Johansson, S.E., Almkvist, O., et al. (2000). Quantitative electroencephalography in mild cognitive impairment: longitudinal changes and possible prediction of Alzheimer's disease. Neurobiology of Aging, 21(4), 533-540.</w:t>
      </w:r>
    </w:p>
    <w:p>
      <w:pPr>
        <w:ind w:left="720" w:hanging="720"/>
      </w:pPr>
      <w:r>
        <w:rPr>
          <w:sz w:val="22"/>
        </w:rPr>
        <w:t>[6]  Klimesch, W. (1996). Memory processes, brain oscillations and EEG synchronization. International Journal of Psychophysiology, 24(1-2), 61-100.</w:t>
      </w:r>
    </w:p>
    <w:p>
      <w:pPr>
        <w:ind w:left="720" w:hanging="720"/>
      </w:pPr>
      <w:r>
        <w:rPr>
          <w:sz w:val="22"/>
        </w:rPr>
        <w:t>[7]  Klimesch, W. (1999). EEG alpha and theta oscillations reflect cognitive and memory performance: a review and analysis. Brain Research Reviews, 29(2-3), 169-195.</w:t>
      </w:r>
    </w:p>
    <w:p>
      <w:pPr>
        <w:ind w:left="720" w:hanging="720"/>
      </w:pPr>
      <w:r>
        <w:rPr>
          <w:sz w:val="22"/>
        </w:rPr>
        <w:t>[8]  Lopes da Silva, F. (2013). EEG and MEG: relevance to neuroscience. Neuron, 80(5), 1112-1128.</w:t>
      </w:r>
    </w:p>
    <w:p>
      <w:pPr>
        <w:ind w:left="720" w:hanging="720"/>
      </w:pPr>
      <w:r>
        <w:rPr>
          <w:sz w:val="22"/>
        </w:rPr>
        <w:t>[9]  Penttilä, M., Partanen, J.V., Soininen, H., &amp; Riekkinen, P.J. (1985). Quantitative analysis of occipital EEG in different stages of Alzheimer's disease. Electroencephalography and Clinical Neurophysiology, 60(1), 1-6.</w:t>
      </w:r>
    </w:p>
    <w:p>
      <w:pPr>
        <w:ind w:left="720" w:hanging="720"/>
      </w:pPr>
      <w:r>
        <w:rPr>
          <w:sz w:val="22"/>
        </w:rPr>
        <w:t>[10]  Prado-Gutiérrez, P., et al. (2023). BrainLat: A multimodal neuroimaging dataset for Latin American brain health research. Scientific Data, 10, 889.</w:t>
      </w:r>
    </w:p>
    <w:p>
      <w:pPr>
        <w:ind w:left="720" w:hanging="720"/>
      </w:pPr>
      <w:r>
        <w:rPr>
          <w:sz w:val="22"/>
        </w:rPr>
        <w:t>[11]  World Health Organization. (2023). Dementia Fact Sheet. WHO Global Health Estimates.</w:t>
      </w:r>
    </w:p>
    <w:p>
      <w:r>
        <w:br w:type="page"/>
      </w:r>
    </w:p>
    <w:p/>
    <w:p/>
    <w:p/>
    <w:p/>
    <w:p/>
    <w:p/>
    <w:p/>
    <w:p/>
    <w:p>
      <w:pPr>
        <w:jc w:val="center"/>
      </w:pPr>
      <w:r>
        <w:rPr>
          <w:b/>
          <w:color w:val="1A5C97"/>
          <w:sz w:val="40"/>
        </w:rPr>
        <w:t>Project Neuro-Bridge</w:t>
      </w:r>
    </w:p>
    <w:p>
      <w:pPr>
        <w:jc w:val="center"/>
      </w:pPr>
      <w:r>
        <w:rPr>
          <w:sz w:val="24"/>
        </w:rPr>
        <w:t>© 2026 Mohan Krishna. All rights reserved.</w:t>
      </w:r>
    </w:p>
    <w:p>
      <w:pPr>
        <w:jc w:val="center"/>
      </w:pPr>
      <w:r>
        <w:rPr>
          <w:i/>
          <w:sz w:val="20"/>
        </w:rPr>
        <w:t>This document is intended for research and academic purposes.</w:t>
        <w:br/>
        <w:t>Please cite appropriately if referencing this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