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F34EB" w14:textId="77777777" w:rsidR="005E1169" w:rsidRDefault="005E1169" w:rsidP="005E1169">
      <w:pPr>
        <w:spacing w:line="480" w:lineRule="auto"/>
        <w:contextualSpacing w:val="0"/>
        <w:rPr>
          <w:b/>
        </w:rPr>
      </w:pPr>
      <w:bookmarkStart w:id="0" w:name="_Hlk522186976"/>
      <w:r>
        <w:rPr>
          <w:noProof/>
          <w:lang w:val="en-US" w:eastAsia="zh-CN"/>
        </w:rPr>
        <w:drawing>
          <wp:anchor distT="0" distB="0" distL="114300" distR="114300" simplePos="0" relativeHeight="251659264" behindDoc="0" locked="0" layoutInCell="1" allowOverlap="1" wp14:anchorId="2E52DC6E" wp14:editId="3BDF2D1F">
            <wp:simplePos x="0" y="0"/>
            <wp:positionH relativeFrom="page">
              <wp:posOffset>5025031</wp:posOffset>
            </wp:positionH>
            <wp:positionV relativeFrom="page">
              <wp:posOffset>325148</wp:posOffset>
            </wp:positionV>
            <wp:extent cx="2431909" cy="852531"/>
            <wp:effectExtent l="0" t="0" r="0" b="0"/>
            <wp:wrapNone/>
            <wp:docPr id="2" name="Picture 2" descr="https://lh5.googleusercontent.com/0vkC7MA0O9gzTYN0Hu2we-5D95p5XU0LHkyu3urFXReNzLSh-0qG3LbodpgmlBj_xR8w6MkQtB4N7kNkDzjL6x7dMTR58cJMxIymzdwAy8hSkwZmABCZzm28Nt3fyiS8sSv0TBsTR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0vkC7MA0O9gzTYN0Hu2we-5D95p5XU0LHkyu3urFXReNzLSh-0qG3LbodpgmlBj_xR8w6MkQtB4N7kNkDzjL6x7dMTR58cJMxIymzdwAy8hSkwZmABCZzm28Nt3fyiS8sSv0TBsTRd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1909" cy="8525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1E211E" w14:textId="77777777" w:rsidR="005E1169" w:rsidRDefault="005E1169" w:rsidP="005E1169">
      <w:pPr>
        <w:spacing w:line="480" w:lineRule="auto"/>
        <w:contextualSpacing w:val="0"/>
        <w:rPr>
          <w:b/>
        </w:rPr>
      </w:pPr>
    </w:p>
    <w:p w14:paraId="50E95E94" w14:textId="77777777" w:rsidR="005E1169" w:rsidRDefault="005E1169" w:rsidP="005E1169">
      <w:pPr>
        <w:spacing w:line="480" w:lineRule="auto"/>
        <w:contextualSpacing w:val="0"/>
        <w:rPr>
          <w:b/>
        </w:rPr>
      </w:pPr>
    </w:p>
    <w:p w14:paraId="23DE3613" w14:textId="77777777" w:rsidR="005E1169" w:rsidRDefault="005E1169" w:rsidP="005E1169">
      <w:pPr>
        <w:spacing w:line="480" w:lineRule="auto"/>
        <w:contextualSpacing w:val="0"/>
        <w:rPr>
          <w:b/>
        </w:rPr>
      </w:pPr>
    </w:p>
    <w:p w14:paraId="1ECD365E" w14:textId="77777777" w:rsidR="005E1169" w:rsidRDefault="005E1169" w:rsidP="005E1169">
      <w:pPr>
        <w:spacing w:line="480" w:lineRule="auto"/>
        <w:contextualSpacing w:val="0"/>
        <w:rPr>
          <w:b/>
        </w:rPr>
      </w:pPr>
    </w:p>
    <w:p w14:paraId="41AB8838" w14:textId="77777777" w:rsidR="005E1169" w:rsidRDefault="005E1169" w:rsidP="005E1169">
      <w:pPr>
        <w:spacing w:line="480" w:lineRule="auto"/>
        <w:contextualSpacing w:val="0"/>
        <w:rPr>
          <w:b/>
        </w:rPr>
      </w:pPr>
    </w:p>
    <w:p w14:paraId="6C959E8A" w14:textId="77777777" w:rsidR="005E1169" w:rsidRDefault="005E1169" w:rsidP="005E1169">
      <w:pPr>
        <w:spacing w:line="480" w:lineRule="auto"/>
        <w:contextualSpacing w:val="0"/>
        <w:rPr>
          <w:b/>
        </w:rPr>
      </w:pPr>
    </w:p>
    <w:p w14:paraId="42EFF7F0" w14:textId="77777777" w:rsidR="005E1169" w:rsidRDefault="005E1169" w:rsidP="005E1169">
      <w:pPr>
        <w:spacing w:line="480" w:lineRule="auto"/>
        <w:contextualSpacing w:val="0"/>
        <w:rPr>
          <w:b/>
        </w:rPr>
      </w:pPr>
      <w:r>
        <w:rPr>
          <w:noProof/>
          <w:lang w:val="en-US" w:eastAsia="zh-CN"/>
        </w:rPr>
        <mc:AlternateContent>
          <mc:Choice Requires="wps">
            <w:drawing>
              <wp:anchor distT="45720" distB="45720" distL="114300" distR="114300" simplePos="0" relativeHeight="251661312" behindDoc="0" locked="0" layoutInCell="1" allowOverlap="1" wp14:anchorId="7BD2CAD6" wp14:editId="60BC6602">
                <wp:simplePos x="0" y="0"/>
                <wp:positionH relativeFrom="margin">
                  <wp:posOffset>0</wp:posOffset>
                </wp:positionH>
                <wp:positionV relativeFrom="page">
                  <wp:posOffset>3389587</wp:posOffset>
                </wp:positionV>
                <wp:extent cx="5943600" cy="1718442"/>
                <wp:effectExtent l="19050" t="19050" r="19050" b="1524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18442"/>
                        </a:xfrm>
                        <a:prstGeom prst="rect">
                          <a:avLst/>
                        </a:prstGeom>
                        <a:noFill/>
                        <a:ln w="38100">
                          <a:solidFill>
                            <a:srgbClr val="44BA9A"/>
                          </a:solidFill>
                          <a:miter lim="800000"/>
                          <a:headEnd/>
                          <a:tailEnd/>
                        </a:ln>
                        <a:effectLst/>
                      </wps:spPr>
                      <wps:txbx>
                        <w:txbxContent>
                          <w:p w14:paraId="3E61ED69" w14:textId="77777777" w:rsidR="005E1169" w:rsidRDefault="005E1169" w:rsidP="005E1169">
                            <w:pPr>
                              <w:jc w:val="center"/>
                              <w:rPr>
                                <w:rFonts w:ascii="Avenir" w:hAnsi="Avenir"/>
                                <w:bCs/>
                                <w:noProof/>
                                <w:sz w:val="56"/>
                                <w:szCs w:val="40"/>
                              </w:rPr>
                            </w:pPr>
                            <w:r>
                              <w:rPr>
                                <w:rFonts w:ascii="Avenir" w:hAnsi="Avenir"/>
                                <w:bCs/>
                                <w:noProof/>
                                <w:sz w:val="56"/>
                                <w:szCs w:val="40"/>
                              </w:rPr>
                              <w:t>The Role of Medication Adherence and Digital Health in the Shift Towards Value-Based Health Care</w:t>
                            </w:r>
                          </w:p>
                          <w:p w14:paraId="4DDDBC3F" w14:textId="77777777" w:rsidR="005E1169" w:rsidRDefault="005E1169" w:rsidP="005E1169">
                            <w:pPr>
                              <w:jc w:val="center"/>
                              <w:rPr>
                                <w:rFonts w:ascii="Avenir" w:hAnsi="Avenir"/>
                                <w:bCs/>
                                <w:noProof/>
                                <w:sz w:val="56"/>
                                <w:szCs w:val="40"/>
                              </w:rPr>
                            </w:pPr>
                          </w:p>
                          <w:p w14:paraId="4E8B9454" w14:textId="77777777" w:rsidR="005E1169" w:rsidRPr="00AA267F" w:rsidRDefault="005E1169" w:rsidP="005E1169">
                            <w:pPr>
                              <w:jc w:val="center"/>
                              <w:rPr>
                                <w:rFonts w:ascii="Avenir" w:hAnsi="Avenir"/>
                                <w:bCs/>
                                <w:noProof/>
                                <w:sz w:val="48"/>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76AB2ADA" id="_x0000_t202" coordsize="21600,21600" o:spt="202" path="m,l,21600r21600,l21600,xe">
                <v:stroke joinstyle="miter"/>
                <v:path gradientshapeok="t" o:connecttype="rect"/>
              </v:shapetype>
              <v:shape id="Text Box 2" o:spid="_x0000_s1026" type="#_x0000_t202" style="position:absolute;margin-left:0;margin-top:266.9pt;width:468pt;height:135.3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" filled="f" strokecolor="#44ba9a" strokeweight="3pt">
                <v:textbox>
                  <w:txbxContent>
                    <w:p w:rsidR="005E1169" w:rsidRDefault="005E1169" w:rsidP="005E1169">
                      <w:pPr>
                        <w:jc w:val="center"/>
                        <w:rPr>
                          <w:rFonts w:ascii="Avenir" w:hAnsi="Avenir"/>
                          <w:bCs/>
                          <w:noProof/>
                          <w:sz w:val="56"/>
                          <w:szCs w:val="40"/>
                        </w:rPr>
                      </w:pPr>
                      <w:r>
                        <w:rPr>
                          <w:rFonts w:ascii="Avenir" w:hAnsi="Avenir"/>
                          <w:bCs/>
                          <w:noProof/>
                          <w:sz w:val="56"/>
                          <w:szCs w:val="40"/>
                        </w:rPr>
                        <w:t>The Role of Medication Adherence and Digital Health in the Shift Towards Value-Based Health Care</w:t>
                      </w:r>
                    </w:p>
                    <w:p w:rsidR="005E1169" w:rsidRDefault="005E1169" w:rsidP="005E1169">
                      <w:pPr>
                        <w:jc w:val="center"/>
                        <w:rPr>
                          <w:rFonts w:ascii="Avenir" w:hAnsi="Avenir"/>
                          <w:bCs/>
                          <w:noProof/>
                          <w:sz w:val="56"/>
                          <w:szCs w:val="40"/>
                        </w:rPr>
                      </w:pPr>
                    </w:p>
                    <w:p w:rsidR="005E1169" w:rsidRPr="00AA267F" w:rsidRDefault="005E1169" w:rsidP="005E1169">
                      <w:pPr>
                        <w:jc w:val="center"/>
                        <w:rPr>
                          <w:rFonts w:ascii="Avenir" w:hAnsi="Avenir"/>
                          <w:bCs/>
                          <w:noProof/>
                          <w:sz w:val="48"/>
                          <w:szCs w:val="40"/>
                        </w:rPr>
                      </w:pPr>
                    </w:p>
                  </w:txbxContent>
                </v:textbox>
                <w10:wrap anchorx="margin" anchory="page"/>
              </v:shape>
            </w:pict>
          </mc:Fallback>
        </mc:AlternateContent>
      </w:r>
    </w:p>
    <w:p w14:paraId="0B0789EF" w14:textId="77777777" w:rsidR="005E1169" w:rsidRDefault="005E1169" w:rsidP="005E1169">
      <w:pPr>
        <w:spacing w:line="480" w:lineRule="auto"/>
        <w:contextualSpacing w:val="0"/>
        <w:rPr>
          <w:b/>
        </w:rPr>
      </w:pPr>
    </w:p>
    <w:p w14:paraId="3B433DD6" w14:textId="77777777" w:rsidR="005E1169" w:rsidRDefault="005E1169" w:rsidP="005E1169">
      <w:pPr>
        <w:spacing w:line="480" w:lineRule="auto"/>
        <w:contextualSpacing w:val="0"/>
        <w:rPr>
          <w:b/>
        </w:rPr>
      </w:pPr>
    </w:p>
    <w:p w14:paraId="1DA8146F" w14:textId="77777777" w:rsidR="005E1169" w:rsidRDefault="005E1169" w:rsidP="005E1169">
      <w:pPr>
        <w:spacing w:line="480" w:lineRule="auto"/>
        <w:contextualSpacing w:val="0"/>
        <w:rPr>
          <w:b/>
        </w:rPr>
      </w:pPr>
    </w:p>
    <w:p w14:paraId="5424AA0F" w14:textId="77777777" w:rsidR="005E1169" w:rsidRDefault="005E1169" w:rsidP="005E1169">
      <w:pPr>
        <w:spacing w:line="480" w:lineRule="auto"/>
        <w:contextualSpacing w:val="0"/>
        <w:rPr>
          <w:b/>
        </w:rPr>
      </w:pPr>
    </w:p>
    <w:p w14:paraId="1D9CE315" w14:textId="77777777" w:rsidR="005E1169" w:rsidRDefault="005E1169" w:rsidP="005E1169">
      <w:pPr>
        <w:spacing w:line="480" w:lineRule="auto"/>
        <w:contextualSpacing w:val="0"/>
        <w:rPr>
          <w:b/>
        </w:rPr>
      </w:pPr>
    </w:p>
    <w:p w14:paraId="26C06A1B" w14:textId="77777777" w:rsidR="005E1169" w:rsidRDefault="005E1169" w:rsidP="005E1169">
      <w:pPr>
        <w:spacing w:line="480" w:lineRule="auto"/>
        <w:contextualSpacing w:val="0"/>
        <w:rPr>
          <w:b/>
        </w:rPr>
      </w:pPr>
    </w:p>
    <w:p w14:paraId="3EB3609B" w14:textId="77777777" w:rsidR="005E1169" w:rsidRDefault="005E1169" w:rsidP="005E1169">
      <w:pPr>
        <w:spacing w:line="480" w:lineRule="auto"/>
        <w:contextualSpacing w:val="0"/>
        <w:rPr>
          <w:b/>
        </w:rPr>
      </w:pPr>
      <w:r w:rsidRPr="00AA267F">
        <w:rPr>
          <w:b/>
          <w:noProof/>
          <w:lang w:val="en-US" w:eastAsia="zh-CN"/>
        </w:rPr>
        <mc:AlternateContent>
          <mc:Choice Requires="wps">
            <w:drawing>
              <wp:anchor distT="45720" distB="45720" distL="114300" distR="114300" simplePos="0" relativeHeight="251662336" behindDoc="0" locked="0" layoutInCell="1" allowOverlap="1" wp14:anchorId="36A234B7" wp14:editId="07CD3018">
                <wp:simplePos x="0" y="0"/>
                <wp:positionH relativeFrom="column">
                  <wp:posOffset>1783080</wp:posOffset>
                </wp:positionH>
                <wp:positionV relativeFrom="paragraph">
                  <wp:posOffset>15240</wp:posOffset>
                </wp:positionV>
                <wp:extent cx="2373630" cy="763905"/>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763905"/>
                        </a:xfrm>
                        <a:prstGeom prst="rect">
                          <a:avLst/>
                        </a:prstGeom>
                        <a:solidFill>
                          <a:srgbClr val="FFFFFF"/>
                        </a:solidFill>
                        <a:ln w="9525">
                          <a:noFill/>
                          <a:miter lim="800000"/>
                          <a:headEnd/>
                          <a:tailEnd/>
                        </a:ln>
                      </wps:spPr>
                      <wps:txbx>
                        <w:txbxContent>
                          <w:p w14:paraId="364047A9" w14:textId="0B744B4B" w:rsidR="00BC1DE8" w:rsidRDefault="00BC1DE8" w:rsidP="005E1169">
                            <w:pPr>
                              <w:jc w:val="center"/>
                              <w:rPr>
                                <w:rFonts w:ascii="Avenir" w:hAnsi="Avenir"/>
                                <w:b/>
                                <w:bCs/>
                                <w:noProof/>
                                <w:color w:val="44BA9A"/>
                                <w:sz w:val="48"/>
                                <w:szCs w:val="40"/>
                              </w:rPr>
                            </w:pPr>
                            <w:r>
                              <w:rPr>
                                <w:rFonts w:ascii="Avenir" w:hAnsi="Avenir"/>
                                <w:b/>
                                <w:bCs/>
                                <w:noProof/>
                                <w:color w:val="44BA9A"/>
                                <w:sz w:val="48"/>
                                <w:szCs w:val="40"/>
                              </w:rPr>
                              <w:t>Marina Krygin</w:t>
                            </w:r>
                          </w:p>
                          <w:p w14:paraId="5056704D" w14:textId="77777777" w:rsidR="00BC1DE8" w:rsidRPr="00BC1DE8" w:rsidRDefault="00BC1DE8" w:rsidP="00BC1DE8">
                            <w:pPr>
                              <w:jc w:val="center"/>
                              <w:rPr>
                                <w:rFonts w:ascii="Avenir" w:hAnsi="Avenir"/>
                                <w:bCs/>
                                <w:noProof/>
                                <w:color w:val="44BA9A"/>
                                <w:sz w:val="48"/>
                                <w:szCs w:val="40"/>
                              </w:rPr>
                            </w:pPr>
                            <w:r w:rsidRPr="00BC1DE8">
                              <w:rPr>
                                <w:rFonts w:ascii="Avenir" w:hAnsi="Avenir"/>
                                <w:bCs/>
                                <w:noProof/>
                                <w:color w:val="44BA9A"/>
                                <w:sz w:val="48"/>
                                <w:szCs w:val="40"/>
                              </w:rPr>
                              <w:t>August 2018</w:t>
                            </w:r>
                          </w:p>
                          <w:p w14:paraId="07793798" w14:textId="77777777" w:rsidR="00BC1DE8" w:rsidRPr="00AA267F" w:rsidRDefault="00BC1DE8" w:rsidP="005E1169">
                            <w:pPr>
                              <w:jc w:val="center"/>
                              <w:rPr>
                                <w:rFonts w:ascii="Avenir" w:hAnsi="Avenir"/>
                                <w:b/>
                                <w:bCs/>
                                <w:noProof/>
                                <w:color w:val="44BA9A"/>
                                <w:sz w:val="48"/>
                                <w:szCs w:val="40"/>
                              </w:rPr>
                            </w:pPr>
                          </w:p>
                          <w:p w14:paraId="766C76BE" w14:textId="77777777" w:rsidR="005E1169" w:rsidRDefault="005E1169" w:rsidP="005E116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6A234B7" id="_x0000_t202" coordsize="21600,21600" o:spt="202" path="m,l,21600r21600,l21600,xe">
                <v:stroke joinstyle="miter"/>
                <v:path gradientshapeok="t" o:connecttype="rect"/>
              </v:shapetype>
              <v:shape id="_x0000_s1027" type="#_x0000_t202" style="position:absolute;margin-left:140.4pt;margin-top:1.2pt;width:186.9pt;height:60.1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" stroked="f">
                <v:textbox style="mso-fit-shape-to-text:t">
                  <w:txbxContent>
                    <w:p w14:paraId="364047A9" w14:textId="0B744B4B" w:rsidR="00BC1DE8" w:rsidRDefault="00BC1DE8" w:rsidP="005E1169">
                      <w:pPr>
                        <w:jc w:val="center"/>
                        <w:rPr>
                          <w:rFonts w:ascii="Avenir" w:hAnsi="Avenir"/>
                          <w:b/>
                          <w:bCs/>
                          <w:noProof/>
                          <w:color w:val="44BA9A"/>
                          <w:sz w:val="48"/>
                          <w:szCs w:val="40"/>
                        </w:rPr>
                      </w:pPr>
                      <w:r>
                        <w:rPr>
                          <w:rFonts w:ascii="Avenir" w:hAnsi="Avenir"/>
                          <w:b/>
                          <w:bCs/>
                          <w:noProof/>
                          <w:color w:val="44BA9A"/>
                          <w:sz w:val="48"/>
                          <w:szCs w:val="40"/>
                        </w:rPr>
                        <w:t>Marina Krygin</w:t>
                      </w:r>
                    </w:p>
                    <w:p w14:paraId="5056704D" w14:textId="77777777" w:rsidR="00BC1DE8" w:rsidRPr="00BC1DE8" w:rsidRDefault="00BC1DE8" w:rsidP="00BC1DE8">
                      <w:pPr>
                        <w:jc w:val="center"/>
                        <w:rPr>
                          <w:rFonts w:ascii="Avenir" w:hAnsi="Avenir"/>
                          <w:bCs/>
                          <w:noProof/>
                          <w:color w:val="44BA9A"/>
                          <w:sz w:val="48"/>
                          <w:szCs w:val="40"/>
                        </w:rPr>
                      </w:pPr>
                      <w:r w:rsidRPr="00BC1DE8">
                        <w:rPr>
                          <w:rFonts w:ascii="Avenir" w:hAnsi="Avenir"/>
                          <w:bCs/>
                          <w:noProof/>
                          <w:color w:val="44BA9A"/>
                          <w:sz w:val="48"/>
                          <w:szCs w:val="40"/>
                        </w:rPr>
                        <w:t>August 2018</w:t>
                      </w:r>
                    </w:p>
                    <w:p w14:paraId="07793798" w14:textId="77777777" w:rsidR="00BC1DE8" w:rsidRPr="00AA267F" w:rsidRDefault="00BC1DE8" w:rsidP="005E1169">
                      <w:pPr>
                        <w:jc w:val="center"/>
                        <w:rPr>
                          <w:rFonts w:ascii="Avenir" w:hAnsi="Avenir"/>
                          <w:b/>
                          <w:bCs/>
                          <w:noProof/>
                          <w:color w:val="44BA9A"/>
                          <w:sz w:val="48"/>
                          <w:szCs w:val="40"/>
                        </w:rPr>
                      </w:pPr>
                    </w:p>
                    <w:p w14:paraId="766C76BE" w14:textId="77777777" w:rsidR="005E1169" w:rsidRDefault="005E1169" w:rsidP="005E1169"/>
                  </w:txbxContent>
                </v:textbox>
                <w10:wrap type="square"/>
              </v:shape>
            </w:pict>
          </mc:Fallback>
        </mc:AlternateContent>
      </w:r>
    </w:p>
    <w:p w14:paraId="028DE923" w14:textId="77777777" w:rsidR="005E1169" w:rsidRDefault="005E1169" w:rsidP="005E1169">
      <w:pPr>
        <w:spacing w:line="480" w:lineRule="auto"/>
        <w:contextualSpacing w:val="0"/>
        <w:rPr>
          <w:b/>
        </w:rPr>
      </w:pPr>
    </w:p>
    <w:p w14:paraId="19359A7D" w14:textId="77777777" w:rsidR="005E1169" w:rsidRDefault="005E1169" w:rsidP="005E1169">
      <w:pPr>
        <w:spacing w:line="480" w:lineRule="auto"/>
        <w:contextualSpacing w:val="0"/>
        <w:rPr>
          <w:b/>
        </w:rPr>
      </w:pPr>
    </w:p>
    <w:p w14:paraId="38747EC9" w14:textId="77777777" w:rsidR="005E1169" w:rsidRDefault="005E1169" w:rsidP="005E1169">
      <w:pPr>
        <w:spacing w:line="480" w:lineRule="auto"/>
        <w:contextualSpacing w:val="0"/>
        <w:rPr>
          <w:b/>
        </w:rPr>
      </w:pPr>
    </w:p>
    <w:p w14:paraId="6830B989" w14:textId="77777777" w:rsidR="005E1169" w:rsidRDefault="005E1169" w:rsidP="005E1169">
      <w:pPr>
        <w:spacing w:line="480" w:lineRule="auto"/>
        <w:contextualSpacing w:val="0"/>
        <w:rPr>
          <w:b/>
        </w:rPr>
      </w:pPr>
    </w:p>
    <w:p w14:paraId="304AB8C7" w14:textId="77777777" w:rsidR="005E1169" w:rsidRDefault="005E1169" w:rsidP="005E1169">
      <w:pPr>
        <w:spacing w:line="480" w:lineRule="auto"/>
        <w:contextualSpacing w:val="0"/>
        <w:rPr>
          <w:b/>
        </w:rPr>
      </w:pPr>
      <w:bookmarkStart w:id="1" w:name="_GoBack"/>
      <w:bookmarkEnd w:id="1"/>
    </w:p>
    <w:p w14:paraId="3D9F755F" w14:textId="77777777" w:rsidR="005E1169" w:rsidRDefault="005E1169" w:rsidP="005E1169">
      <w:pPr>
        <w:spacing w:line="480" w:lineRule="auto"/>
        <w:contextualSpacing w:val="0"/>
        <w:rPr>
          <w:b/>
        </w:rPr>
      </w:pPr>
    </w:p>
    <w:p w14:paraId="29669781" w14:textId="77777777" w:rsidR="005E1169" w:rsidRDefault="005E1169" w:rsidP="005E1169">
      <w:pPr>
        <w:spacing w:line="480" w:lineRule="auto"/>
        <w:contextualSpacing w:val="0"/>
        <w:rPr>
          <w:b/>
        </w:rPr>
      </w:pPr>
    </w:p>
    <w:p w14:paraId="5FCEE91B" w14:textId="77777777" w:rsidR="005E1169" w:rsidRDefault="005E1169" w:rsidP="005E1169">
      <w:pPr>
        <w:spacing w:line="480" w:lineRule="auto"/>
        <w:contextualSpacing w:val="0"/>
        <w:rPr>
          <w:b/>
        </w:rPr>
      </w:pPr>
    </w:p>
    <w:p w14:paraId="1FD1A852" w14:textId="77777777" w:rsidR="005E1169" w:rsidRDefault="005E1169" w:rsidP="005E1169">
      <w:pPr>
        <w:spacing w:line="480" w:lineRule="auto"/>
        <w:contextualSpacing w:val="0"/>
        <w:rPr>
          <w:b/>
        </w:rPr>
      </w:pPr>
    </w:p>
    <w:p w14:paraId="493320C3" w14:textId="77777777" w:rsidR="005E1169" w:rsidRDefault="005E1169" w:rsidP="005E1169">
      <w:pPr>
        <w:spacing w:line="480" w:lineRule="auto"/>
        <w:contextualSpacing w:val="0"/>
        <w:rPr>
          <w:b/>
        </w:rPr>
      </w:pPr>
    </w:p>
    <w:p w14:paraId="497CC3EA" w14:textId="77777777" w:rsidR="005E1169" w:rsidRDefault="005E1169" w:rsidP="005E1169">
      <w:pPr>
        <w:spacing w:line="480" w:lineRule="auto"/>
        <w:contextualSpacing w:val="0"/>
        <w:rPr>
          <w:b/>
        </w:rPr>
      </w:pPr>
    </w:p>
    <w:p w14:paraId="5274B123" w14:textId="77777777" w:rsidR="005E1169" w:rsidRDefault="005E1169" w:rsidP="005E1169">
      <w:pPr>
        <w:spacing w:line="480" w:lineRule="auto"/>
        <w:contextualSpacing w:val="0"/>
        <w:rPr>
          <w:rFonts w:ascii="Avenir" w:hAnsi="Avenir"/>
          <w:b/>
        </w:rPr>
      </w:pPr>
      <w:r>
        <w:rPr>
          <w:noProof/>
          <w:lang w:val="en-US" w:eastAsia="zh-CN"/>
        </w:rPr>
        <w:lastRenderedPageBreak/>
        <mc:AlternateContent>
          <mc:Choice Requires="wps">
            <w:drawing>
              <wp:anchor distT="45720" distB="45720" distL="114300" distR="114300" simplePos="0" relativeHeight="251664384" behindDoc="0" locked="0" layoutInCell="1" allowOverlap="1" wp14:anchorId="65BAB380" wp14:editId="46852AD6">
                <wp:simplePos x="0" y="0"/>
                <wp:positionH relativeFrom="margin">
                  <wp:posOffset>1382232</wp:posOffset>
                </wp:positionH>
                <wp:positionV relativeFrom="page">
                  <wp:posOffset>765146</wp:posOffset>
                </wp:positionV>
                <wp:extent cx="3189767" cy="616688"/>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767" cy="616688"/>
                        </a:xfrm>
                        <a:prstGeom prst="rect">
                          <a:avLst/>
                        </a:prstGeom>
                        <a:noFill/>
                        <a:ln w="38100">
                          <a:noFill/>
                          <a:miter lim="800000"/>
                          <a:headEnd/>
                          <a:tailEnd/>
                        </a:ln>
                        <a:effectLst/>
                      </wps:spPr>
                      <wps:txbx>
                        <w:txbxContent>
                          <w:p w14:paraId="36EABA45" w14:textId="77777777" w:rsidR="005E1169" w:rsidRDefault="005E1169" w:rsidP="005E1169">
                            <w:pPr>
                              <w:jc w:val="center"/>
                              <w:rPr>
                                <w:rFonts w:ascii="Avenir" w:hAnsi="Avenir"/>
                                <w:bCs/>
                                <w:noProof/>
                                <w:sz w:val="56"/>
                                <w:szCs w:val="40"/>
                              </w:rPr>
                            </w:pPr>
                            <w:r>
                              <w:rPr>
                                <w:rFonts w:ascii="Avenir" w:hAnsi="Avenir"/>
                                <w:bCs/>
                                <w:noProof/>
                                <w:sz w:val="56"/>
                                <w:szCs w:val="40"/>
                              </w:rPr>
                              <w:t>Table of Contents</w:t>
                            </w:r>
                          </w:p>
                          <w:p w14:paraId="65F8BB56" w14:textId="77777777" w:rsidR="005E1169" w:rsidRDefault="005E1169" w:rsidP="005E1169">
                            <w:pPr>
                              <w:jc w:val="center"/>
                              <w:rPr>
                                <w:rFonts w:ascii="Avenir" w:hAnsi="Avenir"/>
                                <w:bCs/>
                                <w:noProof/>
                                <w:sz w:val="56"/>
                                <w:szCs w:val="40"/>
                              </w:rPr>
                            </w:pPr>
                          </w:p>
                          <w:p w14:paraId="1237BD05" w14:textId="77777777" w:rsidR="005E1169" w:rsidRPr="00AA267F" w:rsidRDefault="005E1169" w:rsidP="005E1169">
                            <w:pPr>
                              <w:jc w:val="center"/>
                              <w:rPr>
                                <w:rFonts w:ascii="Avenir" w:hAnsi="Avenir"/>
                                <w:bCs/>
                                <w:noProof/>
                                <w:sz w:val="48"/>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539B9DB8" id="_x0000_s1028" type="#_x0000_t202" style="position:absolute;margin-left:108.85pt;margin-top:60.25pt;width:251.15pt;height:48.5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" filled="f" stroked="f" strokeweight="3pt">
                <v:textbox>
                  <w:txbxContent>
                    <w:p w:rsidR="005E1169" w:rsidRDefault="005E1169" w:rsidP="005E1169">
                      <w:pPr>
                        <w:jc w:val="center"/>
                        <w:rPr>
                          <w:rFonts w:ascii="Avenir" w:hAnsi="Avenir"/>
                          <w:bCs/>
                          <w:noProof/>
                          <w:sz w:val="56"/>
                          <w:szCs w:val="40"/>
                        </w:rPr>
                      </w:pPr>
                      <w:r>
                        <w:rPr>
                          <w:rFonts w:ascii="Avenir" w:hAnsi="Avenir"/>
                          <w:bCs/>
                          <w:noProof/>
                          <w:sz w:val="56"/>
                          <w:szCs w:val="40"/>
                        </w:rPr>
                        <w:t>Table of Contents</w:t>
                      </w:r>
                    </w:p>
                    <w:p w:rsidR="005E1169" w:rsidRDefault="005E1169" w:rsidP="005E1169">
                      <w:pPr>
                        <w:jc w:val="center"/>
                        <w:rPr>
                          <w:rFonts w:ascii="Avenir" w:hAnsi="Avenir"/>
                          <w:bCs/>
                          <w:noProof/>
                          <w:sz w:val="56"/>
                          <w:szCs w:val="40"/>
                        </w:rPr>
                      </w:pPr>
                    </w:p>
                    <w:p w:rsidR="005E1169" w:rsidRPr="00AA267F" w:rsidRDefault="005E1169" w:rsidP="005E1169">
                      <w:pPr>
                        <w:jc w:val="center"/>
                        <w:rPr>
                          <w:rFonts w:ascii="Avenir" w:hAnsi="Avenir"/>
                          <w:bCs/>
                          <w:noProof/>
                          <w:sz w:val="48"/>
                          <w:szCs w:val="40"/>
                        </w:rPr>
                      </w:pPr>
                    </w:p>
                  </w:txbxContent>
                </v:textbox>
                <w10:wrap anchorx="margin" anchory="page"/>
              </v:shape>
            </w:pict>
          </mc:Fallback>
        </mc:AlternateContent>
      </w:r>
    </w:p>
    <w:p w14:paraId="61BC7058" w14:textId="77777777" w:rsidR="005E1169" w:rsidRDefault="005E1169" w:rsidP="005E1169">
      <w:pPr>
        <w:spacing w:line="480" w:lineRule="auto"/>
        <w:contextualSpacing w:val="0"/>
        <w:rPr>
          <w:rFonts w:ascii="Avenir" w:hAnsi="Avenir"/>
          <w:b/>
        </w:rPr>
      </w:pPr>
      <w:r w:rsidRPr="00B37C2D">
        <w:rPr>
          <w:rFonts w:ascii="Avenir" w:hAnsi="Avenir"/>
          <w:b/>
          <w:noProof/>
          <w:lang w:val="en-US" w:eastAsia="zh-CN"/>
        </w:rPr>
        <mc:AlternateContent>
          <mc:Choice Requires="wps">
            <w:drawing>
              <wp:anchor distT="45720" distB="45720" distL="114300" distR="114300" simplePos="0" relativeHeight="251667456" behindDoc="0" locked="0" layoutInCell="1" allowOverlap="1" wp14:anchorId="7DC93ED0" wp14:editId="2C7BA10F">
                <wp:simplePos x="0" y="0"/>
                <wp:positionH relativeFrom="column">
                  <wp:posOffset>-346594</wp:posOffset>
                </wp:positionH>
                <wp:positionV relativeFrom="page">
                  <wp:posOffset>2001404</wp:posOffset>
                </wp:positionV>
                <wp:extent cx="6629400" cy="604710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6047105"/>
                        </a:xfrm>
                        <a:prstGeom prst="rect">
                          <a:avLst/>
                        </a:prstGeom>
                        <a:solidFill>
                          <a:srgbClr val="FFFFFF"/>
                        </a:solidFill>
                        <a:ln w="9525">
                          <a:noFill/>
                          <a:miter lim="800000"/>
                          <a:headEnd/>
                          <a:tailEnd/>
                        </a:ln>
                      </wps:spPr>
                      <wps:txbx>
                        <w:txbxContent>
                          <w:p w14:paraId="646AA5A6" w14:textId="77777777" w:rsidR="005E1169" w:rsidRDefault="005E1169" w:rsidP="005E1169">
                            <w:pPr>
                              <w:pStyle w:val="ListParagraph"/>
                              <w:numPr>
                                <w:ilvl w:val="0"/>
                                <w:numId w:val="2"/>
                              </w:numPr>
                              <w:spacing w:after="200" w:line="360" w:lineRule="auto"/>
                              <w:rPr>
                                <w:rFonts w:ascii="Avenir" w:hAnsi="Avenir"/>
                                <w:sz w:val="48"/>
                                <w:szCs w:val="28"/>
                              </w:rPr>
                            </w:pPr>
                            <w:r w:rsidRPr="00B37C2D">
                              <w:rPr>
                                <w:rFonts w:ascii="Avenir" w:hAnsi="Avenir"/>
                                <w:sz w:val="48"/>
                                <w:szCs w:val="28"/>
                              </w:rPr>
                              <w:t>Introduction</w:t>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sidRPr="0019685E">
                              <w:rPr>
                                <w:rFonts w:ascii="Avenir" w:hAnsi="Avenir"/>
                                <w:color w:val="7F7F7F" w:themeColor="text1" w:themeTint="80"/>
                                <w:sz w:val="48"/>
                                <w:szCs w:val="28"/>
                              </w:rPr>
                              <w:t>0</w:t>
                            </w:r>
                            <w:r w:rsidRPr="007632D0">
                              <w:rPr>
                                <w:rFonts w:ascii="Avenir" w:hAnsi="Avenir"/>
                                <w:color w:val="7F7F7F" w:themeColor="text1" w:themeTint="80"/>
                                <w:sz w:val="48"/>
                                <w:szCs w:val="28"/>
                              </w:rPr>
                              <w:t>3</w:t>
                            </w:r>
                            <w:r>
                              <w:rPr>
                                <w:rFonts w:ascii="Avenir" w:hAnsi="Avenir"/>
                                <w:sz w:val="48"/>
                                <w:szCs w:val="28"/>
                              </w:rPr>
                              <w:t xml:space="preserve">          </w:t>
                            </w:r>
                          </w:p>
                          <w:p w14:paraId="6A61CDE8" w14:textId="77777777" w:rsidR="005E1169" w:rsidRDefault="005E1169" w:rsidP="005E1169">
                            <w:pPr>
                              <w:pStyle w:val="ListParagraph"/>
                              <w:numPr>
                                <w:ilvl w:val="0"/>
                                <w:numId w:val="2"/>
                              </w:numPr>
                              <w:spacing w:after="200" w:line="360" w:lineRule="auto"/>
                              <w:rPr>
                                <w:rFonts w:ascii="Avenir" w:hAnsi="Avenir"/>
                                <w:sz w:val="48"/>
                                <w:szCs w:val="28"/>
                              </w:rPr>
                            </w:pPr>
                            <w:r w:rsidRPr="00B37C2D">
                              <w:rPr>
                                <w:rFonts w:ascii="Avenir" w:hAnsi="Avenir"/>
                                <w:sz w:val="48"/>
                                <w:szCs w:val="28"/>
                              </w:rPr>
                              <w:t xml:space="preserve">Importance of Medication </w:t>
                            </w:r>
                            <w:r>
                              <w:rPr>
                                <w:rFonts w:ascii="Avenir" w:hAnsi="Avenir"/>
                                <w:sz w:val="48"/>
                                <w:szCs w:val="28"/>
                              </w:rPr>
                              <w:t xml:space="preserve">                  </w:t>
                            </w:r>
                          </w:p>
                          <w:p w14:paraId="4525401B" w14:textId="77777777" w:rsidR="005E1169" w:rsidRPr="007632D0" w:rsidRDefault="005E1169" w:rsidP="005E1169">
                            <w:pPr>
                              <w:pStyle w:val="ListParagraph"/>
                              <w:spacing w:after="200" w:line="360" w:lineRule="auto"/>
                              <w:ind w:left="1080"/>
                              <w:rPr>
                                <w:rFonts w:ascii="Avenir" w:hAnsi="Avenir"/>
                                <w:sz w:val="48"/>
                                <w:szCs w:val="28"/>
                              </w:rPr>
                            </w:pPr>
                            <w:r w:rsidRPr="00B37C2D">
                              <w:rPr>
                                <w:rFonts w:ascii="Avenir" w:hAnsi="Avenir"/>
                                <w:sz w:val="48"/>
                                <w:szCs w:val="28"/>
                              </w:rPr>
                              <w:t xml:space="preserve">Adherence </w:t>
                            </w:r>
                            <w:r w:rsidRPr="007632D0">
                              <w:rPr>
                                <w:rFonts w:ascii="Avenir" w:hAnsi="Avenir"/>
                                <w:sz w:val="48"/>
                                <w:szCs w:val="28"/>
                              </w:rPr>
                              <w:t>in Value-Based Care</w:t>
                            </w:r>
                            <w:r>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sidRPr="0019685E">
                              <w:rPr>
                                <w:rFonts w:ascii="Avenir" w:hAnsi="Avenir"/>
                                <w:color w:val="7F7F7F" w:themeColor="text1" w:themeTint="80"/>
                                <w:sz w:val="48"/>
                                <w:szCs w:val="28"/>
                              </w:rPr>
                              <w:t>0</w:t>
                            </w:r>
                            <w:r>
                              <w:rPr>
                                <w:rFonts w:ascii="Avenir" w:hAnsi="Avenir"/>
                                <w:color w:val="7F7F7F" w:themeColor="text1" w:themeTint="80"/>
                                <w:sz w:val="48"/>
                                <w:szCs w:val="28"/>
                              </w:rPr>
                              <w:t>7</w:t>
                            </w:r>
                            <w:r>
                              <w:rPr>
                                <w:rFonts w:ascii="Avenir" w:hAnsi="Avenir"/>
                                <w:sz w:val="48"/>
                                <w:szCs w:val="28"/>
                              </w:rPr>
                              <w:tab/>
                            </w:r>
                          </w:p>
                          <w:p w14:paraId="41192B31" w14:textId="77777777" w:rsidR="005E1169" w:rsidRDefault="005E1169" w:rsidP="005E1169">
                            <w:pPr>
                              <w:pStyle w:val="ListParagraph"/>
                              <w:numPr>
                                <w:ilvl w:val="0"/>
                                <w:numId w:val="2"/>
                              </w:numPr>
                              <w:spacing w:after="200" w:line="360" w:lineRule="auto"/>
                              <w:rPr>
                                <w:rFonts w:ascii="Avenir" w:hAnsi="Avenir"/>
                                <w:sz w:val="48"/>
                                <w:szCs w:val="28"/>
                              </w:rPr>
                            </w:pPr>
                            <w:r w:rsidRPr="007103D6">
                              <w:rPr>
                                <w:rFonts w:ascii="Avenir" w:hAnsi="Avenir"/>
                                <w:sz w:val="48"/>
                                <w:szCs w:val="28"/>
                              </w:rPr>
                              <w:t xml:space="preserve">Improving Medication Adherence </w:t>
                            </w:r>
                          </w:p>
                          <w:p w14:paraId="7D9AD967" w14:textId="77777777" w:rsidR="005E1169" w:rsidRDefault="005E1169" w:rsidP="005E1169">
                            <w:pPr>
                              <w:pStyle w:val="ListParagraph"/>
                              <w:spacing w:after="200" w:line="360" w:lineRule="auto"/>
                              <w:ind w:left="1080"/>
                              <w:rPr>
                                <w:rFonts w:ascii="Avenir" w:hAnsi="Avenir"/>
                                <w:sz w:val="48"/>
                                <w:szCs w:val="28"/>
                              </w:rPr>
                            </w:pPr>
                            <w:r w:rsidRPr="007103D6">
                              <w:rPr>
                                <w:rFonts w:ascii="Avenir" w:hAnsi="Avenir"/>
                                <w:sz w:val="48"/>
                                <w:szCs w:val="28"/>
                              </w:rPr>
                              <w:t>Using Behavioral Economics</w:t>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sidRPr="0019685E">
                              <w:rPr>
                                <w:rFonts w:ascii="Avenir" w:hAnsi="Avenir"/>
                                <w:color w:val="7F7F7F" w:themeColor="text1" w:themeTint="80"/>
                                <w:sz w:val="48"/>
                                <w:szCs w:val="28"/>
                              </w:rPr>
                              <w:t>0</w:t>
                            </w:r>
                            <w:r>
                              <w:rPr>
                                <w:rFonts w:ascii="Avenir" w:hAnsi="Avenir"/>
                                <w:color w:val="7F7F7F" w:themeColor="text1" w:themeTint="80"/>
                                <w:sz w:val="48"/>
                                <w:szCs w:val="28"/>
                              </w:rPr>
                              <w:t>9</w:t>
                            </w:r>
                            <w:r>
                              <w:rPr>
                                <w:rFonts w:ascii="Avenir" w:hAnsi="Avenir"/>
                                <w:sz w:val="48"/>
                                <w:szCs w:val="28"/>
                              </w:rPr>
                              <w:t xml:space="preserve"> </w:t>
                            </w:r>
                          </w:p>
                          <w:p w14:paraId="3893461F" w14:textId="0628E98A" w:rsidR="005E1169" w:rsidRDefault="005E1169" w:rsidP="005E1169">
                            <w:pPr>
                              <w:pStyle w:val="ListParagraph"/>
                              <w:numPr>
                                <w:ilvl w:val="0"/>
                                <w:numId w:val="2"/>
                              </w:numPr>
                              <w:spacing w:after="200" w:line="360" w:lineRule="auto"/>
                              <w:rPr>
                                <w:rFonts w:ascii="Avenir" w:hAnsi="Avenir"/>
                                <w:sz w:val="48"/>
                                <w:szCs w:val="28"/>
                              </w:rPr>
                            </w:pPr>
                            <w:r>
                              <w:rPr>
                                <w:rFonts w:ascii="Avenir" w:hAnsi="Avenir"/>
                                <w:sz w:val="48"/>
                                <w:szCs w:val="28"/>
                              </w:rPr>
                              <w:t>Policy Implications</w:t>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A00E25">
                              <w:rPr>
                                <w:rFonts w:ascii="Avenir" w:hAnsi="Avenir"/>
                                <w:color w:val="7F7F7F" w:themeColor="text1" w:themeTint="80"/>
                                <w:sz w:val="48"/>
                                <w:szCs w:val="28"/>
                              </w:rPr>
                              <w:t>11</w:t>
                            </w:r>
                            <w:r>
                              <w:rPr>
                                <w:rFonts w:ascii="Avenir" w:hAnsi="Avenir"/>
                                <w:sz w:val="48"/>
                                <w:szCs w:val="28"/>
                              </w:rPr>
                              <w:t xml:space="preserve">     </w:t>
                            </w:r>
                          </w:p>
                          <w:p w14:paraId="6642F665" w14:textId="34892D21" w:rsidR="005E1169" w:rsidRPr="00B37C2D" w:rsidRDefault="005E1169" w:rsidP="005E1169">
                            <w:pPr>
                              <w:pStyle w:val="ListParagraph"/>
                              <w:numPr>
                                <w:ilvl w:val="0"/>
                                <w:numId w:val="2"/>
                              </w:numPr>
                              <w:spacing w:after="200" w:line="360" w:lineRule="auto"/>
                              <w:rPr>
                                <w:rFonts w:ascii="Avenir" w:hAnsi="Avenir"/>
                                <w:sz w:val="48"/>
                                <w:szCs w:val="28"/>
                              </w:rPr>
                            </w:pPr>
                            <w:r>
                              <w:rPr>
                                <w:rFonts w:ascii="Avenir" w:hAnsi="Avenir"/>
                                <w:sz w:val="48"/>
                                <w:szCs w:val="28"/>
                              </w:rPr>
                              <w:t>Conclusion</w:t>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Pr>
                                <w:rFonts w:ascii="Avenir" w:hAnsi="Avenir"/>
                                <w:color w:val="7F7F7F" w:themeColor="text1" w:themeTint="80"/>
                                <w:sz w:val="48"/>
                                <w:szCs w:val="28"/>
                              </w:rPr>
                              <w:t>1</w:t>
                            </w:r>
                            <w:r w:rsidR="00DE5997">
                              <w:rPr>
                                <w:rFonts w:ascii="Avenir" w:hAnsi="Avenir"/>
                                <w:color w:val="7F7F7F" w:themeColor="text1" w:themeTint="80"/>
                                <w:sz w:val="48"/>
                                <w:szCs w:val="28"/>
                              </w:rPr>
                              <w:t>3</w:t>
                            </w:r>
                            <w:r>
                              <w:rPr>
                                <w:rFonts w:ascii="Avenir" w:hAnsi="Avenir"/>
                                <w:sz w:val="4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C93ED0" id="_x0000_t202" coordsize="21600,21600" o:spt="202" path="m,l,21600r21600,l21600,xe">
                <v:stroke joinstyle="miter"/>
                <v:path gradientshapeok="t" o:connecttype="rect"/>
              </v:shapetype>
              <v:shape id="_x0000_s1029" type="#_x0000_t202" style="position:absolute;margin-left:-27.3pt;margin-top:157.6pt;width:522pt;height:476.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" stroked="f">
                <v:textbox>
                  <w:txbxContent>
                    <w:p w14:paraId="646AA5A6" w14:textId="77777777" w:rsidR="005E1169" w:rsidRDefault="005E1169" w:rsidP="005E1169">
                      <w:pPr>
                        <w:pStyle w:val="ListParagraph"/>
                        <w:numPr>
                          <w:ilvl w:val="0"/>
                          <w:numId w:val="2"/>
                        </w:numPr>
                        <w:spacing w:after="200" w:line="360" w:lineRule="auto"/>
                        <w:rPr>
                          <w:rFonts w:ascii="Avenir" w:hAnsi="Avenir"/>
                          <w:sz w:val="48"/>
                          <w:szCs w:val="28"/>
                        </w:rPr>
                      </w:pPr>
                      <w:r w:rsidRPr="00B37C2D">
                        <w:rPr>
                          <w:rFonts w:ascii="Avenir" w:hAnsi="Avenir"/>
                          <w:sz w:val="48"/>
                          <w:szCs w:val="28"/>
                        </w:rPr>
                        <w:t>Introduction</w:t>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sidRPr="0019685E">
                        <w:rPr>
                          <w:rFonts w:ascii="Avenir" w:hAnsi="Avenir"/>
                          <w:color w:val="7F7F7F" w:themeColor="text1" w:themeTint="80"/>
                          <w:sz w:val="48"/>
                          <w:szCs w:val="28"/>
                        </w:rPr>
                        <w:t>0</w:t>
                      </w:r>
                      <w:r w:rsidRPr="007632D0">
                        <w:rPr>
                          <w:rFonts w:ascii="Avenir" w:hAnsi="Avenir"/>
                          <w:color w:val="7F7F7F" w:themeColor="text1" w:themeTint="80"/>
                          <w:sz w:val="48"/>
                          <w:szCs w:val="28"/>
                        </w:rPr>
                        <w:t>3</w:t>
                      </w:r>
                      <w:r>
                        <w:rPr>
                          <w:rFonts w:ascii="Avenir" w:hAnsi="Avenir"/>
                          <w:sz w:val="48"/>
                          <w:szCs w:val="28"/>
                        </w:rPr>
                        <w:t xml:space="preserve">          </w:t>
                      </w:r>
                    </w:p>
                    <w:p w14:paraId="6A61CDE8" w14:textId="77777777" w:rsidR="005E1169" w:rsidRDefault="005E1169" w:rsidP="005E1169">
                      <w:pPr>
                        <w:pStyle w:val="ListParagraph"/>
                        <w:numPr>
                          <w:ilvl w:val="0"/>
                          <w:numId w:val="2"/>
                        </w:numPr>
                        <w:spacing w:after="200" w:line="360" w:lineRule="auto"/>
                        <w:rPr>
                          <w:rFonts w:ascii="Avenir" w:hAnsi="Avenir"/>
                          <w:sz w:val="48"/>
                          <w:szCs w:val="28"/>
                        </w:rPr>
                      </w:pPr>
                      <w:r w:rsidRPr="00B37C2D">
                        <w:rPr>
                          <w:rFonts w:ascii="Avenir" w:hAnsi="Avenir"/>
                          <w:sz w:val="48"/>
                          <w:szCs w:val="28"/>
                        </w:rPr>
                        <w:t xml:space="preserve">Importance of Medication </w:t>
                      </w:r>
                      <w:r>
                        <w:rPr>
                          <w:rFonts w:ascii="Avenir" w:hAnsi="Avenir"/>
                          <w:sz w:val="48"/>
                          <w:szCs w:val="28"/>
                        </w:rPr>
                        <w:t xml:space="preserve">                  </w:t>
                      </w:r>
                    </w:p>
                    <w:p w14:paraId="4525401B" w14:textId="77777777" w:rsidR="005E1169" w:rsidRPr="007632D0" w:rsidRDefault="005E1169" w:rsidP="005E1169">
                      <w:pPr>
                        <w:pStyle w:val="ListParagraph"/>
                        <w:spacing w:after="200" w:line="360" w:lineRule="auto"/>
                        <w:ind w:left="1080"/>
                        <w:rPr>
                          <w:rFonts w:ascii="Avenir" w:hAnsi="Avenir"/>
                          <w:sz w:val="48"/>
                          <w:szCs w:val="28"/>
                        </w:rPr>
                      </w:pPr>
                      <w:r w:rsidRPr="00B37C2D">
                        <w:rPr>
                          <w:rFonts w:ascii="Avenir" w:hAnsi="Avenir"/>
                          <w:sz w:val="48"/>
                          <w:szCs w:val="28"/>
                        </w:rPr>
                        <w:t xml:space="preserve">Adherence </w:t>
                      </w:r>
                      <w:r w:rsidRPr="007632D0">
                        <w:rPr>
                          <w:rFonts w:ascii="Avenir" w:hAnsi="Avenir"/>
                          <w:sz w:val="48"/>
                          <w:szCs w:val="28"/>
                        </w:rPr>
                        <w:t>in Value-Based Care</w:t>
                      </w:r>
                      <w:r>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sidRPr="0019685E">
                        <w:rPr>
                          <w:rFonts w:ascii="Avenir" w:hAnsi="Avenir"/>
                          <w:color w:val="7F7F7F" w:themeColor="text1" w:themeTint="80"/>
                          <w:sz w:val="48"/>
                          <w:szCs w:val="28"/>
                        </w:rPr>
                        <w:t>0</w:t>
                      </w:r>
                      <w:r>
                        <w:rPr>
                          <w:rFonts w:ascii="Avenir" w:hAnsi="Avenir"/>
                          <w:color w:val="7F7F7F" w:themeColor="text1" w:themeTint="80"/>
                          <w:sz w:val="48"/>
                          <w:szCs w:val="28"/>
                        </w:rPr>
                        <w:t>7</w:t>
                      </w:r>
                      <w:r>
                        <w:rPr>
                          <w:rFonts w:ascii="Avenir" w:hAnsi="Avenir"/>
                          <w:sz w:val="48"/>
                          <w:szCs w:val="28"/>
                        </w:rPr>
                        <w:tab/>
                      </w:r>
                    </w:p>
                    <w:p w14:paraId="41192B31" w14:textId="77777777" w:rsidR="005E1169" w:rsidRDefault="005E1169" w:rsidP="005E1169">
                      <w:pPr>
                        <w:pStyle w:val="ListParagraph"/>
                        <w:numPr>
                          <w:ilvl w:val="0"/>
                          <w:numId w:val="2"/>
                        </w:numPr>
                        <w:spacing w:after="200" w:line="360" w:lineRule="auto"/>
                        <w:rPr>
                          <w:rFonts w:ascii="Avenir" w:hAnsi="Avenir"/>
                          <w:sz w:val="48"/>
                          <w:szCs w:val="28"/>
                        </w:rPr>
                      </w:pPr>
                      <w:r w:rsidRPr="007103D6">
                        <w:rPr>
                          <w:rFonts w:ascii="Avenir" w:hAnsi="Avenir"/>
                          <w:sz w:val="48"/>
                          <w:szCs w:val="28"/>
                        </w:rPr>
                        <w:t xml:space="preserve">Improving Medication Adherence </w:t>
                      </w:r>
                    </w:p>
                    <w:p w14:paraId="7D9AD967" w14:textId="77777777" w:rsidR="005E1169" w:rsidRDefault="005E1169" w:rsidP="005E1169">
                      <w:pPr>
                        <w:pStyle w:val="ListParagraph"/>
                        <w:spacing w:after="200" w:line="360" w:lineRule="auto"/>
                        <w:ind w:left="1080"/>
                        <w:rPr>
                          <w:rFonts w:ascii="Avenir" w:hAnsi="Avenir"/>
                          <w:sz w:val="48"/>
                          <w:szCs w:val="28"/>
                        </w:rPr>
                      </w:pPr>
                      <w:r w:rsidRPr="007103D6">
                        <w:rPr>
                          <w:rFonts w:ascii="Avenir" w:hAnsi="Avenir"/>
                          <w:sz w:val="48"/>
                          <w:szCs w:val="28"/>
                        </w:rPr>
                        <w:t>Using Behavioral Economics</w:t>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sidRPr="0019685E">
                        <w:rPr>
                          <w:rFonts w:ascii="Avenir" w:hAnsi="Avenir"/>
                          <w:color w:val="7F7F7F" w:themeColor="text1" w:themeTint="80"/>
                          <w:sz w:val="48"/>
                          <w:szCs w:val="28"/>
                        </w:rPr>
                        <w:t>0</w:t>
                      </w:r>
                      <w:r>
                        <w:rPr>
                          <w:rFonts w:ascii="Avenir" w:hAnsi="Avenir"/>
                          <w:color w:val="7F7F7F" w:themeColor="text1" w:themeTint="80"/>
                          <w:sz w:val="48"/>
                          <w:szCs w:val="28"/>
                        </w:rPr>
                        <w:t>9</w:t>
                      </w:r>
                      <w:r>
                        <w:rPr>
                          <w:rFonts w:ascii="Avenir" w:hAnsi="Avenir"/>
                          <w:sz w:val="48"/>
                          <w:szCs w:val="28"/>
                        </w:rPr>
                        <w:t xml:space="preserve"> </w:t>
                      </w:r>
                    </w:p>
                    <w:p w14:paraId="3893461F" w14:textId="0628E98A" w:rsidR="005E1169" w:rsidRDefault="005E1169" w:rsidP="005E1169">
                      <w:pPr>
                        <w:pStyle w:val="ListParagraph"/>
                        <w:numPr>
                          <w:ilvl w:val="0"/>
                          <w:numId w:val="2"/>
                        </w:numPr>
                        <w:spacing w:after="200" w:line="360" w:lineRule="auto"/>
                        <w:rPr>
                          <w:rFonts w:ascii="Avenir" w:hAnsi="Avenir"/>
                          <w:sz w:val="48"/>
                          <w:szCs w:val="28"/>
                        </w:rPr>
                      </w:pPr>
                      <w:r>
                        <w:rPr>
                          <w:rFonts w:ascii="Avenir" w:hAnsi="Avenir"/>
                          <w:sz w:val="48"/>
                          <w:szCs w:val="28"/>
                        </w:rPr>
                        <w:t>Policy Implications</w:t>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A00E25">
                        <w:rPr>
                          <w:rFonts w:ascii="Avenir" w:hAnsi="Avenir"/>
                          <w:color w:val="7F7F7F" w:themeColor="text1" w:themeTint="80"/>
                          <w:sz w:val="48"/>
                          <w:szCs w:val="28"/>
                        </w:rPr>
                        <w:t>11</w:t>
                      </w:r>
                      <w:r>
                        <w:rPr>
                          <w:rFonts w:ascii="Avenir" w:hAnsi="Avenir"/>
                          <w:sz w:val="48"/>
                          <w:szCs w:val="28"/>
                        </w:rPr>
                        <w:t xml:space="preserve">     </w:t>
                      </w:r>
                    </w:p>
                    <w:p w14:paraId="6642F665" w14:textId="34892D21" w:rsidR="005E1169" w:rsidRPr="00B37C2D" w:rsidRDefault="005E1169" w:rsidP="005E1169">
                      <w:pPr>
                        <w:pStyle w:val="ListParagraph"/>
                        <w:numPr>
                          <w:ilvl w:val="0"/>
                          <w:numId w:val="2"/>
                        </w:numPr>
                        <w:spacing w:after="200" w:line="360" w:lineRule="auto"/>
                        <w:rPr>
                          <w:rFonts w:ascii="Avenir" w:hAnsi="Avenir"/>
                          <w:sz w:val="48"/>
                          <w:szCs w:val="28"/>
                        </w:rPr>
                      </w:pPr>
                      <w:r>
                        <w:rPr>
                          <w:rFonts w:ascii="Avenir" w:hAnsi="Avenir"/>
                          <w:sz w:val="48"/>
                          <w:szCs w:val="28"/>
                        </w:rPr>
                        <w:t>Conclusion</w:t>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sidR="0019685E">
                        <w:rPr>
                          <w:rFonts w:ascii="Avenir" w:hAnsi="Avenir"/>
                          <w:sz w:val="48"/>
                          <w:szCs w:val="28"/>
                        </w:rPr>
                        <w:tab/>
                      </w:r>
                      <w:r>
                        <w:rPr>
                          <w:rFonts w:ascii="Avenir" w:hAnsi="Avenir"/>
                          <w:color w:val="7F7F7F" w:themeColor="text1" w:themeTint="80"/>
                          <w:sz w:val="48"/>
                          <w:szCs w:val="28"/>
                        </w:rPr>
                        <w:t>1</w:t>
                      </w:r>
                      <w:r w:rsidR="00DE5997">
                        <w:rPr>
                          <w:rFonts w:ascii="Avenir" w:hAnsi="Avenir"/>
                          <w:color w:val="7F7F7F" w:themeColor="text1" w:themeTint="80"/>
                          <w:sz w:val="48"/>
                          <w:szCs w:val="28"/>
                        </w:rPr>
                        <w:t>3</w:t>
                      </w:r>
                      <w:r>
                        <w:rPr>
                          <w:rFonts w:ascii="Avenir" w:hAnsi="Avenir"/>
                          <w:sz w:val="48"/>
                          <w:szCs w:val="28"/>
                        </w:rPr>
                        <w:t xml:space="preserve"> </w:t>
                      </w:r>
                    </w:p>
                  </w:txbxContent>
                </v:textbox>
                <w10:wrap type="square" anchory="page"/>
              </v:shape>
            </w:pict>
          </mc:Fallback>
        </mc:AlternateContent>
      </w:r>
      <w:r>
        <w:rPr>
          <w:rFonts w:ascii="Avenir" w:hAnsi="Avenir"/>
          <w:b/>
          <w:noProof/>
          <w:lang w:val="en-US" w:eastAsia="zh-CN"/>
        </w:rPr>
        <mc:AlternateContent>
          <mc:Choice Requires="wps">
            <w:drawing>
              <wp:anchor distT="0" distB="0" distL="114300" distR="114300" simplePos="0" relativeHeight="251666432" behindDoc="0" locked="0" layoutInCell="1" allowOverlap="1" wp14:anchorId="1DDE7AB8" wp14:editId="7B169625">
                <wp:simplePos x="0" y="0"/>
                <wp:positionH relativeFrom="margin">
                  <wp:posOffset>488950</wp:posOffset>
                </wp:positionH>
                <wp:positionV relativeFrom="paragraph">
                  <wp:posOffset>53340</wp:posOffset>
                </wp:positionV>
                <wp:extent cx="5029200" cy="0"/>
                <wp:effectExtent l="38100" t="38100" r="76200" b="95250"/>
                <wp:wrapNone/>
                <wp:docPr id="4" name="Straight Connector 4"/>
                <wp:cNvGraphicFramePr/>
                <a:graphic xmlns:a="http://schemas.openxmlformats.org/drawingml/2006/main">
                  <a:graphicData uri="http://schemas.microsoft.com/office/word/2010/wordprocessingShape">
                    <wps:wsp>
                      <wps:cNvCnPr/>
                      <wps:spPr>
                        <a:xfrm>
                          <a:off x="0" y="0"/>
                          <a:ext cx="5029200" cy="0"/>
                        </a:xfrm>
                        <a:prstGeom prst="line">
                          <a:avLst/>
                        </a:prstGeom>
                        <a:ln>
                          <a:solidFill>
                            <a:srgbClr val="44BA9A"/>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0CA3F64F" id="Straight Connector 4"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5pt,4.2pt" to="434.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" strokecolor="#44ba9a" strokeweight="1pt">
                <v:stroke joinstyle="miter"/>
                <w10:wrap anchorx="margin"/>
              </v:line>
            </w:pict>
          </mc:Fallback>
        </mc:AlternateContent>
      </w:r>
    </w:p>
    <w:p w14:paraId="152EB7A3" w14:textId="77777777" w:rsidR="005E1169" w:rsidRDefault="005E1169" w:rsidP="005E1169">
      <w:pPr>
        <w:spacing w:line="480" w:lineRule="auto"/>
        <w:contextualSpacing w:val="0"/>
        <w:rPr>
          <w:rFonts w:ascii="Avenir" w:hAnsi="Avenir"/>
          <w:b/>
        </w:rPr>
      </w:pPr>
    </w:p>
    <w:p w14:paraId="3C47AF9F" w14:textId="77777777" w:rsidR="005E1169" w:rsidRDefault="005E1169" w:rsidP="005E1169">
      <w:pPr>
        <w:spacing w:line="480" w:lineRule="auto"/>
        <w:contextualSpacing w:val="0"/>
        <w:rPr>
          <w:rFonts w:ascii="Avenir" w:hAnsi="Avenir"/>
          <w:b/>
        </w:rPr>
      </w:pPr>
    </w:p>
    <w:p w14:paraId="25294493" w14:textId="77777777" w:rsidR="005E1169" w:rsidRDefault="005E1169" w:rsidP="005E1169">
      <w:pPr>
        <w:spacing w:line="480" w:lineRule="auto"/>
        <w:contextualSpacing w:val="0"/>
        <w:rPr>
          <w:rFonts w:ascii="Avenir" w:hAnsi="Avenir"/>
          <w:b/>
        </w:rPr>
      </w:pPr>
    </w:p>
    <w:p w14:paraId="3B387EC3" w14:textId="77777777" w:rsidR="005E1169" w:rsidRDefault="005E1169" w:rsidP="005E1169">
      <w:pPr>
        <w:spacing w:line="480" w:lineRule="auto"/>
        <w:contextualSpacing w:val="0"/>
        <w:jc w:val="both"/>
        <w:rPr>
          <w:rFonts w:ascii="Avenir" w:hAnsi="Avenir"/>
          <w:b/>
        </w:rPr>
      </w:pPr>
    </w:p>
    <w:p w14:paraId="0163E3FF" w14:textId="77777777" w:rsidR="005E1169" w:rsidRPr="00A746CD" w:rsidRDefault="005E1169" w:rsidP="005E1169">
      <w:pPr>
        <w:spacing w:line="480" w:lineRule="auto"/>
        <w:contextualSpacing w:val="0"/>
        <w:jc w:val="both"/>
        <w:rPr>
          <w:rFonts w:ascii="Avenir" w:hAnsi="Avenir"/>
          <w:b/>
          <w:u w:val="single"/>
        </w:rPr>
      </w:pPr>
      <w:r w:rsidRPr="00A746CD">
        <w:rPr>
          <w:rFonts w:ascii="Avenir" w:hAnsi="Avenir"/>
          <w:b/>
          <w:u w:val="single"/>
        </w:rPr>
        <w:lastRenderedPageBreak/>
        <w:t>Introduction</w:t>
      </w:r>
    </w:p>
    <w:p w14:paraId="702E695A" w14:textId="77777777" w:rsidR="005E1169" w:rsidRPr="009047EF" w:rsidRDefault="005E1169" w:rsidP="005E1169">
      <w:pPr>
        <w:spacing w:line="480" w:lineRule="auto"/>
        <w:ind w:firstLine="720"/>
        <w:contextualSpacing w:val="0"/>
        <w:jc w:val="both"/>
        <w:rPr>
          <w:rFonts w:ascii="Avenir" w:hAnsi="Avenir"/>
        </w:rPr>
      </w:pPr>
      <w:r w:rsidRPr="009047EF">
        <w:rPr>
          <w:rFonts w:ascii="Avenir" w:hAnsi="Avenir"/>
        </w:rPr>
        <w:t>Per capita health care spending in the U.S. exceeds twice the average of other developed countries, yet the U.S. continues to rank poorly with respect to many population health outcomes. In 2016, national health expenditures in the U.S. accounted for 17.9% of GDP. Under current law, this is projected to increase to 19.7% by 2026.</w:t>
      </w:r>
      <w:r w:rsidRPr="009047EF">
        <w:rPr>
          <w:rFonts w:ascii="Avenir" w:hAnsi="Avenir"/>
          <w:vertAlign w:val="superscript"/>
        </w:rPr>
        <w:footnoteReference w:id="1"/>
      </w:r>
      <w:r w:rsidRPr="009047EF">
        <w:rPr>
          <w:rFonts w:ascii="Avenir" w:hAnsi="Avenir"/>
        </w:rPr>
        <w:t xml:space="preserve"> With many metrics, the U.S. consistently ranks below average compared to other developed countries.</w:t>
      </w:r>
      <w:r w:rsidRPr="009047EF">
        <w:rPr>
          <w:rFonts w:ascii="Avenir" w:hAnsi="Avenir"/>
          <w:vertAlign w:val="superscript"/>
        </w:rPr>
        <w:footnoteReference w:id="2"/>
      </w:r>
      <w:r w:rsidRPr="009047EF">
        <w:rPr>
          <w:rFonts w:ascii="Avenir" w:hAnsi="Avenir"/>
        </w:rPr>
        <w:t xml:space="preserve"> In recent years, this disconnect between health care spending and outcomes has been the catalyst for a paradigm shift in health care reimbursement. </w:t>
      </w:r>
    </w:p>
    <w:p w14:paraId="3F8C98FC" w14:textId="77777777" w:rsidR="005E1169" w:rsidRPr="009047EF" w:rsidRDefault="005E1169" w:rsidP="005E1169">
      <w:pPr>
        <w:spacing w:line="480" w:lineRule="auto"/>
        <w:ind w:firstLine="720"/>
        <w:contextualSpacing w:val="0"/>
        <w:jc w:val="both"/>
        <w:rPr>
          <w:rFonts w:ascii="Avenir" w:hAnsi="Avenir"/>
        </w:rPr>
      </w:pPr>
      <w:r w:rsidRPr="009047EF">
        <w:rPr>
          <w:rFonts w:ascii="Avenir" w:hAnsi="Avenir"/>
        </w:rPr>
        <w:t xml:space="preserve">Rather than conventional fee-for-service models in which providers are reimbursed based on </w:t>
      </w:r>
      <w:r w:rsidRPr="009047EF">
        <w:rPr>
          <w:rFonts w:ascii="Avenir" w:hAnsi="Avenir"/>
          <w:i/>
        </w:rPr>
        <w:t>quantity</w:t>
      </w:r>
      <w:r w:rsidRPr="009047EF">
        <w:rPr>
          <w:rFonts w:ascii="Avenir" w:hAnsi="Avenir"/>
        </w:rPr>
        <w:t xml:space="preserve"> of services delivered, in the past few decades there has been a new focus on models that emphasize </w:t>
      </w:r>
      <w:r w:rsidRPr="009047EF">
        <w:rPr>
          <w:rFonts w:ascii="Avenir" w:hAnsi="Avenir"/>
          <w:i/>
        </w:rPr>
        <w:t>value</w:t>
      </w:r>
      <w:r w:rsidRPr="009047EF">
        <w:rPr>
          <w:rFonts w:ascii="Avenir" w:hAnsi="Avenir"/>
        </w:rPr>
        <w:t xml:space="preserve">, or quality of outcomes per dollar spent. </w:t>
      </w:r>
      <w:r>
        <w:rPr>
          <w:rFonts w:ascii="Avenir" w:hAnsi="Avenir"/>
        </w:rPr>
        <w:t xml:space="preserve">An approach towards reimbursement reform that aligns with this shifting trend is called </w:t>
      </w:r>
      <w:r w:rsidRPr="009047EF">
        <w:rPr>
          <w:rFonts w:ascii="Avenir" w:hAnsi="Avenir"/>
        </w:rPr>
        <w:t>Value-Base</w:t>
      </w:r>
      <w:r>
        <w:rPr>
          <w:rFonts w:ascii="Avenir" w:hAnsi="Avenir"/>
        </w:rPr>
        <w:t>d Insurance Design (V-BID)</w:t>
      </w:r>
      <w:r w:rsidRPr="009047EF">
        <w:rPr>
          <w:rFonts w:ascii="Avenir" w:hAnsi="Avenir"/>
        </w:rPr>
        <w:t xml:space="preserve">. The goal of V-BID is to generate </w:t>
      </w:r>
      <w:r>
        <w:rPr>
          <w:rFonts w:ascii="Avenir" w:hAnsi="Avenir"/>
        </w:rPr>
        <w:t xml:space="preserve">health </w:t>
      </w:r>
      <w:r w:rsidRPr="009047EF">
        <w:rPr>
          <w:rFonts w:ascii="Avenir" w:hAnsi="Avenir"/>
        </w:rPr>
        <w:t>benefit designs that promote better consumer decision-making, and it is gaining support across</w:t>
      </w:r>
      <w:r>
        <w:rPr>
          <w:rFonts w:ascii="Avenir" w:hAnsi="Avenir"/>
        </w:rPr>
        <w:t xml:space="preserve"> private and public sectors. The</w:t>
      </w:r>
      <w:r w:rsidRPr="009047EF">
        <w:rPr>
          <w:rFonts w:ascii="Avenir" w:hAnsi="Avenir"/>
        </w:rPr>
        <w:t xml:space="preserve"> premise </w:t>
      </w:r>
      <w:r>
        <w:rPr>
          <w:rFonts w:ascii="Avenir" w:hAnsi="Avenir"/>
        </w:rPr>
        <w:t>of V-BID is to</w:t>
      </w:r>
      <w:r w:rsidRPr="009047EF">
        <w:rPr>
          <w:rFonts w:ascii="Avenir" w:hAnsi="Avenir"/>
        </w:rPr>
        <w:t xml:space="preserve"> align patients’ out-of-pocket costs with the value of health care they receive. The higher the value, the lower the patient cost-sharing</w:t>
      </w:r>
      <w:r>
        <w:rPr>
          <w:rFonts w:ascii="Avenir" w:hAnsi="Avenir"/>
        </w:rPr>
        <w:t xml:space="preserve"> </w:t>
      </w:r>
      <w:r w:rsidRPr="009047EF">
        <w:rPr>
          <w:rFonts w:ascii="Avenir" w:hAnsi="Avenir"/>
        </w:rPr>
        <w:t>(in the form of co-pays or co-insurance</w:t>
      </w:r>
      <w:r>
        <w:rPr>
          <w:rFonts w:ascii="Avenir" w:hAnsi="Avenir"/>
        </w:rPr>
        <w:t>, for instance</w:t>
      </w:r>
      <w:r w:rsidRPr="009047EF">
        <w:rPr>
          <w:rFonts w:ascii="Avenir" w:hAnsi="Avenir"/>
        </w:rPr>
        <w:t xml:space="preserve">). Previous attempts to lower healthcare costs focused on increasing patient cost-sharing, since the extensive third-party coverage in the health sector insulates patients from the true costs of care and affects their decision-making as consumers. However, research has shown </w:t>
      </w:r>
      <w:r w:rsidRPr="009047EF">
        <w:rPr>
          <w:rFonts w:ascii="Avenir" w:hAnsi="Avenir"/>
        </w:rPr>
        <w:lastRenderedPageBreak/>
        <w:t>that while increased patient cost-sharing decreases health care consumption, it reduces the use of both appropriate and inappropriate care</w:t>
      </w:r>
      <w:r>
        <w:rPr>
          <w:rFonts w:ascii="Avenir" w:hAnsi="Avenir"/>
        </w:rPr>
        <w:t>.</w:t>
      </w:r>
      <w:r w:rsidRPr="009047EF">
        <w:rPr>
          <w:rFonts w:ascii="Avenir" w:hAnsi="Avenir"/>
          <w:vertAlign w:val="superscript"/>
        </w:rPr>
        <w:footnoteReference w:id="3"/>
      </w:r>
      <w:r>
        <w:rPr>
          <w:rFonts w:ascii="Avenir" w:hAnsi="Avenir"/>
        </w:rPr>
        <w:t xml:space="preserve"> This results in individuals getting less care than what they need to be healthy.</w:t>
      </w:r>
    </w:p>
    <w:p w14:paraId="0FD5C129" w14:textId="77777777" w:rsidR="005E1169" w:rsidRDefault="005E1169" w:rsidP="005E1169">
      <w:pPr>
        <w:spacing w:line="480" w:lineRule="auto"/>
        <w:ind w:firstLine="720"/>
        <w:contextualSpacing w:val="0"/>
        <w:jc w:val="both"/>
        <w:rPr>
          <w:rFonts w:ascii="Avenir" w:hAnsi="Avenir"/>
        </w:rPr>
      </w:pPr>
      <w:r w:rsidRPr="009047EF">
        <w:rPr>
          <w:rFonts w:ascii="Avenir" w:hAnsi="Avenir"/>
        </w:rPr>
        <w:t xml:space="preserve">The </w:t>
      </w:r>
      <w:r>
        <w:rPr>
          <w:rFonts w:ascii="Avenir" w:hAnsi="Avenir"/>
        </w:rPr>
        <w:t>primary flaw with this approach is not</w:t>
      </w:r>
      <w:r w:rsidRPr="009047EF">
        <w:rPr>
          <w:rFonts w:ascii="Avenir" w:hAnsi="Avenir"/>
        </w:rPr>
        <w:t xml:space="preserve"> aligning costs with value</w:t>
      </w:r>
      <w:r>
        <w:rPr>
          <w:rFonts w:ascii="Avenir" w:hAnsi="Avenir"/>
        </w:rPr>
        <w:t>—</w:t>
      </w:r>
      <w:r w:rsidRPr="009047EF">
        <w:rPr>
          <w:rFonts w:ascii="Avenir" w:hAnsi="Avenir"/>
        </w:rPr>
        <w:t>which V-BID accomplishes by implementing a concept known as clinical n</w:t>
      </w:r>
      <w:r>
        <w:rPr>
          <w:rFonts w:ascii="Avenir" w:hAnsi="Avenir"/>
        </w:rPr>
        <w:t>uance. Clinical nuance is compo</w:t>
      </w:r>
      <w:r w:rsidRPr="009047EF">
        <w:rPr>
          <w:rFonts w:ascii="Avenir" w:hAnsi="Avenir"/>
        </w:rPr>
        <w:t>sed of two key components:</w:t>
      </w:r>
    </w:p>
    <w:p w14:paraId="165FEB8F" w14:textId="77777777" w:rsidR="005E1169" w:rsidRPr="009047EF" w:rsidRDefault="005E1169" w:rsidP="005E1169">
      <w:pPr>
        <w:spacing w:line="480" w:lineRule="auto"/>
        <w:contextualSpacing w:val="0"/>
        <w:jc w:val="both"/>
        <w:rPr>
          <w:rFonts w:ascii="Avenir" w:hAnsi="Avenir"/>
        </w:rPr>
      </w:pPr>
    </w:p>
    <w:p w14:paraId="78DC801F" w14:textId="77777777" w:rsidR="005E1169" w:rsidRPr="009047EF" w:rsidRDefault="005E1169" w:rsidP="005E1169">
      <w:pPr>
        <w:numPr>
          <w:ilvl w:val="0"/>
          <w:numId w:val="1"/>
        </w:numPr>
        <w:spacing w:line="480" w:lineRule="auto"/>
        <w:jc w:val="both"/>
        <w:rPr>
          <w:rFonts w:ascii="Avenir" w:hAnsi="Avenir"/>
        </w:rPr>
      </w:pPr>
      <w:r w:rsidRPr="009047EF">
        <w:rPr>
          <w:rFonts w:ascii="Avenir" w:hAnsi="Avenir"/>
        </w:rPr>
        <w:t>Clinical services differ in the benefits they produce</w:t>
      </w:r>
      <w:r>
        <w:rPr>
          <w:rFonts w:ascii="Avenir" w:hAnsi="Avenir"/>
        </w:rPr>
        <w:t>.</w:t>
      </w:r>
    </w:p>
    <w:p w14:paraId="3E2C27CA" w14:textId="77777777" w:rsidR="005E1169" w:rsidRDefault="005E1169" w:rsidP="005E1169">
      <w:pPr>
        <w:numPr>
          <w:ilvl w:val="0"/>
          <w:numId w:val="1"/>
        </w:numPr>
        <w:spacing w:line="480" w:lineRule="auto"/>
        <w:jc w:val="both"/>
        <w:rPr>
          <w:rFonts w:ascii="Avenir" w:hAnsi="Avenir"/>
        </w:rPr>
      </w:pPr>
      <w:r w:rsidRPr="009047EF">
        <w:rPr>
          <w:rFonts w:ascii="Avenir" w:hAnsi="Avenir"/>
        </w:rPr>
        <w:t>Clinical benefit depends on who is receiving the care, who is administering it, and where that care is being given</w:t>
      </w:r>
      <w:r>
        <w:rPr>
          <w:rFonts w:ascii="Avenir" w:hAnsi="Avenir"/>
        </w:rPr>
        <w:t>.</w:t>
      </w:r>
      <w:r w:rsidRPr="009047EF">
        <w:rPr>
          <w:rFonts w:ascii="Avenir" w:hAnsi="Avenir"/>
          <w:vertAlign w:val="superscript"/>
        </w:rPr>
        <w:footnoteReference w:id="4"/>
      </w:r>
    </w:p>
    <w:p w14:paraId="3EFF340B" w14:textId="77777777" w:rsidR="005E1169" w:rsidRPr="009047EF" w:rsidRDefault="005E1169" w:rsidP="005E1169">
      <w:pPr>
        <w:spacing w:line="480" w:lineRule="auto"/>
        <w:ind w:left="1440"/>
        <w:jc w:val="both"/>
        <w:rPr>
          <w:rFonts w:ascii="Avenir" w:hAnsi="Avenir"/>
        </w:rPr>
      </w:pPr>
    </w:p>
    <w:p w14:paraId="5F7C64A8" w14:textId="77777777" w:rsidR="005E1169" w:rsidRPr="009047EF" w:rsidRDefault="005E1169" w:rsidP="005E1169">
      <w:pPr>
        <w:spacing w:line="480" w:lineRule="auto"/>
        <w:ind w:firstLine="720"/>
        <w:contextualSpacing w:val="0"/>
        <w:jc w:val="both"/>
        <w:rPr>
          <w:rFonts w:ascii="Avenir" w:hAnsi="Avenir"/>
        </w:rPr>
      </w:pPr>
      <w:r w:rsidRPr="009047EF">
        <w:rPr>
          <w:rFonts w:ascii="Avenir" w:hAnsi="Avenir"/>
        </w:rPr>
        <w:t>On the federal level, programs such as the Hospital Readmissions Reduction Progra</w:t>
      </w:r>
      <w:r>
        <w:rPr>
          <w:rFonts w:ascii="Avenir" w:hAnsi="Avenir"/>
        </w:rPr>
        <w:t>m (HRRP) have been created which</w:t>
      </w:r>
      <w:r w:rsidRPr="009047EF">
        <w:rPr>
          <w:rFonts w:ascii="Avenir" w:hAnsi="Avenir"/>
        </w:rPr>
        <w:t xml:space="preserve"> follow value-based arrangements. Established under the Affordable Care Act (ACA), HRRP mandates </w:t>
      </w:r>
      <w:r>
        <w:rPr>
          <w:rFonts w:ascii="Avenir" w:hAnsi="Avenir"/>
        </w:rPr>
        <w:t>Centers for Medicare and Medicaid Services (</w:t>
      </w:r>
      <w:r w:rsidRPr="009047EF">
        <w:rPr>
          <w:rFonts w:ascii="Avenir" w:hAnsi="Avenir"/>
        </w:rPr>
        <w:t>CMS</w:t>
      </w:r>
      <w:r>
        <w:rPr>
          <w:rFonts w:ascii="Avenir" w:hAnsi="Avenir"/>
        </w:rPr>
        <w:t>)</w:t>
      </w:r>
      <w:r w:rsidRPr="009047EF">
        <w:rPr>
          <w:rFonts w:ascii="Avenir" w:hAnsi="Avenir"/>
        </w:rPr>
        <w:t xml:space="preserve"> to reduce payments to Inpatie</w:t>
      </w:r>
      <w:r>
        <w:rPr>
          <w:rFonts w:ascii="Avenir" w:hAnsi="Avenir"/>
        </w:rPr>
        <w:t>nt Provider Payment System</w:t>
      </w:r>
      <w:r w:rsidRPr="009047EF">
        <w:rPr>
          <w:rFonts w:ascii="Avenir" w:hAnsi="Avenir"/>
        </w:rPr>
        <w:t xml:space="preserve"> hospitals with excess readmissions.</w:t>
      </w:r>
      <w:r w:rsidRPr="009047EF">
        <w:rPr>
          <w:rFonts w:ascii="Avenir" w:hAnsi="Avenir"/>
          <w:vertAlign w:val="superscript"/>
        </w:rPr>
        <w:footnoteReference w:id="5"/>
      </w:r>
      <w:r w:rsidRPr="009047EF">
        <w:rPr>
          <w:rFonts w:ascii="Avenir" w:hAnsi="Avenir"/>
        </w:rPr>
        <w:t xml:space="preserve"> Overall within CMS there is a movement towards all contracts being </w:t>
      </w:r>
      <w:r>
        <w:rPr>
          <w:rFonts w:ascii="Avenir" w:hAnsi="Avenir"/>
        </w:rPr>
        <w:t xml:space="preserve">associated with </w:t>
      </w:r>
      <w:r w:rsidRPr="009047EF">
        <w:rPr>
          <w:rFonts w:ascii="Avenir" w:hAnsi="Avenir"/>
        </w:rPr>
        <w:t>value</w:t>
      </w:r>
      <w:r>
        <w:rPr>
          <w:rFonts w:ascii="Avenir" w:hAnsi="Avenir"/>
        </w:rPr>
        <w:t xml:space="preserve"> of care provided</w:t>
      </w:r>
      <w:r w:rsidRPr="009047EF">
        <w:rPr>
          <w:rFonts w:ascii="Avenir" w:hAnsi="Avenir"/>
        </w:rPr>
        <w:t>. In 2016, the US Health and Human Services Department</w:t>
      </w:r>
      <w:r>
        <w:rPr>
          <w:rFonts w:ascii="Avenir" w:hAnsi="Avenir"/>
        </w:rPr>
        <w:t xml:space="preserve"> </w:t>
      </w:r>
      <w:r w:rsidRPr="009047EF">
        <w:rPr>
          <w:rFonts w:ascii="Avenir" w:hAnsi="Avenir"/>
        </w:rPr>
        <w:t xml:space="preserve">publicized their goal of </w:t>
      </w:r>
      <w:r w:rsidRPr="009047EF">
        <w:rPr>
          <w:rFonts w:ascii="Avenir" w:hAnsi="Avenir"/>
        </w:rPr>
        <w:lastRenderedPageBreak/>
        <w:t xml:space="preserve">having 90% of Medicare payments tied to value-based </w:t>
      </w:r>
      <w:r>
        <w:rPr>
          <w:rFonts w:ascii="Avenir" w:hAnsi="Avenir"/>
        </w:rPr>
        <w:t>arrangements,</w:t>
      </w:r>
      <w:r>
        <w:rPr>
          <w:rFonts w:eastAsia="Times New Roman"/>
          <w:color w:val="000000"/>
        </w:rPr>
        <w:t xml:space="preserve"> </w:t>
      </w:r>
      <w:r w:rsidRPr="00802A1E">
        <w:rPr>
          <w:rFonts w:ascii="Avenir" w:eastAsia="Times New Roman" w:hAnsi="Avenir"/>
          <w:color w:val="000000"/>
        </w:rPr>
        <w:t xml:space="preserve">as depicted by the graphic </w:t>
      </w:r>
      <w:r>
        <w:rPr>
          <w:rFonts w:ascii="Avenir" w:eastAsia="Times New Roman" w:hAnsi="Avenir"/>
          <w:color w:val="000000"/>
        </w:rPr>
        <w:t>below</w:t>
      </w:r>
      <w:r>
        <w:rPr>
          <w:rFonts w:eastAsia="Times New Roman"/>
          <w:color w:val="000000"/>
        </w:rPr>
        <w:t xml:space="preserve">: </w:t>
      </w:r>
      <w:r w:rsidRPr="009047EF">
        <w:rPr>
          <w:rFonts w:ascii="Avenir" w:hAnsi="Avenir"/>
          <w:vertAlign w:val="superscript"/>
        </w:rPr>
        <w:footnoteReference w:id="6"/>
      </w:r>
    </w:p>
    <w:p w14:paraId="422E78FE" w14:textId="77777777" w:rsidR="005E1169" w:rsidRDefault="005E1169" w:rsidP="005E1169">
      <w:pPr>
        <w:spacing w:line="480" w:lineRule="auto"/>
        <w:contextualSpacing w:val="0"/>
        <w:jc w:val="both"/>
        <w:rPr>
          <w:rFonts w:ascii="Avenir" w:hAnsi="Avenir"/>
        </w:rPr>
      </w:pPr>
      <w:r w:rsidRPr="009047EF">
        <w:rPr>
          <w:rFonts w:ascii="Avenir" w:hAnsi="Avenir"/>
          <w:noProof/>
          <w:lang w:val="en-US" w:eastAsia="zh-CN"/>
        </w:rPr>
        <w:drawing>
          <wp:anchor distT="114300" distB="114300" distL="114300" distR="114300" simplePos="0" relativeHeight="251660288" behindDoc="1" locked="0" layoutInCell="1" hidden="0" allowOverlap="1" wp14:anchorId="2C8AF736" wp14:editId="6A3AB080">
            <wp:simplePos x="0" y="0"/>
            <wp:positionH relativeFrom="margin">
              <wp:posOffset>1056640</wp:posOffset>
            </wp:positionH>
            <wp:positionV relativeFrom="page">
              <wp:posOffset>1748599</wp:posOffset>
            </wp:positionV>
            <wp:extent cx="3832225" cy="292227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832225" cy="2922270"/>
                    </a:xfrm>
                    <a:prstGeom prst="rect">
                      <a:avLst/>
                    </a:prstGeom>
                    <a:ln/>
                  </pic:spPr>
                </pic:pic>
              </a:graphicData>
            </a:graphic>
          </wp:anchor>
        </w:drawing>
      </w:r>
      <w:r>
        <w:rPr>
          <w:rFonts w:ascii="Avenir" w:hAnsi="Avenir"/>
          <w:noProof/>
          <w:lang w:val="en-US" w:eastAsia="zh-CN"/>
        </w:rPr>
        <mc:AlternateContent>
          <mc:Choice Requires="wps">
            <w:drawing>
              <wp:anchor distT="0" distB="0" distL="114300" distR="114300" simplePos="0" relativeHeight="251663360" behindDoc="0" locked="0" layoutInCell="1" allowOverlap="1" wp14:anchorId="68920F31" wp14:editId="465DABD5">
                <wp:simplePos x="0" y="0"/>
                <wp:positionH relativeFrom="column">
                  <wp:posOffset>984885</wp:posOffset>
                </wp:positionH>
                <wp:positionV relativeFrom="page">
                  <wp:posOffset>1686690</wp:posOffset>
                </wp:positionV>
                <wp:extent cx="3967480" cy="3426460"/>
                <wp:effectExtent l="0" t="0" r="13970" b="21590"/>
                <wp:wrapNone/>
                <wp:docPr id="6" name="Rectangle 6"/>
                <wp:cNvGraphicFramePr/>
                <a:graphic xmlns:a="http://schemas.openxmlformats.org/drawingml/2006/main">
                  <a:graphicData uri="http://schemas.microsoft.com/office/word/2010/wordprocessingShape">
                    <wps:wsp>
                      <wps:cNvSpPr/>
                      <wps:spPr>
                        <a:xfrm>
                          <a:off x="0" y="0"/>
                          <a:ext cx="3967480" cy="342646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0FF8AEE3" id="Rectangle 6" o:spid="_x0000_s1026" style="position:absolute;margin-left:77.55pt;margin-top:132.8pt;width:312.4pt;height:269.8pt;z-index:2516633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" filled="f" strokecolor="black [3213]" strokeweight=".5pt">
                <w10:wrap anchory="page"/>
              </v:rect>
            </w:pict>
          </mc:Fallback>
        </mc:AlternateContent>
      </w:r>
    </w:p>
    <w:p w14:paraId="0BE47AB3" w14:textId="77777777" w:rsidR="005E1169" w:rsidRDefault="005E1169" w:rsidP="005E1169">
      <w:pPr>
        <w:spacing w:line="480" w:lineRule="auto"/>
        <w:ind w:firstLine="720"/>
        <w:contextualSpacing w:val="0"/>
        <w:jc w:val="both"/>
        <w:rPr>
          <w:rFonts w:ascii="Avenir" w:hAnsi="Avenir"/>
        </w:rPr>
      </w:pPr>
    </w:p>
    <w:p w14:paraId="5743D102" w14:textId="77777777" w:rsidR="005E1169" w:rsidRDefault="005E1169" w:rsidP="005E1169">
      <w:pPr>
        <w:spacing w:line="480" w:lineRule="auto"/>
        <w:ind w:firstLine="720"/>
        <w:contextualSpacing w:val="0"/>
        <w:jc w:val="both"/>
        <w:rPr>
          <w:rFonts w:ascii="Avenir" w:hAnsi="Avenir"/>
        </w:rPr>
      </w:pPr>
    </w:p>
    <w:p w14:paraId="5FB62B77" w14:textId="77777777" w:rsidR="005E1169" w:rsidRDefault="005E1169" w:rsidP="005E1169">
      <w:pPr>
        <w:spacing w:line="480" w:lineRule="auto"/>
        <w:ind w:firstLine="720"/>
        <w:contextualSpacing w:val="0"/>
        <w:jc w:val="both"/>
        <w:rPr>
          <w:rFonts w:ascii="Avenir" w:hAnsi="Avenir"/>
        </w:rPr>
      </w:pPr>
    </w:p>
    <w:p w14:paraId="6AAE6A17" w14:textId="77777777" w:rsidR="005E1169" w:rsidRDefault="005E1169" w:rsidP="005E1169">
      <w:pPr>
        <w:spacing w:line="480" w:lineRule="auto"/>
        <w:ind w:firstLine="720"/>
        <w:contextualSpacing w:val="0"/>
        <w:jc w:val="both"/>
        <w:rPr>
          <w:rFonts w:ascii="Avenir" w:hAnsi="Avenir"/>
        </w:rPr>
      </w:pPr>
    </w:p>
    <w:p w14:paraId="4028E9D8" w14:textId="77777777" w:rsidR="005E1169" w:rsidRDefault="005E1169" w:rsidP="005E1169">
      <w:pPr>
        <w:spacing w:line="480" w:lineRule="auto"/>
        <w:ind w:firstLine="720"/>
        <w:contextualSpacing w:val="0"/>
        <w:jc w:val="both"/>
        <w:rPr>
          <w:rFonts w:ascii="Avenir" w:hAnsi="Avenir"/>
        </w:rPr>
      </w:pPr>
    </w:p>
    <w:p w14:paraId="7C9FD61C" w14:textId="77777777" w:rsidR="005E1169" w:rsidRDefault="005E1169" w:rsidP="005E1169">
      <w:pPr>
        <w:spacing w:line="480" w:lineRule="auto"/>
        <w:ind w:firstLine="720"/>
        <w:contextualSpacing w:val="0"/>
        <w:jc w:val="both"/>
        <w:rPr>
          <w:rFonts w:ascii="Avenir" w:hAnsi="Avenir"/>
        </w:rPr>
      </w:pPr>
    </w:p>
    <w:p w14:paraId="1AE5FDCA" w14:textId="77777777" w:rsidR="005E1169" w:rsidRDefault="005E1169" w:rsidP="005E1169">
      <w:pPr>
        <w:spacing w:line="480" w:lineRule="auto"/>
        <w:ind w:firstLine="720"/>
        <w:contextualSpacing w:val="0"/>
        <w:jc w:val="both"/>
        <w:rPr>
          <w:rFonts w:ascii="Avenir" w:hAnsi="Avenir"/>
        </w:rPr>
      </w:pPr>
      <w:r w:rsidRPr="001F0505">
        <w:rPr>
          <w:rFonts w:ascii="Avenir" w:hAnsi="Avenir"/>
          <w:noProof/>
          <w:lang w:val="en-US" w:eastAsia="zh-CN"/>
        </w:rPr>
        <mc:AlternateContent>
          <mc:Choice Requires="wps">
            <w:drawing>
              <wp:anchor distT="45720" distB="45720" distL="114300" distR="114300" simplePos="0" relativeHeight="251665408" behindDoc="0" locked="0" layoutInCell="1" allowOverlap="1" wp14:anchorId="1295ECD6" wp14:editId="1CAB9B25">
                <wp:simplePos x="0" y="0"/>
                <wp:positionH relativeFrom="column">
                  <wp:posOffset>984872</wp:posOffset>
                </wp:positionH>
                <wp:positionV relativeFrom="page">
                  <wp:posOffset>4707890</wp:posOffset>
                </wp:positionV>
                <wp:extent cx="3959225" cy="404495"/>
                <wp:effectExtent l="0" t="0" r="22225" b="146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225" cy="404495"/>
                        </a:xfrm>
                        <a:prstGeom prst="rect">
                          <a:avLst/>
                        </a:prstGeom>
                        <a:solidFill>
                          <a:srgbClr val="FFFFFF"/>
                        </a:solidFill>
                        <a:ln w="9525">
                          <a:solidFill>
                            <a:srgbClr val="000000"/>
                          </a:solidFill>
                          <a:miter lim="800000"/>
                          <a:headEnd/>
                          <a:tailEnd/>
                        </a:ln>
                      </wps:spPr>
                      <wps:txbx>
                        <w:txbxContent>
                          <w:p w14:paraId="64687116" w14:textId="77777777" w:rsidR="005E1169" w:rsidRPr="001F0505" w:rsidRDefault="005E1169" w:rsidP="005E1169">
                            <w:pPr>
                              <w:rPr>
                                <w:sz w:val="18"/>
                              </w:rPr>
                            </w:pPr>
                            <w:r w:rsidRPr="001F0505">
                              <w:rPr>
                                <w:rFonts w:ascii="Avenir" w:hAnsi="Avenir"/>
                                <w:sz w:val="16"/>
                                <w:szCs w:val="20"/>
                              </w:rPr>
                              <w:t>https://www.cms.gov/Newsroom/MediaReleaseDatabase/Fact-sheets/2015-Fact-sheets-items/2015-01-26-3.html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156774A7" id="_x0000_s1030" type="#_x0000_t202" style="position:absolute;left:0;text-align:left;margin-left:77.55pt;margin-top:370.7pt;width:311.75pt;height:31.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">
                <v:textbox>
                  <w:txbxContent>
                    <w:p w:rsidR="005E1169" w:rsidRPr="001F0505" w:rsidRDefault="005E1169" w:rsidP="005E1169">
                      <w:pPr>
                        <w:rPr>
                          <w:sz w:val="18"/>
                        </w:rPr>
                      </w:pPr>
                      <w:r w:rsidRPr="001F0505">
                        <w:rPr>
                          <w:rFonts w:ascii="Avenir" w:hAnsi="Avenir"/>
                          <w:sz w:val="16"/>
                          <w:szCs w:val="20"/>
                        </w:rPr>
                        <w:t>https://www.cms.gov/Newsroom/MediaReleaseDatabase/Fact-sheets/2015-Fact-sheets-items/2015-01-26-3.html</w:t>
                      </w:r>
                    </w:p>
                  </w:txbxContent>
                </v:textbox>
                <w10:wrap type="square" anchory="page"/>
              </v:shape>
            </w:pict>
          </mc:Fallback>
        </mc:AlternateContent>
      </w:r>
    </w:p>
    <w:p w14:paraId="0445ED8D" w14:textId="77777777" w:rsidR="005E1169" w:rsidRDefault="005E1169" w:rsidP="005E1169">
      <w:pPr>
        <w:tabs>
          <w:tab w:val="left" w:pos="1916"/>
        </w:tabs>
        <w:spacing w:line="480" w:lineRule="auto"/>
        <w:ind w:firstLine="720"/>
        <w:contextualSpacing w:val="0"/>
        <w:jc w:val="both"/>
        <w:rPr>
          <w:rFonts w:ascii="Avenir" w:hAnsi="Avenir"/>
        </w:rPr>
      </w:pPr>
      <w:r>
        <w:rPr>
          <w:rFonts w:ascii="Avenir" w:hAnsi="Avenir"/>
        </w:rPr>
        <w:tab/>
      </w:r>
    </w:p>
    <w:p w14:paraId="09B6F26C" w14:textId="77777777" w:rsidR="005E1169" w:rsidRDefault="005E1169" w:rsidP="005E1169">
      <w:pPr>
        <w:spacing w:line="480" w:lineRule="auto"/>
        <w:ind w:firstLine="720"/>
        <w:contextualSpacing w:val="0"/>
        <w:jc w:val="both"/>
        <w:rPr>
          <w:rFonts w:ascii="Avenir" w:hAnsi="Avenir"/>
        </w:rPr>
      </w:pPr>
    </w:p>
    <w:p w14:paraId="4A7ED58D" w14:textId="77777777" w:rsidR="005E1169" w:rsidRPr="009047EF" w:rsidRDefault="005E1169" w:rsidP="005E1169">
      <w:pPr>
        <w:spacing w:line="480" w:lineRule="auto"/>
        <w:ind w:firstLine="720"/>
        <w:contextualSpacing w:val="0"/>
        <w:jc w:val="both"/>
        <w:rPr>
          <w:rFonts w:ascii="Avenir" w:hAnsi="Avenir"/>
        </w:rPr>
      </w:pPr>
      <w:r>
        <w:rPr>
          <w:rFonts w:ascii="Avenir" w:hAnsi="Avenir"/>
        </w:rPr>
        <w:t>On the state level, there has been</w:t>
      </w:r>
      <w:r w:rsidRPr="009047EF">
        <w:rPr>
          <w:rFonts w:ascii="Avenir" w:hAnsi="Avenir"/>
        </w:rPr>
        <w:t xml:space="preserve"> a rise in programs such as New York’s Delivery System Reform Incentive Payment Program (DSRIP). DSRIP incentivizes community-level collaborations focused on system reform</w:t>
      </w:r>
      <w:r>
        <w:rPr>
          <w:rFonts w:ascii="Avenir" w:hAnsi="Avenir"/>
        </w:rPr>
        <w:t>—</w:t>
      </w:r>
      <w:r w:rsidRPr="009047EF">
        <w:rPr>
          <w:rFonts w:ascii="Avenir" w:hAnsi="Avenir"/>
        </w:rPr>
        <w:t xml:space="preserve">with the main goal of achieving </w:t>
      </w:r>
      <w:r>
        <w:rPr>
          <w:rFonts w:ascii="Avenir" w:hAnsi="Avenir"/>
        </w:rPr>
        <w:t xml:space="preserve">a </w:t>
      </w:r>
      <w:r w:rsidRPr="009047EF">
        <w:rPr>
          <w:rFonts w:ascii="Avenir" w:hAnsi="Avenir"/>
        </w:rPr>
        <w:t>25% reduction in avoidable hospital use over the cou</w:t>
      </w:r>
      <w:r>
        <w:rPr>
          <w:rFonts w:ascii="Avenir" w:hAnsi="Avenir"/>
        </w:rPr>
        <w:t>rse of 5</w:t>
      </w:r>
      <w:r w:rsidRPr="009047EF">
        <w:rPr>
          <w:rFonts w:ascii="Avenir" w:hAnsi="Avenir"/>
        </w:rPr>
        <w:t xml:space="preserve"> years. </w:t>
      </w:r>
      <w:r w:rsidRPr="00802A1E">
        <w:rPr>
          <w:rFonts w:ascii="Avenir" w:hAnsi="Avenir"/>
        </w:rPr>
        <w:t>This program is part of New York State’s Va</w:t>
      </w:r>
      <w:r>
        <w:rPr>
          <w:rFonts w:ascii="Avenir" w:hAnsi="Avenir"/>
        </w:rPr>
        <w:t>lue Based Payment Reform effort, the existence of which is an indicator that state governments are also contributing to this reimbursement redesign.</w:t>
      </w:r>
      <w:r>
        <w:rPr>
          <w:rStyle w:val="FootnoteReference"/>
          <w:rFonts w:ascii="Avenir" w:hAnsi="Avenir"/>
        </w:rPr>
        <w:footnoteReference w:id="7"/>
      </w:r>
    </w:p>
    <w:p w14:paraId="7ED36486" w14:textId="77777777" w:rsidR="005E1169" w:rsidRPr="009047EF" w:rsidRDefault="005E1169" w:rsidP="005E1169">
      <w:pPr>
        <w:spacing w:line="480" w:lineRule="auto"/>
        <w:ind w:firstLine="720"/>
        <w:contextualSpacing w:val="0"/>
        <w:jc w:val="both"/>
        <w:rPr>
          <w:rFonts w:ascii="Avenir" w:hAnsi="Avenir"/>
        </w:rPr>
      </w:pPr>
      <w:r w:rsidRPr="009047EF">
        <w:rPr>
          <w:rFonts w:ascii="Avenir" w:hAnsi="Avenir"/>
        </w:rPr>
        <w:lastRenderedPageBreak/>
        <w:t xml:space="preserve">In the private sector, major insurance companies have amended their provider-payer contract agreements to align with the V-BID model. For example, Cigna published a white paper in early 2016 describing their efforts to shift towards value-based models. V-BID demonstrations are also being expanded as a part of Medicare Advantage. Part of the ACA, the Medicare Advantage V-BID Model allows Medicare Advantage plans to offer reduced cost sharing or additional benefits to enrollees with any of the 19 CMS-specific chronic conditions. </w:t>
      </w:r>
    </w:p>
    <w:p w14:paraId="0EC474E0" w14:textId="77777777" w:rsidR="005E1169" w:rsidRPr="009047EF" w:rsidRDefault="005E1169" w:rsidP="005E1169">
      <w:pPr>
        <w:spacing w:line="480" w:lineRule="auto"/>
        <w:ind w:firstLine="720"/>
        <w:contextualSpacing w:val="0"/>
        <w:jc w:val="both"/>
        <w:rPr>
          <w:rFonts w:ascii="Avenir" w:hAnsi="Avenir"/>
        </w:rPr>
      </w:pPr>
      <w:r w:rsidRPr="009047EF">
        <w:rPr>
          <w:rFonts w:ascii="Avenir" w:hAnsi="Avenir"/>
        </w:rPr>
        <w:t>While these initiatives involve a variety of quality metrics, a common thread among them is measuring medication adherence. Lack of medication adherence is a highly prevalent issue in the U.S. and one that has serious, widespread consequences. Medication adherence is defined as the process by which patients take their medication as prescribed. This includes initiating a medication regimen when instructed, adhering to the dosing instructions after initiating that  medication regimen, and continuing to take medication for the duration of a prescription.</w:t>
      </w:r>
      <w:r w:rsidRPr="009047EF">
        <w:rPr>
          <w:rFonts w:ascii="Avenir" w:hAnsi="Avenir"/>
          <w:vertAlign w:val="superscript"/>
        </w:rPr>
        <w:footnoteReference w:id="8"/>
      </w:r>
      <w:r w:rsidRPr="009047EF">
        <w:rPr>
          <w:rFonts w:ascii="Avenir" w:hAnsi="Avenir"/>
        </w:rPr>
        <w:t xml:space="preserve"> According to the WHO, approximately 50% of patients with chronic conditions do not adhere to treatment, su</w:t>
      </w:r>
      <w:r>
        <w:rPr>
          <w:rFonts w:ascii="Avenir" w:hAnsi="Avenir"/>
        </w:rPr>
        <w:t xml:space="preserve">ch as taking their medications </w:t>
      </w:r>
      <w:r w:rsidRPr="009047EF">
        <w:rPr>
          <w:rFonts w:ascii="Avenir" w:hAnsi="Avenir"/>
        </w:rPr>
        <w:t>as prescribed.</w:t>
      </w:r>
      <w:r w:rsidRPr="009047EF">
        <w:rPr>
          <w:rFonts w:ascii="Avenir" w:hAnsi="Avenir"/>
          <w:vertAlign w:val="superscript"/>
        </w:rPr>
        <w:footnoteReference w:id="9"/>
      </w:r>
      <w:r w:rsidRPr="009047EF">
        <w:rPr>
          <w:rFonts w:ascii="Avenir" w:hAnsi="Avenir"/>
        </w:rPr>
        <w:t xml:space="preserve"> Not only does this lead to adverse health outcomes for patients who are subject to it, but it results in excess costs within the health care sector. The full health benefits of taking medications cannot be realized if medications are not taken properly. </w:t>
      </w:r>
    </w:p>
    <w:p w14:paraId="21C46329" w14:textId="77777777" w:rsidR="005E1169" w:rsidRDefault="005E1169" w:rsidP="005E1169">
      <w:pPr>
        <w:spacing w:line="480" w:lineRule="auto"/>
        <w:contextualSpacing w:val="0"/>
        <w:jc w:val="both"/>
        <w:rPr>
          <w:rFonts w:ascii="Avenir" w:hAnsi="Avenir"/>
          <w:b/>
        </w:rPr>
      </w:pPr>
    </w:p>
    <w:p w14:paraId="061CCEB3" w14:textId="77777777" w:rsidR="005E1169" w:rsidRPr="00A746CD" w:rsidRDefault="005E1169" w:rsidP="005E1169">
      <w:pPr>
        <w:spacing w:line="480" w:lineRule="auto"/>
        <w:contextualSpacing w:val="0"/>
        <w:jc w:val="both"/>
        <w:rPr>
          <w:rFonts w:ascii="Avenir" w:hAnsi="Avenir"/>
          <w:b/>
          <w:u w:val="single"/>
        </w:rPr>
      </w:pPr>
      <w:r w:rsidRPr="00A746CD">
        <w:rPr>
          <w:rFonts w:ascii="Avenir" w:hAnsi="Avenir"/>
          <w:b/>
          <w:u w:val="single"/>
        </w:rPr>
        <w:lastRenderedPageBreak/>
        <w:t>Importance of Medication Adherence in Value-Based Care</w:t>
      </w:r>
    </w:p>
    <w:p w14:paraId="1A32625A" w14:textId="77777777" w:rsidR="005E1169" w:rsidRPr="009047EF" w:rsidRDefault="005E1169" w:rsidP="005E1169">
      <w:pPr>
        <w:spacing w:line="480" w:lineRule="auto"/>
        <w:ind w:firstLine="720"/>
        <w:contextualSpacing w:val="0"/>
        <w:jc w:val="both"/>
        <w:rPr>
          <w:rFonts w:ascii="Avenir" w:hAnsi="Avenir"/>
        </w:rPr>
      </w:pPr>
      <w:r w:rsidRPr="009047EF">
        <w:rPr>
          <w:rFonts w:ascii="Avenir" w:hAnsi="Avenir"/>
        </w:rPr>
        <w:t xml:space="preserve">There are a variety of factors which influence medication adherence, making it a complex issue to address. Socioeconomic disparities in income, social status, and education are known to affect health outcomes and low socioeconomic status has been linked with low medication adherence. The quality of care given by a provider or hospital system can impact medication adherence (for instance, how much follow-up a hospital does following a patient’s discharge). Many of those struggling with medication adherence face chronic conditions, and </w:t>
      </w:r>
      <w:r>
        <w:rPr>
          <w:rFonts w:ascii="Avenir" w:hAnsi="Avenir"/>
        </w:rPr>
        <w:t xml:space="preserve">according to literature </w:t>
      </w:r>
      <w:r w:rsidRPr="009047EF">
        <w:rPr>
          <w:rFonts w:ascii="Avenir" w:hAnsi="Avenir"/>
        </w:rPr>
        <w:t>are more likely to have comorbidities</w:t>
      </w:r>
      <w:r>
        <w:rPr>
          <w:rFonts w:ascii="Avenir" w:hAnsi="Avenir"/>
        </w:rPr>
        <w:t xml:space="preserve"> as a result</w:t>
      </w:r>
      <w:r w:rsidRPr="009047EF">
        <w:rPr>
          <w:rFonts w:ascii="Avenir" w:hAnsi="Avenir"/>
        </w:rPr>
        <w:t>. In turn, comorbidities can increase the chance</w:t>
      </w:r>
      <w:r>
        <w:rPr>
          <w:rFonts w:ascii="Avenir" w:hAnsi="Avenir"/>
        </w:rPr>
        <w:t xml:space="preserve"> </w:t>
      </w:r>
      <w:r w:rsidRPr="009047EF">
        <w:rPr>
          <w:rFonts w:ascii="Avenir" w:hAnsi="Avenir"/>
        </w:rPr>
        <w:t>of low medication adherence.</w:t>
      </w:r>
      <w:r>
        <w:rPr>
          <w:rFonts w:ascii="Avenir" w:hAnsi="Avenir"/>
        </w:rPr>
        <w:t xml:space="preserve"> This is because having multiple diagnoses often requires taking more medications, complicating care plans and hindering medication adherence.</w:t>
      </w:r>
      <w:r w:rsidRPr="009047EF">
        <w:rPr>
          <w:rFonts w:ascii="Avenir" w:hAnsi="Avenir"/>
          <w:vertAlign w:val="superscript"/>
        </w:rPr>
        <w:footnoteReference w:id="10"/>
      </w:r>
      <w:r w:rsidRPr="009047EF">
        <w:rPr>
          <w:rFonts w:ascii="Avenir" w:hAnsi="Avenir"/>
        </w:rPr>
        <w:t xml:space="preserve"> This networ</w:t>
      </w:r>
      <w:r>
        <w:rPr>
          <w:rFonts w:ascii="Avenir" w:hAnsi="Avenir"/>
        </w:rPr>
        <w:t xml:space="preserve">k of contributing factors present a challenge to developing effective </w:t>
      </w:r>
      <w:r w:rsidRPr="009047EF">
        <w:rPr>
          <w:rFonts w:ascii="Avenir" w:hAnsi="Avenir"/>
        </w:rPr>
        <w:t>medication adherence intervention</w:t>
      </w:r>
      <w:r>
        <w:rPr>
          <w:rFonts w:ascii="Avenir" w:hAnsi="Avenir"/>
        </w:rPr>
        <w:t>s</w:t>
      </w:r>
      <w:r w:rsidRPr="009047EF">
        <w:rPr>
          <w:rFonts w:ascii="Avenir" w:hAnsi="Avenir"/>
        </w:rPr>
        <w:t>.</w:t>
      </w:r>
    </w:p>
    <w:p w14:paraId="19F3C873" w14:textId="71F6DCE7" w:rsidR="005E1169" w:rsidRPr="009047EF" w:rsidRDefault="005E1169" w:rsidP="005E1169">
      <w:pPr>
        <w:spacing w:line="480" w:lineRule="auto"/>
        <w:ind w:firstLine="720"/>
        <w:contextualSpacing w:val="0"/>
        <w:jc w:val="both"/>
        <w:rPr>
          <w:rFonts w:ascii="Avenir" w:hAnsi="Avenir"/>
        </w:rPr>
      </w:pPr>
      <w:r w:rsidRPr="009047EF">
        <w:rPr>
          <w:rFonts w:ascii="Avenir" w:hAnsi="Avenir"/>
        </w:rPr>
        <w:t>Providers</w:t>
      </w:r>
      <w:r w:rsidR="00CB7C98">
        <w:rPr>
          <w:rFonts w:ascii="Avenir" w:hAnsi="Avenir"/>
        </w:rPr>
        <w:t xml:space="preserve"> </w:t>
      </w:r>
      <w:r w:rsidRPr="009047EF">
        <w:rPr>
          <w:rFonts w:ascii="Avenir" w:hAnsi="Avenir"/>
        </w:rPr>
        <w:t>involved in programs such as DSRIP, HRRP, and the others mentioned above have attempted a variety of interventions to improve their medication adherence scores to align with new value-based standards. These</w:t>
      </w:r>
      <w:r>
        <w:rPr>
          <w:rFonts w:ascii="Avenir" w:hAnsi="Avenir"/>
        </w:rPr>
        <w:t xml:space="preserve"> efforts</w:t>
      </w:r>
      <w:r w:rsidRPr="009047EF">
        <w:rPr>
          <w:rFonts w:ascii="Avenir" w:hAnsi="Avenir"/>
        </w:rPr>
        <w:t xml:space="preserve"> have ranged from nurse care managers following up with patients to make sure they are refilling their prescriptions to more digital-based interventions. Past digital health interventions have addressed adherence by providing pill reminders and enabling patient-provider communication but haven’t inspired patient </w:t>
      </w:r>
      <w:r w:rsidRPr="009047EF">
        <w:rPr>
          <w:rFonts w:ascii="Avenir" w:hAnsi="Avenir"/>
        </w:rPr>
        <w:lastRenderedPageBreak/>
        <w:t>motivation: most studies report low patient engagement.</w:t>
      </w:r>
      <w:r w:rsidRPr="009047EF">
        <w:rPr>
          <w:rFonts w:ascii="Avenir" w:hAnsi="Avenir"/>
          <w:vertAlign w:val="superscript"/>
        </w:rPr>
        <w:footnoteReference w:id="11"/>
      </w:r>
      <w:r w:rsidRPr="009047EF">
        <w:rPr>
          <w:rFonts w:ascii="Avenir" w:hAnsi="Avenir"/>
        </w:rPr>
        <w:t xml:space="preserve"> Yet interventions addressing economic barriers, such as with V-BID, have been shown to dramatically increase medication adherence. </w:t>
      </w:r>
    </w:p>
    <w:p w14:paraId="385DAEA2" w14:textId="77777777" w:rsidR="005E1169" w:rsidRPr="009047EF" w:rsidRDefault="005E1169" w:rsidP="005E1169">
      <w:pPr>
        <w:spacing w:line="480" w:lineRule="auto"/>
        <w:ind w:firstLine="720"/>
        <w:contextualSpacing w:val="0"/>
        <w:jc w:val="both"/>
        <w:rPr>
          <w:rFonts w:ascii="Avenir" w:hAnsi="Avenir"/>
        </w:rPr>
      </w:pPr>
      <w:r w:rsidRPr="009047EF">
        <w:rPr>
          <w:rFonts w:ascii="Avenir" w:hAnsi="Avenir"/>
        </w:rPr>
        <w:t xml:space="preserve"> In July of 2018, Health Affairs published a systematic review of 21 studies that investigated the impact of V-BID on medication adherence</w:t>
      </w:r>
      <w:r>
        <w:rPr>
          <w:rFonts w:ascii="Avenir" w:hAnsi="Avenir"/>
        </w:rPr>
        <w:t xml:space="preserve">. </w:t>
      </w:r>
      <w:r w:rsidRPr="009047EF">
        <w:rPr>
          <w:rFonts w:ascii="Avenir" w:hAnsi="Avenir"/>
        </w:rPr>
        <w:t>In the review, all but two studies showed a statistically significant improvement in medication adherence with V-BID. The exceptions found no difference in adherence with a V-BID model compared to without. These improvements were evaluated by looking at Medication Possession Ratio (MPR) or Proportion of Days Covered (PDC), two commonly used metrics for medication adherence. Using the Grading of Recommendations, Assessment, Development and Evaluation (GRADE) system, the authors found evidence of improvement in medication adherence from 0.1-14.3% with V-BID.</w:t>
      </w:r>
      <w:r w:rsidRPr="009047EF">
        <w:rPr>
          <w:rFonts w:ascii="Avenir" w:hAnsi="Avenir"/>
          <w:vertAlign w:val="superscript"/>
        </w:rPr>
        <w:footnoteReference w:id="12"/>
      </w:r>
      <w:r w:rsidRPr="009047EF">
        <w:rPr>
          <w:rFonts w:ascii="Avenir" w:hAnsi="Avenir"/>
        </w:rPr>
        <w:t xml:space="preserve"> </w:t>
      </w:r>
    </w:p>
    <w:p w14:paraId="5BCF8579" w14:textId="77777777" w:rsidR="00A00E25" w:rsidRDefault="005E1169" w:rsidP="00A00E25">
      <w:pPr>
        <w:spacing w:line="480" w:lineRule="auto"/>
        <w:ind w:firstLine="720"/>
        <w:contextualSpacing w:val="0"/>
        <w:jc w:val="both"/>
        <w:rPr>
          <w:rFonts w:ascii="Avenir" w:hAnsi="Avenir"/>
        </w:rPr>
      </w:pPr>
      <w:r w:rsidRPr="009047EF">
        <w:rPr>
          <w:rFonts w:ascii="Avenir" w:hAnsi="Avenir"/>
        </w:rPr>
        <w:t>These results are promising, but there is still room for improvement. Medication adherence rates in the U.S. are currently around 50%</w:t>
      </w:r>
      <w:r w:rsidR="0001790A">
        <w:rPr>
          <w:rFonts w:ascii="Avenir" w:hAnsi="Avenir"/>
        </w:rPr>
        <w:t xml:space="preserve"> in chronic disease populations</w:t>
      </w:r>
      <w:r w:rsidRPr="009047EF">
        <w:rPr>
          <w:rFonts w:ascii="Avenir" w:hAnsi="Avenir"/>
        </w:rPr>
        <w:t>, so even on the far end of the spectrum seen in the review, average medication adherence with V-BID would only amount to approximately 64.3%.</w:t>
      </w:r>
      <w:r w:rsidR="00A00E25">
        <w:rPr>
          <w:rStyle w:val="FootnoteReference"/>
          <w:rFonts w:ascii="Avenir" w:hAnsi="Avenir"/>
        </w:rPr>
        <w:footnoteReference w:id="13"/>
      </w:r>
      <w:r w:rsidRPr="009047EF">
        <w:rPr>
          <w:rFonts w:ascii="Avenir" w:hAnsi="Avenir"/>
        </w:rPr>
        <w:t xml:space="preserve"> For medication adherence rates to be closer to 100%, this complex problem needs to be approached from various angles and not just from the standpoint of health care payment redesign. There is a critical need to combin</w:t>
      </w:r>
      <w:r>
        <w:rPr>
          <w:rFonts w:ascii="Avenir" w:hAnsi="Avenir"/>
        </w:rPr>
        <w:t xml:space="preserve">e financial </w:t>
      </w:r>
      <w:r>
        <w:rPr>
          <w:rFonts w:ascii="Avenir" w:hAnsi="Avenir"/>
        </w:rPr>
        <w:lastRenderedPageBreak/>
        <w:t xml:space="preserve">incentives with digital </w:t>
      </w:r>
      <w:r w:rsidRPr="009047EF">
        <w:rPr>
          <w:rFonts w:ascii="Avenir" w:hAnsi="Avenir"/>
        </w:rPr>
        <w:t>health technologies of proven clinical benefit to continue improving medication adherence.</w:t>
      </w:r>
    </w:p>
    <w:p w14:paraId="01414CC4" w14:textId="0A9045B9" w:rsidR="005E1169" w:rsidRPr="00A746CD" w:rsidRDefault="005E1169" w:rsidP="00A00E25">
      <w:pPr>
        <w:spacing w:line="480" w:lineRule="auto"/>
        <w:contextualSpacing w:val="0"/>
        <w:jc w:val="both"/>
        <w:rPr>
          <w:rFonts w:ascii="Avenir" w:hAnsi="Avenir"/>
          <w:u w:val="single"/>
        </w:rPr>
      </w:pPr>
      <w:r w:rsidRPr="00A746CD">
        <w:rPr>
          <w:rFonts w:ascii="Avenir" w:hAnsi="Avenir"/>
          <w:b/>
          <w:u w:val="single"/>
        </w:rPr>
        <w:t xml:space="preserve">Improving Medication Adherence Using Behavioral Economics </w:t>
      </w:r>
    </w:p>
    <w:p w14:paraId="412AACE1" w14:textId="77777777" w:rsidR="005E1169" w:rsidRPr="009047EF" w:rsidRDefault="005E1169" w:rsidP="005E1169">
      <w:pPr>
        <w:spacing w:line="480" w:lineRule="auto"/>
        <w:ind w:firstLine="720"/>
        <w:contextualSpacing w:val="0"/>
        <w:jc w:val="both"/>
        <w:rPr>
          <w:rFonts w:ascii="Avenir" w:hAnsi="Avenir"/>
        </w:rPr>
      </w:pPr>
      <w:r w:rsidRPr="009047EF">
        <w:rPr>
          <w:rFonts w:ascii="Avenir" w:hAnsi="Avenir"/>
        </w:rPr>
        <w:t>Behavioral economics is the study of why individuals perform the behaviors they do. Recent research in the field has offered a deeper understanding of human</w:t>
      </w:r>
      <w:r>
        <w:rPr>
          <w:rFonts w:ascii="Avenir" w:hAnsi="Avenir"/>
        </w:rPr>
        <w:t xml:space="preserve"> behavior and motivation. </w:t>
      </w:r>
      <w:proofErr w:type="spellStart"/>
      <w:r>
        <w:rPr>
          <w:rFonts w:ascii="Avenir" w:hAnsi="Avenir"/>
        </w:rPr>
        <w:t>Wellth</w:t>
      </w:r>
      <w:proofErr w:type="spellEnd"/>
      <w:r>
        <w:rPr>
          <w:rFonts w:ascii="Avenir" w:hAnsi="Avenir"/>
        </w:rPr>
        <w:t xml:space="preserve">, a digital health company that helps patients </w:t>
      </w:r>
      <w:r w:rsidRPr="007103D6">
        <w:rPr>
          <w:rFonts w:ascii="Avenir" w:hAnsi="Avenir"/>
        </w:rPr>
        <w:t>achiev</w:t>
      </w:r>
      <w:r>
        <w:rPr>
          <w:rFonts w:ascii="Avenir" w:hAnsi="Avenir"/>
        </w:rPr>
        <w:t xml:space="preserve">e better adherence and engagement, </w:t>
      </w:r>
      <w:r w:rsidRPr="009047EF">
        <w:rPr>
          <w:rFonts w:ascii="Avenir" w:hAnsi="Avenir"/>
        </w:rPr>
        <w:t xml:space="preserve">has incorporated </w:t>
      </w:r>
      <w:r>
        <w:rPr>
          <w:rFonts w:ascii="Avenir" w:hAnsi="Avenir"/>
        </w:rPr>
        <w:t xml:space="preserve">behavioral economics </w:t>
      </w:r>
      <w:r w:rsidRPr="009047EF">
        <w:rPr>
          <w:rFonts w:ascii="Avenir" w:hAnsi="Avenir"/>
        </w:rPr>
        <w:t xml:space="preserve">into its mobile solutions to better improve patient outcomes. For instance, the concept of </w:t>
      </w:r>
      <w:r w:rsidRPr="007103D6">
        <w:rPr>
          <w:rFonts w:ascii="Avenir" w:hAnsi="Avenir"/>
          <w:i/>
        </w:rPr>
        <w:t xml:space="preserve">present bias </w:t>
      </w:r>
      <w:r w:rsidRPr="009047EF">
        <w:rPr>
          <w:rFonts w:ascii="Avenir" w:hAnsi="Avenir"/>
        </w:rPr>
        <w:t>helps explain why patients often don</w:t>
      </w:r>
      <w:r>
        <w:rPr>
          <w:rFonts w:ascii="Avenir" w:hAnsi="Avenir"/>
        </w:rPr>
        <w:t xml:space="preserve">’t adhere to their care plans. </w:t>
      </w:r>
      <w:r w:rsidRPr="007103D6">
        <w:rPr>
          <w:rFonts w:ascii="Avenir" w:hAnsi="Avenir"/>
          <w:i/>
        </w:rPr>
        <w:t>Present bias</w:t>
      </w:r>
      <w:r>
        <w:rPr>
          <w:rFonts w:ascii="Avenir" w:hAnsi="Avenir"/>
        </w:rPr>
        <w:t xml:space="preserve"> is when p</w:t>
      </w:r>
      <w:r w:rsidRPr="009047EF">
        <w:rPr>
          <w:rFonts w:ascii="Avenir" w:hAnsi="Avenir"/>
        </w:rPr>
        <w:t xml:space="preserve">eople weigh present-day rewards greater than future rewards, and even though many patients want to get healthier, they don’t always do the right things necessary to get there (such as taking daily medications). This cognitive bias can also be harnessed for good; by understanding this bias, it’s possible to create more effective behavioral health interventions. </w:t>
      </w:r>
      <w:proofErr w:type="spellStart"/>
      <w:r w:rsidRPr="009047EF">
        <w:rPr>
          <w:rFonts w:ascii="Avenir" w:hAnsi="Avenir"/>
        </w:rPr>
        <w:t>Wellth</w:t>
      </w:r>
      <w:proofErr w:type="spellEnd"/>
      <w:r w:rsidRPr="009047EF">
        <w:rPr>
          <w:rFonts w:ascii="Avenir" w:hAnsi="Avenir"/>
        </w:rPr>
        <w:t xml:space="preserve"> tackles present bias by providing a tangible, immediate </w:t>
      </w:r>
      <w:r>
        <w:rPr>
          <w:rFonts w:ascii="Avenir" w:hAnsi="Avenir"/>
        </w:rPr>
        <w:t>motive</w:t>
      </w:r>
      <w:r w:rsidRPr="009047EF">
        <w:rPr>
          <w:rFonts w:ascii="Avenir" w:hAnsi="Avenir"/>
        </w:rPr>
        <w:t xml:space="preserve"> in the form of financial incentives to reinforce healthy behaviors. By doing so, more present value is generated for behaviors such as taking daily medications.</w:t>
      </w:r>
    </w:p>
    <w:p w14:paraId="1D371DFD" w14:textId="77777777" w:rsidR="005E1169" w:rsidRPr="009047EF" w:rsidRDefault="005E1169" w:rsidP="005E1169">
      <w:pPr>
        <w:spacing w:line="480" w:lineRule="auto"/>
        <w:ind w:firstLine="720"/>
        <w:contextualSpacing w:val="0"/>
        <w:jc w:val="both"/>
        <w:rPr>
          <w:rFonts w:ascii="Avenir" w:hAnsi="Avenir"/>
        </w:rPr>
      </w:pPr>
      <w:proofErr w:type="spellStart"/>
      <w:r w:rsidRPr="009047EF">
        <w:rPr>
          <w:rFonts w:ascii="Avenir" w:hAnsi="Avenir"/>
        </w:rPr>
        <w:t>Wellth</w:t>
      </w:r>
      <w:proofErr w:type="spellEnd"/>
      <w:r w:rsidRPr="009047EF">
        <w:rPr>
          <w:rFonts w:ascii="Avenir" w:hAnsi="Avenir"/>
        </w:rPr>
        <w:t xml:space="preserve"> uses the behavioral economics concept known as </w:t>
      </w:r>
      <w:r w:rsidRPr="00C23E25">
        <w:rPr>
          <w:rFonts w:ascii="Avenir" w:hAnsi="Avenir"/>
          <w:i/>
        </w:rPr>
        <w:t>loss aversion</w:t>
      </w:r>
      <w:r w:rsidRPr="009047EF">
        <w:rPr>
          <w:rFonts w:ascii="Avenir" w:hAnsi="Avenir"/>
        </w:rPr>
        <w:t xml:space="preserve"> to further improve medication adherence and create habit formation. </w:t>
      </w:r>
      <w:r w:rsidRPr="007405D0">
        <w:rPr>
          <w:rFonts w:ascii="Avenir" w:hAnsi="Avenir"/>
          <w:i/>
        </w:rPr>
        <w:t>Loss aversion</w:t>
      </w:r>
      <w:r w:rsidRPr="009047EF">
        <w:rPr>
          <w:rFonts w:ascii="Avenir" w:hAnsi="Avenir"/>
        </w:rPr>
        <w:t xml:space="preserve"> is the tendency of individuals to be more motivated by avoiding potential losses than by receiving equivalent gains. Research has supported this concept: in a 2016 study it was found that </w:t>
      </w:r>
      <w:r w:rsidRPr="00C23E25">
        <w:rPr>
          <w:rFonts w:ascii="Avenir" w:hAnsi="Avenir"/>
          <w:i/>
        </w:rPr>
        <w:t>loss aversion</w:t>
      </w:r>
      <w:r w:rsidRPr="009047EF">
        <w:rPr>
          <w:rFonts w:ascii="Avenir" w:hAnsi="Avenir"/>
        </w:rPr>
        <w:t xml:space="preserve"> was 29% more effective at inducing high BMI patients to track over 7,000 steps per day compared to gain </w:t>
      </w:r>
      <w:r w:rsidRPr="009047EF">
        <w:rPr>
          <w:rFonts w:ascii="Avenir" w:hAnsi="Avenir"/>
        </w:rPr>
        <w:lastRenderedPageBreak/>
        <w:t>incentives and lotteries.</w:t>
      </w:r>
      <w:r w:rsidRPr="009047EF">
        <w:rPr>
          <w:rFonts w:ascii="Avenir" w:hAnsi="Avenir"/>
          <w:vertAlign w:val="superscript"/>
        </w:rPr>
        <w:footnoteReference w:id="14"/>
      </w:r>
      <w:r w:rsidRPr="009047EF">
        <w:rPr>
          <w:rFonts w:ascii="Avenir" w:hAnsi="Avenir"/>
        </w:rPr>
        <w:t xml:space="preserve"> </w:t>
      </w:r>
      <w:proofErr w:type="spellStart"/>
      <w:r w:rsidRPr="009047EF">
        <w:rPr>
          <w:rFonts w:ascii="Avenir" w:hAnsi="Avenir"/>
        </w:rPr>
        <w:t>Wellth</w:t>
      </w:r>
      <w:proofErr w:type="spellEnd"/>
      <w:r w:rsidRPr="009047EF">
        <w:rPr>
          <w:rFonts w:ascii="Avenir" w:hAnsi="Avenir"/>
        </w:rPr>
        <w:t xml:space="preserve"> employs both </w:t>
      </w:r>
      <w:r>
        <w:rPr>
          <w:rFonts w:ascii="Avenir" w:hAnsi="Avenir"/>
        </w:rPr>
        <w:t xml:space="preserve">concepts </w:t>
      </w:r>
      <w:r w:rsidRPr="009047EF">
        <w:rPr>
          <w:rFonts w:ascii="Avenir" w:hAnsi="Avenir"/>
        </w:rPr>
        <w:t xml:space="preserve">in the incentive structure of its programs to maximize patient adherence. When an individual is enrolled into the </w:t>
      </w:r>
      <w:proofErr w:type="spellStart"/>
      <w:r w:rsidRPr="009047EF">
        <w:rPr>
          <w:rFonts w:ascii="Avenir" w:hAnsi="Avenir"/>
        </w:rPr>
        <w:t>Wellth</w:t>
      </w:r>
      <w:proofErr w:type="spellEnd"/>
      <w:r w:rsidRPr="009047EF">
        <w:rPr>
          <w:rFonts w:ascii="Avenir" w:hAnsi="Avenir"/>
        </w:rPr>
        <w:t xml:space="preserve"> program, they start out with a set balance in a virtual account that cannot be accessed until the end of the program, contingent on their adherence to their daily tasks. For each day they miss, they lose up to $2 of their rewards. </w:t>
      </w:r>
    </w:p>
    <w:p w14:paraId="66864794" w14:textId="2B37A716" w:rsidR="005E1169" w:rsidRDefault="005E1169" w:rsidP="005E1169">
      <w:pPr>
        <w:spacing w:line="480" w:lineRule="auto"/>
        <w:ind w:firstLine="720"/>
        <w:contextualSpacing w:val="0"/>
        <w:jc w:val="both"/>
        <w:rPr>
          <w:rFonts w:ascii="Avenir" w:hAnsi="Avenir"/>
        </w:rPr>
      </w:pPr>
      <w:r w:rsidRPr="009047EF">
        <w:rPr>
          <w:rFonts w:ascii="Avenir" w:hAnsi="Avenir"/>
        </w:rPr>
        <w:t xml:space="preserve">The results from </w:t>
      </w:r>
      <w:proofErr w:type="spellStart"/>
      <w:r w:rsidRPr="009047EF">
        <w:rPr>
          <w:rFonts w:ascii="Avenir" w:hAnsi="Avenir"/>
        </w:rPr>
        <w:t>Wellth’s</w:t>
      </w:r>
      <w:proofErr w:type="spellEnd"/>
      <w:r w:rsidRPr="009047EF">
        <w:rPr>
          <w:rFonts w:ascii="Avenir" w:hAnsi="Avenir"/>
        </w:rPr>
        <w:t xml:space="preserve"> approach have been significant. </w:t>
      </w:r>
      <w:proofErr w:type="spellStart"/>
      <w:r w:rsidRPr="009047EF">
        <w:rPr>
          <w:rFonts w:ascii="Avenir" w:hAnsi="Avenir"/>
        </w:rPr>
        <w:t>Wellth</w:t>
      </w:r>
      <w:proofErr w:type="spellEnd"/>
      <w:r w:rsidRPr="009047EF">
        <w:rPr>
          <w:rFonts w:ascii="Avenir" w:hAnsi="Avenir"/>
        </w:rPr>
        <w:t xml:space="preserve"> partnered with a long-term care arm of an New York City (NYC) based insurance company to help its Type 2 Diabetes population improve medication adherence. Eligibility criteria included having a baseline A1c level above 8.0 within the past six months, which served as a proxy for low medication adherence. Over the course of 12 months, there was a 90% level of adherence in this previously non-adherent population</w:t>
      </w:r>
      <w:r>
        <w:rPr>
          <w:rFonts w:ascii="Avenir" w:hAnsi="Avenir"/>
        </w:rPr>
        <w:t>. T</w:t>
      </w:r>
      <w:r w:rsidRPr="009047EF">
        <w:rPr>
          <w:rFonts w:ascii="Avenir" w:hAnsi="Avenir"/>
        </w:rPr>
        <w:t>his</w:t>
      </w:r>
      <w:r>
        <w:rPr>
          <w:rFonts w:ascii="Avenir" w:hAnsi="Avenir"/>
        </w:rPr>
        <w:t xml:space="preserve"> high level of adherence</w:t>
      </w:r>
      <w:r w:rsidRPr="009047EF">
        <w:rPr>
          <w:rFonts w:ascii="Avenir" w:hAnsi="Avenir"/>
        </w:rPr>
        <w:t xml:space="preserve"> was accompanied by an average d</w:t>
      </w:r>
      <w:r>
        <w:rPr>
          <w:rFonts w:ascii="Avenir" w:hAnsi="Avenir"/>
        </w:rPr>
        <w:t>ecrease in A1c levels by 1.03</w:t>
      </w:r>
      <w:r w:rsidRPr="009047EF">
        <w:rPr>
          <w:rFonts w:ascii="Avenir" w:hAnsi="Avenir"/>
        </w:rPr>
        <w:t xml:space="preserve"> in this population</w:t>
      </w:r>
      <w:r>
        <w:rPr>
          <w:rFonts w:ascii="Avenir" w:hAnsi="Avenir"/>
        </w:rPr>
        <w:t xml:space="preserve">, which supports the claim that medication adherence can improve health outcomes. </w:t>
      </w:r>
      <w:r w:rsidRPr="009047EF">
        <w:rPr>
          <w:rFonts w:ascii="Avenir" w:hAnsi="Avenir"/>
        </w:rPr>
        <w:t xml:space="preserve">When working with a high risk ambulatory care clinic in NYC, the </w:t>
      </w:r>
      <w:proofErr w:type="spellStart"/>
      <w:r w:rsidRPr="009047EF">
        <w:rPr>
          <w:rFonts w:ascii="Avenir" w:hAnsi="Avenir"/>
        </w:rPr>
        <w:t>Wellth</w:t>
      </w:r>
      <w:proofErr w:type="spellEnd"/>
      <w:r w:rsidRPr="009047EF">
        <w:rPr>
          <w:rFonts w:ascii="Avenir" w:hAnsi="Avenir"/>
        </w:rPr>
        <w:t xml:space="preserve"> program resulted in an average adherence rate of 88% among that population. Additionally, the Net Promoter Score </w:t>
      </w:r>
      <w:r w:rsidR="00D90582">
        <w:rPr>
          <w:rFonts w:ascii="Avenir" w:hAnsi="Avenir"/>
        </w:rPr>
        <w:t xml:space="preserve">across all </w:t>
      </w:r>
      <w:proofErr w:type="spellStart"/>
      <w:r w:rsidR="00D90582">
        <w:rPr>
          <w:rFonts w:ascii="Avenir" w:hAnsi="Avenir"/>
        </w:rPr>
        <w:t>Wellth</w:t>
      </w:r>
      <w:proofErr w:type="spellEnd"/>
      <w:r w:rsidRPr="009047EF">
        <w:rPr>
          <w:rFonts w:ascii="Avenir" w:hAnsi="Avenir"/>
        </w:rPr>
        <w:t xml:space="preserve"> p</w:t>
      </w:r>
      <w:r>
        <w:rPr>
          <w:rFonts w:ascii="Avenir" w:hAnsi="Avenir"/>
        </w:rPr>
        <w:t>opulation</w:t>
      </w:r>
      <w:r w:rsidR="00D90582">
        <w:rPr>
          <w:rFonts w:ascii="Avenir" w:hAnsi="Avenir"/>
        </w:rPr>
        <w:t>s</w:t>
      </w:r>
      <w:r>
        <w:rPr>
          <w:rFonts w:ascii="Avenir" w:hAnsi="Avenir"/>
        </w:rPr>
        <w:t xml:space="preserve"> </w:t>
      </w:r>
      <w:r w:rsidR="00D90582">
        <w:rPr>
          <w:rFonts w:ascii="Avenir" w:hAnsi="Avenir"/>
        </w:rPr>
        <w:t>is</w:t>
      </w:r>
      <w:r>
        <w:rPr>
          <w:rFonts w:ascii="Avenir" w:hAnsi="Avenir"/>
        </w:rPr>
        <w:t xml:space="preserve"> 92%, showing that members enjoyed the </w:t>
      </w:r>
      <w:proofErr w:type="spellStart"/>
      <w:r>
        <w:rPr>
          <w:rFonts w:ascii="Avenir" w:hAnsi="Avenir"/>
        </w:rPr>
        <w:t>Wellth</w:t>
      </w:r>
      <w:proofErr w:type="spellEnd"/>
      <w:r>
        <w:rPr>
          <w:rFonts w:ascii="Avenir" w:hAnsi="Avenir"/>
        </w:rPr>
        <w:t xml:space="preserve"> program</w:t>
      </w:r>
      <w:r w:rsidRPr="009047EF">
        <w:rPr>
          <w:rFonts w:ascii="Avenir" w:hAnsi="Avenir"/>
        </w:rPr>
        <w:t xml:space="preserve"> and would strongly recommend it to others who might benefit.</w:t>
      </w:r>
      <w:r>
        <w:rPr>
          <w:rStyle w:val="FootnoteReference"/>
          <w:rFonts w:ascii="Avenir" w:hAnsi="Avenir"/>
        </w:rPr>
        <w:footnoteReference w:id="15"/>
      </w:r>
      <w:r w:rsidRPr="009047EF">
        <w:rPr>
          <w:rFonts w:ascii="Avenir" w:hAnsi="Avenir"/>
        </w:rPr>
        <w:t xml:space="preserve"> </w:t>
      </w:r>
    </w:p>
    <w:p w14:paraId="18B472E8" w14:textId="77777777" w:rsidR="00A00E25" w:rsidRDefault="00A00E25" w:rsidP="005E1169">
      <w:pPr>
        <w:spacing w:line="480" w:lineRule="auto"/>
        <w:contextualSpacing w:val="0"/>
        <w:jc w:val="both"/>
        <w:rPr>
          <w:rFonts w:ascii="Avenir" w:hAnsi="Avenir"/>
          <w:b/>
        </w:rPr>
      </w:pPr>
    </w:p>
    <w:p w14:paraId="3702D1F2" w14:textId="77777777" w:rsidR="00A00E25" w:rsidRDefault="00A00E25" w:rsidP="005E1169">
      <w:pPr>
        <w:spacing w:line="480" w:lineRule="auto"/>
        <w:contextualSpacing w:val="0"/>
        <w:jc w:val="both"/>
        <w:rPr>
          <w:rFonts w:ascii="Avenir" w:hAnsi="Avenir"/>
          <w:b/>
        </w:rPr>
      </w:pPr>
    </w:p>
    <w:p w14:paraId="4874DC58" w14:textId="5DA8FD1B" w:rsidR="005E1169" w:rsidRPr="00A746CD" w:rsidRDefault="005E1169" w:rsidP="005E1169">
      <w:pPr>
        <w:spacing w:line="480" w:lineRule="auto"/>
        <w:contextualSpacing w:val="0"/>
        <w:jc w:val="both"/>
        <w:rPr>
          <w:rFonts w:ascii="Avenir" w:hAnsi="Avenir"/>
          <w:u w:val="single"/>
        </w:rPr>
      </w:pPr>
      <w:r w:rsidRPr="00A746CD">
        <w:rPr>
          <w:rFonts w:ascii="Avenir" w:hAnsi="Avenir"/>
          <w:b/>
          <w:u w:val="single"/>
        </w:rPr>
        <w:lastRenderedPageBreak/>
        <w:t>Policy Implications</w:t>
      </w:r>
    </w:p>
    <w:p w14:paraId="4636052B" w14:textId="77777777" w:rsidR="005E1169" w:rsidRPr="009047EF" w:rsidRDefault="005E1169" w:rsidP="005E1169">
      <w:pPr>
        <w:spacing w:line="480" w:lineRule="auto"/>
        <w:ind w:firstLine="720"/>
        <w:contextualSpacing w:val="0"/>
        <w:jc w:val="both"/>
        <w:rPr>
          <w:rFonts w:ascii="Avenir" w:hAnsi="Avenir"/>
        </w:rPr>
      </w:pPr>
      <w:r w:rsidRPr="009047EF">
        <w:rPr>
          <w:rFonts w:ascii="Avenir" w:hAnsi="Avenir"/>
        </w:rPr>
        <w:t>Under the traditional fee-for</w:t>
      </w:r>
      <w:r>
        <w:rPr>
          <w:rFonts w:ascii="Avenir" w:hAnsi="Avenir"/>
        </w:rPr>
        <w:t>-service model of reimbursement,</w:t>
      </w:r>
      <w:r w:rsidRPr="009047EF">
        <w:rPr>
          <w:rFonts w:ascii="Avenir" w:hAnsi="Avenir"/>
        </w:rPr>
        <w:t xml:space="preserve"> laws </w:t>
      </w:r>
      <w:r>
        <w:rPr>
          <w:rFonts w:ascii="Avenir" w:hAnsi="Avenir"/>
        </w:rPr>
        <w:t xml:space="preserve">were established </w:t>
      </w:r>
      <w:r w:rsidRPr="009047EF">
        <w:rPr>
          <w:rFonts w:ascii="Avenir" w:hAnsi="Avenir"/>
        </w:rPr>
        <w:t>to protect patients and federal healthcare providers and program</w:t>
      </w:r>
      <w:r>
        <w:rPr>
          <w:rFonts w:ascii="Avenir" w:hAnsi="Avenir"/>
        </w:rPr>
        <w:t>s. For example</w:t>
      </w:r>
      <w:r w:rsidRPr="009047EF">
        <w:rPr>
          <w:rFonts w:ascii="Avenir" w:hAnsi="Avenir"/>
        </w:rPr>
        <w:t xml:space="preserve">, provisions under the Civil Money Penalties (CMP) Law and the federal Anti-Kickback Statute (AKS) prohibit inducements to beneficiaries of federal health care, known as Beneficiary Inducement Prohibitions. </w:t>
      </w:r>
      <w:r>
        <w:rPr>
          <w:rFonts w:ascii="Avenir" w:hAnsi="Avenir"/>
        </w:rPr>
        <w:t xml:space="preserve">Written decades ago, these laws were created prior to mass personalization now possible in health care due to digital health. </w:t>
      </w:r>
      <w:r w:rsidRPr="009047EF">
        <w:rPr>
          <w:rFonts w:ascii="Avenir" w:hAnsi="Avenir"/>
        </w:rPr>
        <w:t xml:space="preserve">While these policies </w:t>
      </w:r>
      <w:r>
        <w:rPr>
          <w:rFonts w:ascii="Avenir" w:hAnsi="Avenir"/>
        </w:rPr>
        <w:t>were intended to protect patients and providers while improving he</w:t>
      </w:r>
      <w:r w:rsidRPr="009421E3">
        <w:rPr>
          <w:rFonts w:ascii="Avenir" w:hAnsi="Avenir"/>
        </w:rPr>
        <w:t>alth outcomes</w:t>
      </w:r>
      <w:r w:rsidRPr="009047EF">
        <w:rPr>
          <w:rFonts w:ascii="Avenir" w:hAnsi="Avenir"/>
        </w:rPr>
        <w:t>, with the shift towards value-based care and with the rise in digital health</w:t>
      </w:r>
      <w:r>
        <w:rPr>
          <w:rFonts w:ascii="Avenir" w:hAnsi="Avenir"/>
        </w:rPr>
        <w:t>,</w:t>
      </w:r>
      <w:r w:rsidRPr="009047EF">
        <w:rPr>
          <w:rFonts w:ascii="Avenir" w:hAnsi="Avenir"/>
        </w:rPr>
        <w:t xml:space="preserve"> they sometimes hinder progress. </w:t>
      </w:r>
    </w:p>
    <w:p w14:paraId="21711D5D" w14:textId="77777777" w:rsidR="005E1169" w:rsidRDefault="005E1169" w:rsidP="005E1169">
      <w:pPr>
        <w:spacing w:line="480" w:lineRule="auto"/>
        <w:ind w:firstLine="720"/>
        <w:contextualSpacing w:val="0"/>
        <w:jc w:val="both"/>
        <w:rPr>
          <w:rFonts w:ascii="Avenir" w:hAnsi="Avenir"/>
        </w:rPr>
      </w:pPr>
      <w:r>
        <w:rPr>
          <w:rFonts w:ascii="Avenir" w:hAnsi="Avenir"/>
        </w:rPr>
        <w:t>Over the years</w:t>
      </w:r>
      <w:r w:rsidRPr="009047EF">
        <w:rPr>
          <w:rFonts w:ascii="Avenir" w:hAnsi="Avenir"/>
        </w:rPr>
        <w:t xml:space="preserve">, there have been exceptions made to this statute to accommodate changes in the industry. The BBA (1993), MMA (2003), and ACA (2010) all included exceptions as to what would be considered a remuneration in the </w:t>
      </w:r>
      <w:r>
        <w:rPr>
          <w:rFonts w:ascii="Avenir" w:hAnsi="Avenir"/>
        </w:rPr>
        <w:t>AKS</w:t>
      </w:r>
      <w:r w:rsidRPr="009047EF">
        <w:rPr>
          <w:rFonts w:ascii="Avenir" w:hAnsi="Avenir"/>
        </w:rPr>
        <w:t>, and just recently in 2016, the Office</w:t>
      </w:r>
      <w:r>
        <w:rPr>
          <w:rFonts w:ascii="Avenir" w:hAnsi="Avenir"/>
        </w:rPr>
        <w:t xml:space="preserve"> of the Inspector General </w:t>
      </w:r>
      <w:r w:rsidRPr="009047EF">
        <w:rPr>
          <w:rFonts w:ascii="Avenir" w:hAnsi="Avenir"/>
        </w:rPr>
        <w:t>issued a Final Rule in which new safe harbors were added under the AKS and revisions were made under the CMP in which the definition of remuneration was modified. Exceptions to the remunerations include:</w:t>
      </w:r>
      <w:r>
        <w:rPr>
          <w:rFonts w:ascii="Avenir" w:hAnsi="Avenir"/>
        </w:rPr>
        <w:t xml:space="preserve"> </w:t>
      </w:r>
    </w:p>
    <w:p w14:paraId="0B802AFE" w14:textId="77777777" w:rsidR="005E1169" w:rsidRDefault="005E1169" w:rsidP="005E1169">
      <w:pPr>
        <w:spacing w:line="480" w:lineRule="auto"/>
        <w:ind w:firstLine="720"/>
        <w:contextualSpacing w:val="0"/>
        <w:jc w:val="both"/>
        <w:rPr>
          <w:rFonts w:ascii="Avenir" w:hAnsi="Avenir"/>
        </w:rPr>
      </w:pPr>
    </w:p>
    <w:p w14:paraId="4EFDFA36" w14:textId="77777777" w:rsidR="005E1169" w:rsidRPr="009421E3" w:rsidRDefault="005E1169" w:rsidP="005E1169">
      <w:pPr>
        <w:pStyle w:val="ListParagraph"/>
        <w:numPr>
          <w:ilvl w:val="0"/>
          <w:numId w:val="3"/>
        </w:numPr>
        <w:contextualSpacing w:val="0"/>
        <w:jc w:val="both"/>
        <w:rPr>
          <w:rFonts w:ascii="Avenir" w:hAnsi="Avenir"/>
        </w:rPr>
      </w:pPr>
      <w:r w:rsidRPr="009421E3">
        <w:rPr>
          <w:rFonts w:ascii="Avenir" w:hAnsi="Avenir"/>
        </w:rPr>
        <w:t>Certain remuneration that poses a low risk of harm and promotes access to care.</w:t>
      </w:r>
    </w:p>
    <w:p w14:paraId="0074BC58" w14:textId="77777777" w:rsidR="005E1169" w:rsidRPr="009421E3" w:rsidRDefault="005E1169" w:rsidP="005E1169">
      <w:pPr>
        <w:pStyle w:val="ListParagraph"/>
        <w:numPr>
          <w:ilvl w:val="0"/>
          <w:numId w:val="3"/>
        </w:numPr>
        <w:jc w:val="both"/>
        <w:rPr>
          <w:rFonts w:ascii="Avenir" w:hAnsi="Avenir"/>
        </w:rPr>
      </w:pPr>
      <w:r w:rsidRPr="009421E3">
        <w:rPr>
          <w:rFonts w:ascii="Avenir" w:hAnsi="Avenir"/>
        </w:rPr>
        <w:t>Coupons, rebates, or other retailer reward programs that meet specified requirements.</w:t>
      </w:r>
    </w:p>
    <w:p w14:paraId="196A1D77" w14:textId="77777777" w:rsidR="005E1169" w:rsidRPr="009421E3" w:rsidRDefault="005E1169" w:rsidP="005E1169">
      <w:pPr>
        <w:pStyle w:val="ListParagraph"/>
        <w:numPr>
          <w:ilvl w:val="0"/>
          <w:numId w:val="3"/>
        </w:numPr>
        <w:jc w:val="both"/>
        <w:rPr>
          <w:rFonts w:ascii="Avenir" w:hAnsi="Avenir"/>
        </w:rPr>
      </w:pPr>
      <w:r w:rsidRPr="009421E3">
        <w:rPr>
          <w:rFonts w:ascii="Avenir" w:hAnsi="Avenir"/>
        </w:rPr>
        <w:t>Certain remuneration to financially needy individuals.</w:t>
      </w:r>
      <w:r w:rsidRPr="009421E3">
        <w:rPr>
          <w:rStyle w:val="FootnoteReference"/>
          <w:rFonts w:ascii="Avenir" w:hAnsi="Avenir"/>
        </w:rPr>
        <w:footnoteReference w:id="16"/>
      </w:r>
    </w:p>
    <w:p w14:paraId="16F91921" w14:textId="77777777" w:rsidR="005E1169" w:rsidRDefault="005E1169" w:rsidP="005E1169">
      <w:pPr>
        <w:pStyle w:val="ListParagraph"/>
        <w:ind w:left="1440"/>
        <w:jc w:val="both"/>
        <w:rPr>
          <w:rFonts w:ascii="Avenir" w:hAnsi="Avenir"/>
        </w:rPr>
      </w:pPr>
    </w:p>
    <w:p w14:paraId="6D45BD1F" w14:textId="77777777" w:rsidR="005E1169" w:rsidRPr="009421E3" w:rsidRDefault="005E1169" w:rsidP="005E1169">
      <w:pPr>
        <w:pStyle w:val="ListParagraph"/>
        <w:ind w:left="1440"/>
        <w:jc w:val="both"/>
        <w:rPr>
          <w:rFonts w:ascii="Avenir" w:hAnsi="Avenir"/>
        </w:rPr>
      </w:pPr>
    </w:p>
    <w:p w14:paraId="27754450" w14:textId="1111D3E8" w:rsidR="005E1169" w:rsidRDefault="005E1169" w:rsidP="005E1169">
      <w:pPr>
        <w:spacing w:line="480" w:lineRule="auto"/>
        <w:ind w:firstLine="360"/>
        <w:jc w:val="both"/>
        <w:rPr>
          <w:rFonts w:ascii="Avenir" w:hAnsi="Avenir"/>
        </w:rPr>
      </w:pPr>
      <w:r>
        <w:rPr>
          <w:rFonts w:ascii="Avenir" w:hAnsi="Avenir"/>
        </w:rPr>
        <w:lastRenderedPageBreak/>
        <w:t>A major concern with the above-defined exceptions is that they are vague; it quickly becomes unclear what applies to digital health and what does not. Even if a digital health company has an innovative solution to a health care problem, policies such as these Beneficiary Inducement Prohibitions may deter providers</w:t>
      </w:r>
      <w:r w:rsidR="00D90582">
        <w:rPr>
          <w:rFonts w:ascii="Avenir" w:hAnsi="Avenir"/>
        </w:rPr>
        <w:t>, payers, and other healthcare organizations</w:t>
      </w:r>
      <w:r>
        <w:rPr>
          <w:rFonts w:ascii="Avenir" w:hAnsi="Avenir"/>
        </w:rPr>
        <w:t xml:space="preserve"> from adopting them out of risk aversion. These exceptions still do not clearly lay out what would be considered “beneficiary inducement.” For instance, “</w:t>
      </w:r>
      <w:r w:rsidRPr="009047EF">
        <w:rPr>
          <w:rFonts w:ascii="Avenir" w:hAnsi="Avenir"/>
        </w:rPr>
        <w:t>certain remuneration that poses a low risk of harm and promotes access to care</w:t>
      </w:r>
      <w:r>
        <w:rPr>
          <w:rFonts w:ascii="Avenir" w:hAnsi="Avenir"/>
        </w:rPr>
        <w:t xml:space="preserve">” is so all-encompassing that it becomes confusing what would be considered an acceptable financial incentive to provide to individuals to improve their access to care. Without clarity on what </w:t>
      </w:r>
      <w:r w:rsidRPr="009421E3">
        <w:rPr>
          <w:rFonts w:ascii="Avenir" w:hAnsi="Avenir"/>
        </w:rPr>
        <w:t xml:space="preserve">is </w:t>
      </w:r>
      <w:r>
        <w:rPr>
          <w:rFonts w:ascii="Avenir" w:hAnsi="Avenir"/>
        </w:rPr>
        <w:t xml:space="preserve">acceptable, new innovations face difficulty with implementation out of concern that they might somehow fall under what is </w:t>
      </w:r>
      <w:r w:rsidRPr="009421E3">
        <w:rPr>
          <w:rFonts w:ascii="Avenir" w:hAnsi="Avenir"/>
        </w:rPr>
        <w:t>not</w:t>
      </w:r>
      <w:r w:rsidRPr="00D55618">
        <w:rPr>
          <w:rFonts w:ascii="Avenir" w:hAnsi="Avenir"/>
          <w:i/>
        </w:rPr>
        <w:t xml:space="preserve"> </w:t>
      </w:r>
      <w:r>
        <w:rPr>
          <w:rFonts w:ascii="Avenir" w:hAnsi="Avenir"/>
        </w:rPr>
        <w:t xml:space="preserve">acceptable. </w:t>
      </w:r>
    </w:p>
    <w:p w14:paraId="434A3E72" w14:textId="4F611AB0" w:rsidR="00DE5997" w:rsidRDefault="00DE5997" w:rsidP="00DE5997">
      <w:pPr>
        <w:spacing w:line="480" w:lineRule="auto"/>
        <w:ind w:firstLine="360"/>
        <w:jc w:val="both"/>
        <w:rPr>
          <w:rFonts w:ascii="Avenir" w:hAnsi="Avenir"/>
        </w:rPr>
      </w:pPr>
      <w:r>
        <w:rPr>
          <w:rFonts w:ascii="Avenir" w:hAnsi="Avenir"/>
        </w:rPr>
        <w:t xml:space="preserve">These are hurdles for digital health and for value-based care due to how inextricably linked the two are. Value-based care places an emphasis on quality, and </w:t>
      </w:r>
      <w:r w:rsidRPr="00C70BDB">
        <w:rPr>
          <w:rFonts w:ascii="Avenir" w:hAnsi="Avenir"/>
        </w:rPr>
        <w:t>digital health makes it easier for health providers to achieve</w:t>
      </w:r>
      <w:r>
        <w:rPr>
          <w:rFonts w:ascii="Avenir" w:hAnsi="Avenir"/>
        </w:rPr>
        <w:t xml:space="preserve"> </w:t>
      </w:r>
      <w:r w:rsidRPr="00C70BDB">
        <w:rPr>
          <w:rFonts w:ascii="Avenir" w:hAnsi="Avenir"/>
        </w:rPr>
        <w:t>quality</w:t>
      </w:r>
      <w:r>
        <w:rPr>
          <w:rFonts w:ascii="Avenir" w:hAnsi="Avenir"/>
        </w:rPr>
        <w:t>. This is because quality is a complicated thing to measure, but digital health allows</w:t>
      </w:r>
      <w:r w:rsidRPr="00C70BDB">
        <w:rPr>
          <w:rFonts w:ascii="Avenir" w:hAnsi="Avenir"/>
        </w:rPr>
        <w:t xml:space="preserve"> providers to monitor patient health outcomes and quality of care in a real</w:t>
      </w:r>
      <w:r>
        <w:rPr>
          <w:rFonts w:ascii="Avenir" w:hAnsi="Avenir"/>
        </w:rPr>
        <w:t xml:space="preserve"> </w:t>
      </w:r>
      <w:r w:rsidRPr="00C70BDB">
        <w:rPr>
          <w:rFonts w:ascii="Avenir" w:hAnsi="Avenir"/>
        </w:rPr>
        <w:t xml:space="preserve">time fashion </w:t>
      </w:r>
      <w:r>
        <w:rPr>
          <w:rFonts w:ascii="Avenir" w:hAnsi="Avenir"/>
        </w:rPr>
        <w:t xml:space="preserve">and </w:t>
      </w:r>
      <w:r w:rsidRPr="00C70BDB">
        <w:rPr>
          <w:rFonts w:ascii="Avenir" w:hAnsi="Avenir"/>
        </w:rPr>
        <w:t>at a finer level of data granularity than conventional mechanisms</w:t>
      </w:r>
      <w:r>
        <w:rPr>
          <w:rFonts w:ascii="Avenir" w:hAnsi="Avenir"/>
        </w:rPr>
        <w:t xml:space="preserve">. Defined as the use of technology in providing and managing health care, digital health generates the data that is then used to inform measures of quality. In turn, these policies that make it difficult to implement digital health interventions also have a negative impact on value-based care. </w:t>
      </w:r>
    </w:p>
    <w:p w14:paraId="697F7CB3" w14:textId="79392C6D" w:rsidR="0055518D" w:rsidRDefault="00DB1809" w:rsidP="005E1169">
      <w:pPr>
        <w:spacing w:line="480" w:lineRule="auto"/>
        <w:ind w:firstLine="360"/>
        <w:jc w:val="both"/>
        <w:rPr>
          <w:rFonts w:ascii="Avenir" w:hAnsi="Avenir"/>
        </w:rPr>
      </w:pPr>
      <w:r>
        <w:rPr>
          <w:rFonts w:ascii="Avenir" w:hAnsi="Avenir"/>
        </w:rPr>
        <w:t xml:space="preserve">Since these regulatory hurdles are not likely to be modified in the near term, </w:t>
      </w:r>
      <w:proofErr w:type="gramStart"/>
      <w:r>
        <w:rPr>
          <w:rFonts w:ascii="Avenir" w:hAnsi="Avenir"/>
        </w:rPr>
        <w:t>in order to</w:t>
      </w:r>
      <w:proofErr w:type="gramEnd"/>
      <w:r>
        <w:rPr>
          <w:rFonts w:ascii="Avenir" w:hAnsi="Avenir"/>
        </w:rPr>
        <w:t xml:space="preserve"> succeed as a digital health startup</w:t>
      </w:r>
      <w:r w:rsidR="00DE5997">
        <w:rPr>
          <w:rFonts w:ascii="Avenir" w:hAnsi="Avenir"/>
        </w:rPr>
        <w:t xml:space="preserve"> currently</w:t>
      </w:r>
      <w:r>
        <w:rPr>
          <w:rFonts w:ascii="Avenir" w:hAnsi="Avenir"/>
        </w:rPr>
        <w:t xml:space="preserve">, </w:t>
      </w:r>
      <w:r w:rsidR="00DE5997">
        <w:rPr>
          <w:rFonts w:ascii="Avenir" w:hAnsi="Avenir"/>
        </w:rPr>
        <w:t>significant amount of</w:t>
      </w:r>
      <w:r>
        <w:rPr>
          <w:rFonts w:ascii="Avenir" w:hAnsi="Avenir"/>
        </w:rPr>
        <w:t xml:space="preserve"> regulatory </w:t>
      </w:r>
      <w:r w:rsidR="00DE5997">
        <w:rPr>
          <w:rFonts w:ascii="Avenir" w:hAnsi="Avenir"/>
        </w:rPr>
        <w:t>review</w:t>
      </w:r>
      <w:r>
        <w:rPr>
          <w:rFonts w:ascii="Avenir" w:hAnsi="Avenir"/>
        </w:rPr>
        <w:t xml:space="preserve"> needs to be done internally. For example, </w:t>
      </w:r>
      <w:proofErr w:type="spellStart"/>
      <w:r>
        <w:rPr>
          <w:rFonts w:ascii="Avenir" w:hAnsi="Avenir"/>
        </w:rPr>
        <w:t>Wellth</w:t>
      </w:r>
      <w:proofErr w:type="spellEnd"/>
      <w:r>
        <w:rPr>
          <w:rFonts w:ascii="Avenir" w:hAnsi="Avenir"/>
        </w:rPr>
        <w:t xml:space="preserve"> has hired extensive legal resources to review the CMP and AKS </w:t>
      </w:r>
      <w:proofErr w:type="gramStart"/>
      <w:r>
        <w:rPr>
          <w:rFonts w:ascii="Avenir" w:hAnsi="Avenir"/>
        </w:rPr>
        <w:t>in order to</w:t>
      </w:r>
      <w:proofErr w:type="gramEnd"/>
      <w:r>
        <w:rPr>
          <w:rFonts w:ascii="Avenir" w:hAnsi="Avenir"/>
        </w:rPr>
        <w:t xml:space="preserve"> draft a memo summarizing the company’s compliance</w:t>
      </w:r>
      <w:r w:rsidR="007D6CE4">
        <w:rPr>
          <w:rFonts w:ascii="Avenir" w:hAnsi="Avenir"/>
        </w:rPr>
        <w:t xml:space="preserve"> with these </w:t>
      </w:r>
      <w:r w:rsidR="007D6CE4">
        <w:rPr>
          <w:rFonts w:ascii="Avenir" w:hAnsi="Avenir"/>
        </w:rPr>
        <w:lastRenderedPageBreak/>
        <w:t xml:space="preserve">regulations. This upfront investment in terms of time and financial resources </w:t>
      </w:r>
      <w:r w:rsidR="00DE5997">
        <w:rPr>
          <w:rFonts w:ascii="Avenir" w:hAnsi="Avenir"/>
        </w:rPr>
        <w:t>is necessary in the current digital health and value-based care landscape, but the ideal in the future is a landscape where regulations are adapted to better align with value-base care initiatives and the adoption of innovative digital health interventions.</w:t>
      </w:r>
    </w:p>
    <w:p w14:paraId="0B1434DD" w14:textId="023D024A" w:rsidR="005E1169" w:rsidRPr="00A746CD" w:rsidRDefault="005E1169" w:rsidP="005E1169">
      <w:pPr>
        <w:spacing w:line="480" w:lineRule="auto"/>
        <w:contextualSpacing w:val="0"/>
        <w:jc w:val="both"/>
        <w:rPr>
          <w:rFonts w:ascii="Avenir" w:hAnsi="Avenir"/>
          <w:b/>
          <w:u w:val="single"/>
        </w:rPr>
      </w:pPr>
      <w:r w:rsidRPr="00A746CD">
        <w:rPr>
          <w:rFonts w:ascii="Avenir" w:hAnsi="Avenir"/>
          <w:b/>
          <w:u w:val="single"/>
        </w:rPr>
        <w:t>Conclusion</w:t>
      </w:r>
    </w:p>
    <w:p w14:paraId="213CCBF1" w14:textId="77777777" w:rsidR="005E1169" w:rsidRPr="00B663A8" w:rsidRDefault="005E1169" w:rsidP="005E1169">
      <w:pPr>
        <w:spacing w:line="480" w:lineRule="auto"/>
        <w:contextualSpacing w:val="0"/>
        <w:jc w:val="both"/>
      </w:pPr>
      <w:r>
        <w:rPr>
          <w:rFonts w:ascii="Avenir" w:hAnsi="Avenir"/>
          <w:b/>
        </w:rPr>
        <w:tab/>
      </w:r>
      <w:r>
        <w:rPr>
          <w:rFonts w:ascii="Avenir" w:hAnsi="Avenir"/>
        </w:rPr>
        <w:t>As a response to poor health outcomes and rising costs in the U.S., the health care industry is undergoing a shift towards value-based care. With this, there has been growth in digital health as well as changes to health policy. As illustrated by the example of medication adherence, improving outcomes in health care requires multi-faceted and innovative approaches. This kind of innovation is best when it involves perspectives and collaboration from a variety of stakeholders. For instance, one solution to the issue with the Beneficiary Inducement Prohibitions could be to clarify those exceptions in more detail, referencing specifically what would be considered exceptions in digital health and value-based care interventions. Regardless of what the optimal solutions to current and future hurdles may be, in the continued effort towards improving health care value, there is a need for continued communication and partnership between these various sectors.</w:t>
      </w:r>
    </w:p>
    <w:p w14:paraId="3468A53B" w14:textId="77777777" w:rsidR="005E1169" w:rsidRDefault="005E1169" w:rsidP="005E1169">
      <w:pPr>
        <w:spacing w:line="480" w:lineRule="auto"/>
        <w:contextualSpacing w:val="0"/>
        <w:jc w:val="both"/>
        <w:rPr>
          <w:rFonts w:ascii="Avenir" w:hAnsi="Avenir"/>
        </w:rPr>
      </w:pPr>
    </w:p>
    <w:bookmarkEnd w:id="0"/>
    <w:p w14:paraId="2D97A99E" w14:textId="77777777" w:rsidR="0050620C" w:rsidRPr="005E1169" w:rsidRDefault="0050620C" w:rsidP="005E1169"/>
    <w:sectPr w:rsidR="0050620C" w:rsidRPr="005E1169" w:rsidSect="007B57DB">
      <w:footerReference w:type="default" r:id="rId10"/>
      <w:pgSz w:w="12240" w:h="15840"/>
      <w:pgMar w:top="1440" w:right="1440" w:bottom="1440" w:left="1440" w:header="0" w:footer="720" w:gutter="0"/>
      <w:pgBorders w:offsetFrom="page">
        <w:top w:val="single" w:sz="4" w:space="24" w:color="44BA9A"/>
        <w:left w:val="single" w:sz="4" w:space="24" w:color="44BA9A"/>
        <w:bottom w:val="single" w:sz="4" w:space="24" w:color="44BA9A"/>
        <w:right w:val="single" w:sz="4" w:space="24" w:color="44BA9A"/>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E0D3C" w14:textId="77777777" w:rsidR="000E2388" w:rsidRDefault="000E2388" w:rsidP="007B57DB">
      <w:pPr>
        <w:spacing w:line="240" w:lineRule="auto"/>
      </w:pPr>
      <w:r>
        <w:separator/>
      </w:r>
    </w:p>
  </w:endnote>
  <w:endnote w:type="continuationSeparator" w:id="0">
    <w:p w14:paraId="75B316A5" w14:textId="77777777" w:rsidR="000E2388" w:rsidRDefault="000E2388" w:rsidP="007B57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w:panose1 w:val="020B0503020203020204"/>
    <w:charset w:val="00"/>
    <w:family w:val="swiss"/>
    <w:pitch w:val="variable"/>
    <w:sig w:usb0="800000AF" w:usb1="5000204A" w:usb2="00000000" w:usb3="00000000" w:csb0="0000009B"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5557413"/>
      <w:docPartObj>
        <w:docPartGallery w:val="Page Numbers (Bottom of Page)"/>
        <w:docPartUnique/>
      </w:docPartObj>
    </w:sdtPr>
    <w:sdtEndPr>
      <w:rPr>
        <w:noProof/>
      </w:rPr>
    </w:sdtEndPr>
    <w:sdtContent>
      <w:p w14:paraId="5B4E71BC" w14:textId="77777777" w:rsidR="007B57DB" w:rsidRDefault="007B57DB">
        <w:pPr>
          <w:pStyle w:val="Footer"/>
          <w:jc w:val="right"/>
        </w:pPr>
        <w:r>
          <w:fldChar w:fldCharType="begin"/>
        </w:r>
        <w:r>
          <w:instrText xml:space="preserve"> PAGE   \* MERGEFORMAT </w:instrText>
        </w:r>
        <w:r>
          <w:fldChar w:fldCharType="separate"/>
        </w:r>
        <w:r w:rsidR="00DE5997">
          <w:rPr>
            <w:noProof/>
          </w:rPr>
          <w:t>1</w:t>
        </w:r>
        <w:r>
          <w:rPr>
            <w:noProof/>
          </w:rPr>
          <w:fldChar w:fldCharType="end"/>
        </w:r>
      </w:p>
    </w:sdtContent>
  </w:sdt>
  <w:p w14:paraId="6B6E2A70" w14:textId="77777777" w:rsidR="007B57DB" w:rsidRDefault="007B5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1208B" w14:textId="77777777" w:rsidR="000E2388" w:rsidRDefault="000E2388" w:rsidP="007B57DB">
      <w:pPr>
        <w:spacing w:line="240" w:lineRule="auto"/>
      </w:pPr>
      <w:r>
        <w:separator/>
      </w:r>
    </w:p>
  </w:footnote>
  <w:footnote w:type="continuationSeparator" w:id="0">
    <w:p w14:paraId="1E8BFA5D" w14:textId="77777777" w:rsidR="000E2388" w:rsidRDefault="000E2388" w:rsidP="007B57DB">
      <w:pPr>
        <w:spacing w:line="240" w:lineRule="auto"/>
      </w:pPr>
      <w:r>
        <w:continuationSeparator/>
      </w:r>
    </w:p>
  </w:footnote>
  <w:footnote w:id="1">
    <w:p w14:paraId="59D8424A" w14:textId="77777777" w:rsidR="005E1169" w:rsidRPr="00AA267F" w:rsidRDefault="005E1169" w:rsidP="005E1169">
      <w:pPr>
        <w:spacing w:line="240" w:lineRule="auto"/>
        <w:contextualSpacing w:val="0"/>
        <w:rPr>
          <w:rFonts w:ascii="Avenir" w:hAnsi="Avenir"/>
          <w:sz w:val="20"/>
          <w:szCs w:val="20"/>
        </w:rPr>
      </w:pPr>
      <w:r w:rsidRPr="00AA267F">
        <w:rPr>
          <w:rFonts w:ascii="Avenir" w:hAnsi="Avenir"/>
          <w:sz w:val="20"/>
          <w:szCs w:val="20"/>
          <w:vertAlign w:val="superscript"/>
        </w:rPr>
        <w:footnoteRef/>
      </w:r>
      <w:r>
        <w:rPr>
          <w:rFonts w:ascii="Avenir" w:hAnsi="Avenir"/>
          <w:sz w:val="20"/>
          <w:szCs w:val="20"/>
        </w:rPr>
        <w:t xml:space="preserve"> </w:t>
      </w:r>
      <w:r w:rsidRPr="00AA267F">
        <w:rPr>
          <w:rFonts w:ascii="Avenir" w:hAnsi="Avenir"/>
          <w:sz w:val="20"/>
          <w:szCs w:val="20"/>
        </w:rPr>
        <w:t xml:space="preserve">https://www.cms.gov/research-statistics-data-and-systems/statistics-trends-and-reports/national </w:t>
      </w:r>
      <w:proofErr w:type="spellStart"/>
      <w:r w:rsidRPr="00AA267F">
        <w:rPr>
          <w:rFonts w:ascii="Avenir" w:hAnsi="Avenir"/>
          <w:sz w:val="20"/>
          <w:szCs w:val="20"/>
        </w:rPr>
        <w:t>healthexpenddata</w:t>
      </w:r>
      <w:proofErr w:type="spellEnd"/>
      <w:r w:rsidRPr="00AA267F">
        <w:rPr>
          <w:rFonts w:ascii="Avenir" w:hAnsi="Avenir"/>
          <w:sz w:val="20"/>
          <w:szCs w:val="20"/>
        </w:rPr>
        <w:t>/nhe-fact-sheet.html</w:t>
      </w:r>
    </w:p>
  </w:footnote>
  <w:footnote w:id="2">
    <w:p w14:paraId="5873F0CA" w14:textId="77777777" w:rsidR="005E1169" w:rsidRPr="009047EF" w:rsidRDefault="005E1169" w:rsidP="005E1169">
      <w:pPr>
        <w:spacing w:line="240" w:lineRule="auto"/>
        <w:contextualSpacing w:val="0"/>
        <w:rPr>
          <w:rFonts w:ascii="Avenir" w:hAnsi="Avenir"/>
          <w:sz w:val="20"/>
          <w:szCs w:val="20"/>
        </w:rPr>
      </w:pPr>
      <w:r w:rsidRPr="00AA267F">
        <w:rPr>
          <w:rFonts w:ascii="Avenir" w:hAnsi="Avenir"/>
          <w:sz w:val="20"/>
          <w:szCs w:val="20"/>
          <w:vertAlign w:val="superscript"/>
        </w:rPr>
        <w:footnoteRef/>
      </w:r>
      <w:r w:rsidRPr="00AA267F">
        <w:rPr>
          <w:rFonts w:ascii="Avenir" w:hAnsi="Avenir"/>
          <w:sz w:val="20"/>
          <w:szCs w:val="20"/>
        </w:rPr>
        <w:t xml:space="preserve"> https://www.pgpf.org/chart-archive/0011_health-outcomes</w:t>
      </w:r>
      <w:r w:rsidRPr="00AA267F">
        <w:rPr>
          <w:rFonts w:ascii="Avenir" w:hAnsi="Avenir"/>
          <w:sz w:val="18"/>
          <w:szCs w:val="20"/>
        </w:rPr>
        <w:t xml:space="preserve"> </w:t>
      </w:r>
    </w:p>
  </w:footnote>
  <w:footnote w:id="3">
    <w:p w14:paraId="72E96267" w14:textId="77777777" w:rsidR="005E1169" w:rsidRPr="00AA267F" w:rsidRDefault="005E1169" w:rsidP="005E1169">
      <w:pPr>
        <w:spacing w:line="240" w:lineRule="auto"/>
        <w:contextualSpacing w:val="0"/>
        <w:rPr>
          <w:rFonts w:ascii="Avenir" w:hAnsi="Avenir"/>
          <w:sz w:val="20"/>
          <w:szCs w:val="20"/>
        </w:rPr>
      </w:pPr>
      <w:r w:rsidRPr="00AA267F">
        <w:rPr>
          <w:rFonts w:ascii="Avenir" w:hAnsi="Avenir"/>
          <w:sz w:val="20"/>
          <w:szCs w:val="20"/>
          <w:vertAlign w:val="superscript"/>
        </w:rPr>
        <w:footnoteRef/>
      </w:r>
      <w:r w:rsidRPr="00AA267F">
        <w:rPr>
          <w:rFonts w:ascii="Avenir" w:hAnsi="Avenir"/>
          <w:sz w:val="20"/>
          <w:szCs w:val="20"/>
        </w:rPr>
        <w:t xml:space="preserve"> </w:t>
      </w:r>
      <w:r w:rsidRPr="00AA267F">
        <w:rPr>
          <w:rFonts w:ascii="Avenir" w:hAnsi="Avenir"/>
          <w:sz w:val="20"/>
          <w:szCs w:val="20"/>
          <w:highlight w:val="white"/>
        </w:rPr>
        <w:t xml:space="preserve">Newhouse JP, Manning WG, Morris CN, Orr LL, </w:t>
      </w:r>
      <w:proofErr w:type="spellStart"/>
      <w:r w:rsidRPr="00AA267F">
        <w:rPr>
          <w:rFonts w:ascii="Avenir" w:hAnsi="Avenir"/>
          <w:sz w:val="20"/>
          <w:szCs w:val="20"/>
          <w:highlight w:val="white"/>
        </w:rPr>
        <w:t>Duan</w:t>
      </w:r>
      <w:proofErr w:type="spellEnd"/>
      <w:r w:rsidRPr="00AA267F">
        <w:rPr>
          <w:rFonts w:ascii="Avenir" w:hAnsi="Avenir"/>
          <w:sz w:val="20"/>
          <w:szCs w:val="20"/>
          <w:highlight w:val="white"/>
        </w:rPr>
        <w:t xml:space="preserve"> N, Keeler </w:t>
      </w:r>
      <w:proofErr w:type="spellStart"/>
      <w:r w:rsidRPr="00AA267F">
        <w:rPr>
          <w:rFonts w:ascii="Avenir" w:hAnsi="Avenir"/>
          <w:sz w:val="20"/>
          <w:szCs w:val="20"/>
          <w:highlight w:val="white"/>
        </w:rPr>
        <w:t>EBet</w:t>
      </w:r>
      <w:proofErr w:type="spellEnd"/>
      <w:r w:rsidRPr="00AA267F">
        <w:rPr>
          <w:rFonts w:ascii="Avenir" w:hAnsi="Avenir"/>
          <w:sz w:val="20"/>
          <w:szCs w:val="20"/>
          <w:highlight w:val="white"/>
        </w:rPr>
        <w:t xml:space="preserve"> al. Some interim results from a controlled trial of cost sharing in health insurance. N </w:t>
      </w:r>
      <w:proofErr w:type="spellStart"/>
      <w:r w:rsidRPr="00AA267F">
        <w:rPr>
          <w:rFonts w:ascii="Avenir" w:hAnsi="Avenir"/>
          <w:sz w:val="20"/>
          <w:szCs w:val="20"/>
          <w:highlight w:val="white"/>
        </w:rPr>
        <w:t>Engl</w:t>
      </w:r>
      <w:proofErr w:type="spellEnd"/>
      <w:r w:rsidRPr="00AA267F">
        <w:rPr>
          <w:rFonts w:ascii="Avenir" w:hAnsi="Avenir"/>
          <w:sz w:val="20"/>
          <w:szCs w:val="20"/>
          <w:highlight w:val="white"/>
        </w:rPr>
        <w:t xml:space="preserve"> J Med. 1981;305(25):1501–7 </w:t>
      </w:r>
    </w:p>
  </w:footnote>
  <w:footnote w:id="4">
    <w:p w14:paraId="7E70EE45" w14:textId="77777777" w:rsidR="005E1169" w:rsidRPr="00AA267F" w:rsidRDefault="005E1169" w:rsidP="005E1169">
      <w:pPr>
        <w:spacing w:line="240" w:lineRule="auto"/>
        <w:contextualSpacing w:val="0"/>
        <w:rPr>
          <w:rFonts w:ascii="Avenir" w:hAnsi="Avenir"/>
          <w:sz w:val="20"/>
          <w:szCs w:val="20"/>
        </w:rPr>
      </w:pPr>
      <w:r w:rsidRPr="00AA267F">
        <w:rPr>
          <w:rFonts w:ascii="Avenir" w:hAnsi="Avenir"/>
          <w:sz w:val="20"/>
          <w:szCs w:val="20"/>
          <w:vertAlign w:val="superscript"/>
        </w:rPr>
        <w:footnoteRef/>
      </w:r>
      <w:r>
        <w:rPr>
          <w:rFonts w:ascii="Avenir" w:hAnsi="Avenir"/>
          <w:sz w:val="20"/>
          <w:szCs w:val="20"/>
        </w:rPr>
        <w:t xml:space="preserve"> </w:t>
      </w:r>
      <w:r w:rsidRPr="00AA267F">
        <w:rPr>
          <w:rFonts w:ascii="Avenir" w:hAnsi="Avenir"/>
          <w:sz w:val="20"/>
          <w:szCs w:val="20"/>
        </w:rPr>
        <w:t xml:space="preserve">https://www.ajmc.com/contributor/vbid-center/2016/10/understanding-clinical-nuance </w:t>
      </w:r>
    </w:p>
  </w:footnote>
  <w:footnote w:id="5">
    <w:p w14:paraId="4D71B9C9" w14:textId="77777777" w:rsidR="005E1169" w:rsidRPr="00AA267F" w:rsidRDefault="005E1169" w:rsidP="005E1169">
      <w:pPr>
        <w:spacing w:line="240" w:lineRule="auto"/>
        <w:contextualSpacing w:val="0"/>
        <w:rPr>
          <w:rFonts w:ascii="Avenir" w:hAnsi="Avenir"/>
          <w:sz w:val="20"/>
          <w:szCs w:val="20"/>
        </w:rPr>
      </w:pPr>
      <w:r w:rsidRPr="00AA267F">
        <w:rPr>
          <w:rFonts w:ascii="Avenir" w:hAnsi="Avenir"/>
          <w:sz w:val="20"/>
          <w:szCs w:val="20"/>
          <w:vertAlign w:val="superscript"/>
        </w:rPr>
        <w:footnoteRef/>
      </w:r>
      <w:r>
        <w:rPr>
          <w:rFonts w:ascii="Avenir" w:hAnsi="Avenir"/>
          <w:sz w:val="20"/>
          <w:szCs w:val="20"/>
        </w:rPr>
        <w:t xml:space="preserve"> </w:t>
      </w:r>
      <w:r w:rsidRPr="00AA267F">
        <w:rPr>
          <w:rFonts w:ascii="Avenir" w:hAnsi="Avenir"/>
          <w:sz w:val="20"/>
          <w:szCs w:val="20"/>
        </w:rPr>
        <w:t>https://www.cms.gov/medicare/medicare-fee-for-service-payment/acuteinpatientpps/readmissions-reduction-program.html</w:t>
      </w:r>
    </w:p>
  </w:footnote>
  <w:footnote w:id="6">
    <w:p w14:paraId="1EF14371" w14:textId="77777777" w:rsidR="005E1169" w:rsidRDefault="005E1169" w:rsidP="005E1169">
      <w:pPr>
        <w:spacing w:line="240" w:lineRule="auto"/>
        <w:contextualSpacing w:val="0"/>
        <w:rPr>
          <w:sz w:val="20"/>
          <w:szCs w:val="20"/>
        </w:rPr>
      </w:pPr>
      <w:r w:rsidRPr="00AA267F">
        <w:rPr>
          <w:rFonts w:ascii="Avenir" w:hAnsi="Avenir"/>
          <w:sz w:val="20"/>
          <w:szCs w:val="20"/>
          <w:vertAlign w:val="superscript"/>
        </w:rPr>
        <w:footnoteRef/>
      </w:r>
      <w:r>
        <w:rPr>
          <w:rFonts w:ascii="Avenir" w:hAnsi="Avenir"/>
          <w:sz w:val="20"/>
          <w:szCs w:val="20"/>
        </w:rPr>
        <w:t xml:space="preserve"> </w:t>
      </w:r>
      <w:r w:rsidRPr="00AA267F">
        <w:rPr>
          <w:rFonts w:ascii="Avenir" w:hAnsi="Avenir"/>
          <w:sz w:val="20"/>
          <w:szCs w:val="20"/>
        </w:rPr>
        <w:t>https://www.cms.gov/Newsroom/MediaReleaseDatabase/Fact-sheets/2015-Fact-sheets-items/2015-01-26-3.html</w:t>
      </w:r>
    </w:p>
  </w:footnote>
  <w:footnote w:id="7">
    <w:p w14:paraId="28B4FD5A" w14:textId="77777777" w:rsidR="005E1169" w:rsidRPr="007E119B" w:rsidRDefault="005E1169" w:rsidP="005E1169">
      <w:pPr>
        <w:pStyle w:val="FootnoteText"/>
        <w:rPr>
          <w:lang w:val="en-US"/>
        </w:rPr>
      </w:pPr>
      <w:r>
        <w:rPr>
          <w:rStyle w:val="FootnoteReference"/>
        </w:rPr>
        <w:footnoteRef/>
      </w:r>
      <w:r>
        <w:t xml:space="preserve"> </w:t>
      </w:r>
      <w:r w:rsidRPr="007E119B">
        <w:t>https://www.health.ny.gov/health_care/medicaid/redesign/dsrip/vbp_alignment_paper_final.htm</w:t>
      </w:r>
    </w:p>
  </w:footnote>
  <w:footnote w:id="8">
    <w:p w14:paraId="42681B1F" w14:textId="77777777" w:rsidR="005E1169" w:rsidRPr="00AA267F" w:rsidRDefault="005E1169" w:rsidP="005E1169">
      <w:pPr>
        <w:spacing w:line="240" w:lineRule="auto"/>
        <w:contextualSpacing w:val="0"/>
        <w:rPr>
          <w:rFonts w:ascii="Avenir" w:hAnsi="Avenir"/>
          <w:sz w:val="20"/>
          <w:szCs w:val="20"/>
        </w:rPr>
      </w:pPr>
      <w:r w:rsidRPr="00AA267F">
        <w:rPr>
          <w:rFonts w:ascii="Avenir" w:hAnsi="Avenir"/>
          <w:sz w:val="20"/>
          <w:szCs w:val="20"/>
          <w:vertAlign w:val="superscript"/>
        </w:rPr>
        <w:footnoteRef/>
      </w:r>
      <w:r>
        <w:rPr>
          <w:rFonts w:ascii="Avenir" w:hAnsi="Avenir"/>
          <w:sz w:val="20"/>
          <w:szCs w:val="20"/>
        </w:rPr>
        <w:t xml:space="preserve"> </w:t>
      </w:r>
      <w:proofErr w:type="spellStart"/>
      <w:r w:rsidRPr="004E38D0">
        <w:rPr>
          <w:rFonts w:ascii="Avenir" w:hAnsi="Avenir"/>
          <w:sz w:val="20"/>
          <w:szCs w:val="20"/>
        </w:rPr>
        <w:t>Vrijens</w:t>
      </w:r>
      <w:proofErr w:type="spellEnd"/>
      <w:r w:rsidRPr="004E38D0">
        <w:rPr>
          <w:rFonts w:ascii="Avenir" w:hAnsi="Avenir"/>
          <w:sz w:val="20"/>
          <w:szCs w:val="20"/>
        </w:rPr>
        <w:t xml:space="preserve"> B, De </w:t>
      </w:r>
      <w:proofErr w:type="spellStart"/>
      <w:r w:rsidRPr="004E38D0">
        <w:rPr>
          <w:rFonts w:ascii="Avenir" w:hAnsi="Avenir"/>
          <w:sz w:val="20"/>
          <w:szCs w:val="20"/>
        </w:rPr>
        <w:t>Geest</w:t>
      </w:r>
      <w:proofErr w:type="spellEnd"/>
      <w:r w:rsidRPr="004E38D0">
        <w:rPr>
          <w:rFonts w:ascii="Avenir" w:hAnsi="Avenir"/>
          <w:sz w:val="20"/>
          <w:szCs w:val="20"/>
        </w:rPr>
        <w:t xml:space="preserve"> S, Hughes DA, et al. A new taxonomy for describing and defining adherence to medications. British Journal of Clinical Pharmacology. 2012;73(5):691-705. doi:10.1111/j.1365-2125.2012.04167x.</w:t>
      </w:r>
    </w:p>
  </w:footnote>
  <w:footnote w:id="9">
    <w:p w14:paraId="2EE53B4C" w14:textId="77777777" w:rsidR="005E1169" w:rsidRPr="00AA267F" w:rsidRDefault="005E1169" w:rsidP="005E1169">
      <w:pPr>
        <w:spacing w:line="240" w:lineRule="auto"/>
        <w:contextualSpacing w:val="0"/>
        <w:rPr>
          <w:rFonts w:ascii="Avenir" w:hAnsi="Avenir"/>
          <w:sz w:val="20"/>
          <w:szCs w:val="20"/>
        </w:rPr>
      </w:pPr>
      <w:r w:rsidRPr="00AA267F">
        <w:rPr>
          <w:rFonts w:ascii="Avenir" w:hAnsi="Avenir"/>
          <w:sz w:val="20"/>
          <w:szCs w:val="20"/>
          <w:vertAlign w:val="superscript"/>
        </w:rPr>
        <w:footnoteRef/>
      </w:r>
      <w:r w:rsidRPr="00AA267F">
        <w:rPr>
          <w:rFonts w:ascii="Avenir" w:hAnsi="Avenir"/>
          <w:sz w:val="20"/>
          <w:szCs w:val="20"/>
        </w:rPr>
        <w:t xml:space="preserve"> </w:t>
      </w:r>
      <w:proofErr w:type="spellStart"/>
      <w:r w:rsidRPr="00AA267F">
        <w:rPr>
          <w:rFonts w:ascii="Avenir" w:hAnsi="Avenir"/>
          <w:sz w:val="20"/>
          <w:szCs w:val="20"/>
        </w:rPr>
        <w:t>Sabaté</w:t>
      </w:r>
      <w:proofErr w:type="spellEnd"/>
      <w:r w:rsidRPr="00AA267F">
        <w:rPr>
          <w:rFonts w:ascii="Avenir" w:hAnsi="Avenir"/>
          <w:sz w:val="20"/>
          <w:szCs w:val="20"/>
        </w:rPr>
        <w:t xml:space="preserve"> E, editor., ed. Adherence to Long-Term Therapies: Evidence for Action. Geneva, Switzerland: World Health Organization; 2003.</w:t>
      </w:r>
    </w:p>
  </w:footnote>
  <w:footnote w:id="10">
    <w:p w14:paraId="2B208D94" w14:textId="77777777" w:rsidR="005E1169" w:rsidRDefault="005E1169" w:rsidP="005E1169">
      <w:pPr>
        <w:spacing w:line="240" w:lineRule="auto"/>
        <w:contextualSpacing w:val="0"/>
        <w:rPr>
          <w:sz w:val="20"/>
          <w:szCs w:val="20"/>
        </w:rPr>
      </w:pPr>
      <w:r w:rsidRPr="00AA267F">
        <w:rPr>
          <w:rFonts w:ascii="Avenir" w:hAnsi="Avenir"/>
          <w:sz w:val="20"/>
          <w:szCs w:val="20"/>
          <w:vertAlign w:val="superscript"/>
        </w:rPr>
        <w:footnoteRef/>
      </w:r>
      <w:r w:rsidRPr="00AA267F">
        <w:rPr>
          <w:rFonts w:ascii="Avenir" w:hAnsi="Avenir"/>
          <w:sz w:val="20"/>
          <w:szCs w:val="20"/>
        </w:rPr>
        <w:t xml:space="preserve"> Ferdinand KC, </w:t>
      </w:r>
      <w:proofErr w:type="spellStart"/>
      <w:r w:rsidRPr="00AA267F">
        <w:rPr>
          <w:rFonts w:ascii="Avenir" w:hAnsi="Avenir"/>
          <w:sz w:val="20"/>
          <w:szCs w:val="20"/>
        </w:rPr>
        <w:t>Senatore</w:t>
      </w:r>
      <w:proofErr w:type="spellEnd"/>
      <w:r w:rsidRPr="00AA267F">
        <w:rPr>
          <w:rFonts w:ascii="Avenir" w:hAnsi="Avenir"/>
          <w:sz w:val="20"/>
          <w:szCs w:val="20"/>
        </w:rPr>
        <w:t xml:space="preserve"> FF, Clayton-Jeter H, et al. Improving Medication Adherence in Cardiometabolic Disease: Practical and Regulatory Implications. J Am Coll </w:t>
      </w:r>
      <w:proofErr w:type="spellStart"/>
      <w:r w:rsidRPr="00AA267F">
        <w:rPr>
          <w:rFonts w:ascii="Avenir" w:hAnsi="Avenir"/>
          <w:sz w:val="20"/>
          <w:szCs w:val="20"/>
        </w:rPr>
        <w:t>Cardiol</w:t>
      </w:r>
      <w:proofErr w:type="spellEnd"/>
      <w:r w:rsidRPr="00AA267F">
        <w:rPr>
          <w:rFonts w:ascii="Avenir" w:hAnsi="Avenir"/>
          <w:sz w:val="20"/>
          <w:szCs w:val="20"/>
        </w:rPr>
        <w:t>. 2017 Jan 31;69(4):437-451</w:t>
      </w:r>
    </w:p>
  </w:footnote>
  <w:footnote w:id="11">
    <w:p w14:paraId="1AE43EBC" w14:textId="77777777" w:rsidR="005E1169" w:rsidRPr="00AA267F" w:rsidRDefault="005E1169" w:rsidP="005E1169">
      <w:pPr>
        <w:spacing w:line="240" w:lineRule="auto"/>
        <w:contextualSpacing w:val="0"/>
        <w:rPr>
          <w:rFonts w:ascii="Avenir" w:hAnsi="Avenir"/>
          <w:sz w:val="20"/>
          <w:szCs w:val="20"/>
        </w:rPr>
      </w:pPr>
      <w:r w:rsidRPr="00AA267F">
        <w:rPr>
          <w:rFonts w:ascii="Avenir" w:hAnsi="Avenir"/>
          <w:sz w:val="20"/>
          <w:szCs w:val="20"/>
          <w:vertAlign w:val="superscript"/>
        </w:rPr>
        <w:footnoteRef/>
      </w:r>
      <w:r w:rsidRPr="00AA267F">
        <w:rPr>
          <w:rFonts w:ascii="Avenir" w:hAnsi="Avenir"/>
          <w:sz w:val="20"/>
          <w:szCs w:val="20"/>
        </w:rPr>
        <w:t xml:space="preserve"> Holtz B, </w:t>
      </w:r>
      <w:proofErr w:type="spellStart"/>
      <w:r w:rsidRPr="00AA267F">
        <w:rPr>
          <w:rFonts w:ascii="Avenir" w:hAnsi="Avenir"/>
          <w:sz w:val="20"/>
          <w:szCs w:val="20"/>
        </w:rPr>
        <w:t>Lauckner</w:t>
      </w:r>
      <w:proofErr w:type="spellEnd"/>
      <w:r w:rsidRPr="00AA267F">
        <w:rPr>
          <w:rFonts w:ascii="Avenir" w:hAnsi="Avenir"/>
          <w:sz w:val="20"/>
          <w:szCs w:val="20"/>
        </w:rPr>
        <w:t xml:space="preserve"> C. (2012). Diabetes Management via Mobile Phones: A Systematic Review. Telemedicine and E-Health, 18(3): 175-184. doi:10.1089/tmj.2011.0119 (PMID: 22356525).</w:t>
      </w:r>
    </w:p>
  </w:footnote>
  <w:footnote w:id="12">
    <w:p w14:paraId="41476F37" w14:textId="77777777" w:rsidR="005E1169" w:rsidRPr="00AA267F" w:rsidRDefault="005E1169" w:rsidP="005E1169">
      <w:pPr>
        <w:spacing w:line="240" w:lineRule="auto"/>
        <w:contextualSpacing w:val="0"/>
        <w:rPr>
          <w:sz w:val="20"/>
          <w:szCs w:val="20"/>
        </w:rPr>
      </w:pPr>
      <w:r w:rsidRPr="00AA267F">
        <w:rPr>
          <w:rFonts w:ascii="Avenir" w:hAnsi="Avenir"/>
          <w:sz w:val="20"/>
          <w:szCs w:val="20"/>
          <w:vertAlign w:val="superscript"/>
        </w:rPr>
        <w:footnoteRef/>
      </w:r>
      <w:r w:rsidRPr="00AA267F">
        <w:rPr>
          <w:rFonts w:ascii="Avenir" w:hAnsi="Avenir"/>
          <w:sz w:val="20"/>
          <w:szCs w:val="20"/>
        </w:rPr>
        <w:t xml:space="preserve"> https://www.healthaffairs.org/doi/abs/10.1377/hlthaff.2017.1633</w:t>
      </w:r>
    </w:p>
  </w:footnote>
  <w:footnote w:id="13">
    <w:p w14:paraId="2EC78E10" w14:textId="4CE087B6" w:rsidR="00A00E25" w:rsidRPr="00A00E25" w:rsidRDefault="00A00E25">
      <w:pPr>
        <w:pStyle w:val="FootnoteText"/>
        <w:rPr>
          <w:lang w:val="en-US"/>
        </w:rPr>
      </w:pPr>
      <w:r>
        <w:rPr>
          <w:rStyle w:val="FootnoteReference"/>
        </w:rPr>
        <w:footnoteRef/>
      </w:r>
      <w:r>
        <w:t xml:space="preserve"> </w:t>
      </w:r>
      <w:proofErr w:type="spellStart"/>
      <w:r w:rsidRPr="00AA267F">
        <w:rPr>
          <w:rFonts w:ascii="Avenir" w:hAnsi="Avenir"/>
        </w:rPr>
        <w:t>Sabaté</w:t>
      </w:r>
      <w:proofErr w:type="spellEnd"/>
      <w:r w:rsidRPr="00AA267F">
        <w:rPr>
          <w:rFonts w:ascii="Avenir" w:hAnsi="Avenir"/>
        </w:rPr>
        <w:t xml:space="preserve"> E, editor., ed. Adherence to Long-Term Therapies: Evidence for Action. Geneva, Switzerland: World Health Organization; 2003.</w:t>
      </w:r>
    </w:p>
  </w:footnote>
  <w:footnote w:id="14">
    <w:p w14:paraId="6C825E4E" w14:textId="77777777" w:rsidR="005E1169" w:rsidRPr="00DC6077" w:rsidRDefault="005E1169" w:rsidP="005E1169">
      <w:pPr>
        <w:spacing w:line="240" w:lineRule="auto"/>
        <w:contextualSpacing w:val="0"/>
        <w:rPr>
          <w:rFonts w:ascii="Avenir" w:hAnsi="Avenir"/>
          <w:sz w:val="20"/>
          <w:szCs w:val="20"/>
        </w:rPr>
      </w:pPr>
      <w:r w:rsidRPr="00DC6077">
        <w:rPr>
          <w:rFonts w:ascii="Avenir" w:hAnsi="Avenir"/>
          <w:sz w:val="20"/>
          <w:szCs w:val="20"/>
          <w:vertAlign w:val="superscript"/>
        </w:rPr>
        <w:footnoteRef/>
      </w:r>
      <w:r w:rsidRPr="00DC6077">
        <w:rPr>
          <w:rFonts w:ascii="Avenir" w:hAnsi="Avenir"/>
          <w:sz w:val="20"/>
          <w:szCs w:val="20"/>
        </w:rPr>
        <w:t xml:space="preserve"> Patel et al. (2016) “Framing Financial Incentives to Increase Physical Activity Among Overweight and Obese Adults.” </w:t>
      </w:r>
      <w:r w:rsidRPr="00DC6077">
        <w:rPr>
          <w:rFonts w:ascii="Avenir" w:hAnsi="Avenir"/>
          <w:i/>
          <w:sz w:val="20"/>
          <w:szCs w:val="20"/>
        </w:rPr>
        <w:t>Ann Intern Med</w:t>
      </w:r>
      <w:r w:rsidRPr="00DC6077">
        <w:rPr>
          <w:rFonts w:ascii="Avenir" w:hAnsi="Avenir"/>
          <w:sz w:val="20"/>
          <w:szCs w:val="20"/>
        </w:rPr>
        <w:t>. 164: 385–394.</w:t>
      </w:r>
    </w:p>
  </w:footnote>
  <w:footnote w:id="15">
    <w:p w14:paraId="6068C18F" w14:textId="77777777" w:rsidR="005E1169" w:rsidRPr="00FA1052" w:rsidRDefault="005E1169" w:rsidP="005E1169">
      <w:pPr>
        <w:pStyle w:val="FootnoteText"/>
        <w:rPr>
          <w:lang w:val="en-US"/>
        </w:rPr>
      </w:pPr>
      <w:r>
        <w:rPr>
          <w:rStyle w:val="FootnoteReference"/>
        </w:rPr>
        <w:footnoteRef/>
      </w:r>
      <w:r>
        <w:t xml:space="preserve"> </w:t>
      </w:r>
      <w:r>
        <w:rPr>
          <w:lang w:val="en-US"/>
        </w:rPr>
        <w:t xml:space="preserve">Based off most recent </w:t>
      </w:r>
      <w:proofErr w:type="spellStart"/>
      <w:r>
        <w:rPr>
          <w:lang w:val="en-US"/>
        </w:rPr>
        <w:t>Wellth</w:t>
      </w:r>
      <w:proofErr w:type="spellEnd"/>
      <w:r>
        <w:rPr>
          <w:lang w:val="en-US"/>
        </w:rPr>
        <w:t xml:space="preserve"> data as of August 2018.</w:t>
      </w:r>
    </w:p>
  </w:footnote>
  <w:footnote w:id="16">
    <w:p w14:paraId="2DD66218" w14:textId="77777777" w:rsidR="005E1169" w:rsidRPr="00E3127E" w:rsidRDefault="005E1169" w:rsidP="005E1169">
      <w:pPr>
        <w:pStyle w:val="FootnoteText"/>
        <w:rPr>
          <w:rFonts w:ascii="Avenir" w:hAnsi="Avenir"/>
          <w:lang w:val="en-US"/>
        </w:rPr>
      </w:pPr>
      <w:r w:rsidRPr="00E3127E">
        <w:rPr>
          <w:rStyle w:val="FootnoteReference"/>
          <w:rFonts w:ascii="Avenir" w:hAnsi="Avenir"/>
        </w:rPr>
        <w:footnoteRef/>
      </w:r>
      <w:r>
        <w:rPr>
          <w:rFonts w:ascii="Avenir" w:hAnsi="Avenir"/>
        </w:rPr>
        <w:t xml:space="preserve"> </w:t>
      </w:r>
      <w:r w:rsidRPr="00E3127E">
        <w:rPr>
          <w:rFonts w:ascii="Avenir" w:hAnsi="Avenir"/>
        </w:rPr>
        <w:t>Medicare and State Health Care Programs: Fraud and Abuse; Revisions to the Safe Harbors Under the Anti-Kickback Statute and Civil Monetary Penalty Rules Regarding Beneficiary Inducements</w:t>
      </w:r>
      <w:r>
        <w:rPr>
          <w:rFonts w:ascii="Avenir" w:hAnsi="Avenir"/>
        </w:rPr>
        <w:t xml:space="preserve">, </w:t>
      </w:r>
      <w:r w:rsidRPr="00E3127E">
        <w:rPr>
          <w:rFonts w:ascii="Avenir" w:hAnsi="Avenir"/>
        </w:rPr>
        <w:t>42 CFR §</w:t>
      </w:r>
      <w:r>
        <w:rPr>
          <w:rFonts w:ascii="Avenir" w:hAnsi="Avenir"/>
        </w:rPr>
        <w:t xml:space="preserve"> </w:t>
      </w:r>
      <w:r w:rsidRPr="00E3127E">
        <w:rPr>
          <w:rFonts w:ascii="Avenir" w:hAnsi="Avenir"/>
        </w:rPr>
        <w:t>1003</w:t>
      </w:r>
      <w:r>
        <w:rPr>
          <w:rFonts w:ascii="Avenir" w:hAnsi="Avenir"/>
        </w:rPr>
        <w:t xml:space="preserve">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1B6F"/>
    <w:multiLevelType w:val="hybridMultilevel"/>
    <w:tmpl w:val="BCF48E36"/>
    <w:lvl w:ilvl="0" w:tplc="0F8CC762">
      <w:start w:val="1"/>
      <w:numFmt w:val="upperRoman"/>
      <w:lvlText w:val="%1."/>
      <w:lvlJc w:val="right"/>
      <w:pPr>
        <w:ind w:left="1080" w:hanging="360"/>
      </w:pPr>
      <w:rPr>
        <w:sz w:val="4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5D3E45"/>
    <w:multiLevelType w:val="multilevel"/>
    <w:tmpl w:val="6E7AD0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6D9B17E4"/>
    <w:multiLevelType w:val="multilevel"/>
    <w:tmpl w:val="6E7AD0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7DB"/>
    <w:rsid w:val="0001790A"/>
    <w:rsid w:val="000E2388"/>
    <w:rsid w:val="0019685E"/>
    <w:rsid w:val="00196927"/>
    <w:rsid w:val="003E6940"/>
    <w:rsid w:val="00446377"/>
    <w:rsid w:val="00451987"/>
    <w:rsid w:val="0050620C"/>
    <w:rsid w:val="00512F6F"/>
    <w:rsid w:val="0055518D"/>
    <w:rsid w:val="005E1169"/>
    <w:rsid w:val="007B57DB"/>
    <w:rsid w:val="007D6CE4"/>
    <w:rsid w:val="0092209C"/>
    <w:rsid w:val="00A00E25"/>
    <w:rsid w:val="00A746CD"/>
    <w:rsid w:val="00BC1DE8"/>
    <w:rsid w:val="00CB7C98"/>
    <w:rsid w:val="00D90582"/>
    <w:rsid w:val="00DB1809"/>
    <w:rsid w:val="00DE5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41DA6"/>
  <w15:chartTrackingRefBased/>
  <w15:docId w15:val="{54108F1A-7ED5-48E2-920E-F98E07AB0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B57DB"/>
    <w:pPr>
      <w:spacing w:after="0" w:line="276" w:lineRule="auto"/>
      <w:contextualSpacing/>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B57DB"/>
    <w:pPr>
      <w:tabs>
        <w:tab w:val="center" w:pos="4680"/>
        <w:tab w:val="right" w:pos="9360"/>
      </w:tabs>
      <w:spacing w:line="240" w:lineRule="auto"/>
    </w:pPr>
  </w:style>
  <w:style w:type="character" w:customStyle="1" w:styleId="FooterChar">
    <w:name w:val="Footer Char"/>
    <w:basedOn w:val="DefaultParagraphFont"/>
    <w:link w:val="Footer"/>
    <w:uiPriority w:val="99"/>
    <w:rsid w:val="007B57DB"/>
    <w:rPr>
      <w:rFonts w:ascii="Arial" w:eastAsia="Arial" w:hAnsi="Arial" w:cs="Arial"/>
      <w:lang w:val="en"/>
    </w:rPr>
  </w:style>
  <w:style w:type="paragraph" w:styleId="ListParagraph">
    <w:name w:val="List Paragraph"/>
    <w:basedOn w:val="Normal"/>
    <w:uiPriority w:val="34"/>
    <w:qFormat/>
    <w:rsid w:val="007B57DB"/>
    <w:pPr>
      <w:ind w:left="720"/>
    </w:pPr>
  </w:style>
  <w:style w:type="paragraph" w:styleId="FootnoteText">
    <w:name w:val="footnote text"/>
    <w:basedOn w:val="Normal"/>
    <w:link w:val="FootnoteTextChar"/>
    <w:uiPriority w:val="99"/>
    <w:semiHidden/>
    <w:unhideWhenUsed/>
    <w:rsid w:val="007B57DB"/>
    <w:pPr>
      <w:spacing w:line="240" w:lineRule="auto"/>
    </w:pPr>
    <w:rPr>
      <w:sz w:val="20"/>
      <w:szCs w:val="20"/>
    </w:rPr>
  </w:style>
  <w:style w:type="character" w:customStyle="1" w:styleId="FootnoteTextChar">
    <w:name w:val="Footnote Text Char"/>
    <w:basedOn w:val="DefaultParagraphFont"/>
    <w:link w:val="FootnoteText"/>
    <w:uiPriority w:val="99"/>
    <w:semiHidden/>
    <w:rsid w:val="007B57DB"/>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7B57DB"/>
    <w:rPr>
      <w:vertAlign w:val="superscript"/>
    </w:rPr>
  </w:style>
  <w:style w:type="character" w:styleId="CommentReference">
    <w:name w:val="annotation reference"/>
    <w:basedOn w:val="DefaultParagraphFont"/>
    <w:uiPriority w:val="99"/>
    <w:semiHidden/>
    <w:unhideWhenUsed/>
    <w:rsid w:val="00CB7C98"/>
    <w:rPr>
      <w:sz w:val="18"/>
      <w:szCs w:val="18"/>
    </w:rPr>
  </w:style>
  <w:style w:type="paragraph" w:styleId="CommentText">
    <w:name w:val="annotation text"/>
    <w:basedOn w:val="Normal"/>
    <w:link w:val="CommentTextChar"/>
    <w:uiPriority w:val="99"/>
    <w:semiHidden/>
    <w:unhideWhenUsed/>
    <w:rsid w:val="00CB7C98"/>
    <w:pPr>
      <w:spacing w:line="240" w:lineRule="auto"/>
    </w:pPr>
    <w:rPr>
      <w:sz w:val="24"/>
      <w:szCs w:val="24"/>
    </w:rPr>
  </w:style>
  <w:style w:type="character" w:customStyle="1" w:styleId="CommentTextChar">
    <w:name w:val="Comment Text Char"/>
    <w:basedOn w:val="DefaultParagraphFont"/>
    <w:link w:val="CommentText"/>
    <w:uiPriority w:val="99"/>
    <w:semiHidden/>
    <w:rsid w:val="00CB7C98"/>
    <w:rPr>
      <w:rFonts w:ascii="Arial" w:eastAsia="Arial" w:hAnsi="Arial" w:cs="Arial"/>
      <w:sz w:val="24"/>
      <w:szCs w:val="24"/>
      <w:lang w:val="en"/>
    </w:rPr>
  </w:style>
  <w:style w:type="paragraph" w:styleId="CommentSubject">
    <w:name w:val="annotation subject"/>
    <w:basedOn w:val="CommentText"/>
    <w:next w:val="CommentText"/>
    <w:link w:val="CommentSubjectChar"/>
    <w:uiPriority w:val="99"/>
    <w:semiHidden/>
    <w:unhideWhenUsed/>
    <w:rsid w:val="00CB7C98"/>
    <w:rPr>
      <w:b/>
      <w:bCs/>
      <w:sz w:val="20"/>
      <w:szCs w:val="20"/>
    </w:rPr>
  </w:style>
  <w:style w:type="character" w:customStyle="1" w:styleId="CommentSubjectChar">
    <w:name w:val="Comment Subject Char"/>
    <w:basedOn w:val="CommentTextChar"/>
    <w:link w:val="CommentSubject"/>
    <w:uiPriority w:val="99"/>
    <w:semiHidden/>
    <w:rsid w:val="00CB7C98"/>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CB7C9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7C98"/>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718CF-10C1-4655-BABB-2CF58BF7F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2365</Words>
  <Characters>13486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Krygin</dc:creator>
  <cp:keywords/>
  <dc:description/>
  <cp:lastModifiedBy>kryginmarina@gmail.com</cp:lastModifiedBy>
  <cp:revision>3</cp:revision>
  <cp:lastPrinted>2018-08-17T19:51:00Z</cp:lastPrinted>
  <dcterms:created xsi:type="dcterms:W3CDTF">2018-08-17T19:56:00Z</dcterms:created>
  <dcterms:modified xsi:type="dcterms:W3CDTF">2019-02-10T00:43:00Z</dcterms:modified>
</cp:coreProperties>
</file>