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Address Matching Logic: End-to-End Design</w:t>
      </w:r>
    </w:p>
    <w:p>
      <w:pPr/>
      <w:r>
        <w:t xml:space="preserve">Oct 22, 2026</w:t>
      </w:r>
      <w:r>
        <w:t xml:space="preserve"> · </w:t>
      </w:r>
      <w:r>
        <w:t xml:space="preserve">@mukesh</w:t>
      </w:r>
    </w:p>
    <w:p>
      <w:pPr>
        <w:pStyle w:val="Heading2"/>
      </w:pPr>
      <w:r>
        <w:t xml:space="preserve">Summary</w:t>
      </w:r>
    </w:p>
    <w:p>
      <w:pPr/>
      <w:r>
        <w:t xml:space="preserve">The matcher is a deterministic, rule-gated pairwise verifier: for each Excel row it decides whether AddressA and AddressB are the same address and returns MATCH, NON-MATCH or REVIEW with a 0-100 score and a one-line explanation. No LLM touches the matching; the optional LLM only routes follow-up chat questions to fixed intents.</w:t>
      </w:r>
    </w:p>
    <w:p>
      <w:pPr/>
      <w:r>
        <w:t xml:space="preserve">The design rests on four ideas: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Parse, then compare per component.</w:t>
      </w:r>
      <w:r>
        <w:t xml:space="preserve"> libpostal splits each address into labelled components (house number, road, unit, postcode, city and so on), and each component is compared with a rule suited to its type.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Missing is unknown, not a mismatch.</w:t>
      </w:r>
      <w:r>
        <w:t xml:space="preserve"> Only components present on both sides contribute to the score.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Rules outrank the score.</w:t>
      </w:r>
      <w:r>
        <w:t xml:space="preserve"> A conflict on a critical field (house number, unit, road, PO box, country) forces NON-MATCH whatever the score; a MATCH needs a high score plus specific matched evidence.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Everything tunable lives in one file.</w:t>
      </w:r>
      <w:r>
        <w:t xml:space="preserve"> Weights, cut-offs, thresholds and rules are in </w:t>
      </w:r>
      <w:r>
        <w:rPr>
          <w:rStyle w:val="CodeChar"/>
        </w:rPr>
        <w:t xml:space="preserve">config/scoring.toml</w:t>
      </w:r>
      <w:r>
        <w:t xml:space="preserve">, which the code itself labels as uncalibrated starting values.</w:t>
      </w:r>
    </w:p>
    <w:p>
      <w:pPr/>
      <w:r>
        <w:t xml:space="preserve">There is no candidate search or blocking step: the input pairs the two addresses already, so the system verifies pairs rather than finding matches in a reference list. Code read: </w:t>
      </w:r>
      <w:r>
        <w:rPr>
          <w:rStyle w:val="CodeChar"/>
        </w:rPr>
        <w:t xml:space="preserve">mksharma22/demo-ai-v1</w:t>
      </w:r>
      <w:r>
        <w:t xml:space="preserve">, default branch, </w:t>
      </w:r>
      <w:r>
        <w:rPr>
          <w:rStyle w:val="CodeChar"/>
        </w:rPr>
        <w:t xml:space="preserve">src/addrmatch/</w:t>
      </w:r>
      <w:r>
        <w:t xml:space="preserve">.</w:t>
      </w:r>
    </w:p>
    <w:p>
      <w:pPr>
        <w:pStyle w:val="Heading2"/>
      </w:pPr>
      <w:r>
        <w:t xml:space="preserve">End-to-end flow</w:t>
      </w:r>
    </w:p>
    <w:p>
      <w:pPr/>
      <w:r>
        <w:drawing>
          <wp:inline distT="0" distB="0" distL="0" distR="0">
            <wp:extent cx="5486400" cy="6188528"/>
            <wp:docPr id="1" name="image1" descr="per-row matching flow · 3 stages, 5 decision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er-row matching flow · 3 stages, 5 decision gat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per-row matching flow · 3 stages, 5 decision gates</w:t>
      </w:r>
    </w:p>
    <w:p>
      <w:pPr/>
      <w:r>
        <w:t xml:space="preserve">Each row is normalized, compared field by field and scored, then a fixed ladder of gates decides; a hard-field conflict is NON-MATCH even with a high score, and MATCH needs both score and specific evidence.</w:t>
      </w:r>
    </w:p>
    <w:p>
      <w:pPr>
        <w:pStyle w:val="Heading2"/>
      </w:pPr>
      <w:r>
        <w:t xml:space="preserve">1. Normalization and parsing</w:t>
      </w:r>
    </w:p>
    <w:p>
      <w:pPr/>
      <w:r>
        <w:t xml:space="preserve">Each address is cleaned, parsed by libpostal into labelled parts, mapped onto about ten comparison fields, and each field is canonicalized with a type-specific rule (</w:t>
      </w:r>
      <w:r>
        <w:rPr>
          <w:rStyle w:val="CodeChar"/>
        </w:rPr>
        <w:t xml:space="preserve">normalization.py</w:t>
      </w:r>
      <w:r>
        <w:t xml:space="preserve">, </w:t>
      </w:r>
      <w:r>
        <w:rPr>
          <w:rStyle w:val="CodeChar"/>
        </w:rPr>
        <w:t xml:space="preserve">components.py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Guard.</w:t>
      </w:r>
      <w:r>
        <w:t xml:space="preserve"> Blank, </w:t>
      </w:r>
      <w:r>
        <w:rPr>
          <w:rStyle w:val="CodeChar"/>
        </w:rPr>
        <w:t xml:space="preserve">None</w:t>
      </w:r>
      <w:r>
        <w:t xml:space="preserve"> or NaN cells become status EMPTY. Control characters are stripped and whitespace collapsed. Input over 500 characters (</w:t>
      </w:r>
      <w:r>
        <w:rPr>
          <w:rStyle w:val="CodeChar"/>
        </w:rPr>
        <w:t xml:space="preserve">MAX_ADDRESS_CHARS</w:t>
      </w:r>
      <w:r>
        <w:t xml:space="preserve">) becomes FAILED.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Parse.</w:t>
      </w:r>
      <w:r>
        <w:t xml:space="preserve"> </w:t>
      </w:r>
      <w:r>
        <w:rPr>
          <w:rStyle w:val="CodeChar"/>
        </w:rPr>
        <w:t xml:space="preserve">postal.parser.parse_address</w:t>
      </w:r>
      <w:r>
        <w:t xml:space="preserve"> returns (value, label) pairs. A parser exception or no recognised components gives FAILED. Normalization never raises.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Label mapping.</w:t>
      </w:r>
      <w:r>
        <w:t xml:space="preserve"> libpostal labels are folded into comparison fields; values sharing a field are joined.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Canonicalize per field</w:t>
      </w:r>
      <w:r>
        <w:t xml:space="preserve"> (below). Each field keeps a tuple of candidate forms; the first is the display form, all are used in comparison.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Normalized string.</w:t>
      </w:r>
      <w:r>
        <w:t xml:space="preserve"> A comma-separated string in fixed field order (house number and road emitted together), written to the output's </w:t>
      </w:r>
      <w:r>
        <w:rPr>
          <w:rStyle w:val="CodeChar"/>
        </w:rPr>
        <w:t xml:space="preserve">normalized_AddressA/B</w:t>
      </w:r>
      <w:r>
        <w:t xml:space="preserve"> columns.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Cache.</w:t>
      </w:r>
      <w:r>
        <w:t xml:space="preserve"> </w:t>
      </w:r>
      <w:r>
        <w:rPr>
          <w:rStyle w:val="CodeChar"/>
        </w:rPr>
        <w:t xml:space="preserve">CachingNormalizer</w:t>
      </w:r>
      <w:r>
        <w:t xml:space="preserve"> memoizes on the cleaned text (LRU, 50,000 entries), so repeated addresses in a file are parsed once.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16"/>
        <w:gridCol w:w="2024"/>
        <w:gridCol w:w="4920"/>
      </w:tblGrid>
      <w:tr>
        <w:trPr>
          <w:tblHeader/>
        </w:trPr>
        <w:tc>
          <w:tcPr>
            <w:tcW w:w="2416" w:type="dxa"/>
            <w:shd w:val="clear" w:color="auto" w:fill="F2F2F2"/>
          </w:tcPr>
          <w:p>
            <w:pPr/>
            <w:r>
              <w:t xml:space="preserve">libpostal label(s)</w:t>
            </w:r>
          </w:p>
        </w:tc>
        <w:tc>
          <w:tcPr>
            <w:tcW w:w="2024" w:type="dxa"/>
            <w:shd w:val="clear" w:color="auto" w:fill="F2F2F2"/>
          </w:tcPr>
          <w:p>
            <w:pPr/>
            <w:r>
              <w:t xml:space="preserve">Comparison field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Canonical form</w:t>
            </w:r>
          </w:p>
        </w:tc>
      </w:tr>
      <w:tr>
        <w:tc>
          <w:tcPr>
            <w:tcW w:w="2416" w:type="dxa"/>
          </w:tcPr>
          <w:p>
            <w:pPr/>
            <w:r>
              <w:t xml:space="preserve">house_number</w:t>
            </w:r>
          </w:p>
        </w:tc>
        <w:tc>
          <w:tcPr>
            <w:tcW w:w="2024" w:type="dxa"/>
          </w:tcPr>
          <w:p>
            <w:pPr/>
            <w:r>
              <w:t xml:space="preserve">house_number</w:t>
            </w:r>
          </w:p>
        </w:tc>
        <w:tc>
          <w:tcPr>
            <w:tcW w:w="4920" w:type="dxa"/>
          </w:tcPr>
          <w:p>
            <w:pPr/>
            <w:r>
              <w:t xml:space="preserve">Lowercase alphanumerics joined by </w:t>
            </w:r>
            <w:r>
              <w:rPr>
                <w:rStyle w:val="CodeChar"/>
              </w:rPr>
              <w:t xml:space="preserve">-</w:t>
            </w:r>
            <w:r>
              <w:t xml:space="preserve">; drops "no", "number", "nr" ("No. 12-A" to </w:t>
            </w:r>
            <w:r>
              <w:rPr>
                <w:rStyle w:val="CodeChar"/>
              </w:rPr>
              <w:t xml:space="preserve">12-a</w:t>
            </w:r>
            <w:r>
              <w:t xml:space="preserve">)</w:t>
            </w:r>
          </w:p>
        </w:tc>
      </w:tr>
      <w:tr>
        <w:tc>
          <w:tcPr>
            <w:tcW w:w="2416" w:type="dxa"/>
          </w:tcPr>
          <w:p>
            <w:pPr/>
            <w:r>
              <w:t xml:space="preserve">po_box</w:t>
            </w:r>
          </w:p>
        </w:tc>
        <w:tc>
          <w:tcPr>
            <w:tcW w:w="2024" w:type="dxa"/>
          </w:tcPr>
          <w:p>
            <w:pPr/>
            <w:r>
              <w:t xml:space="preserve">po_box</w:t>
            </w:r>
          </w:p>
        </w:tc>
        <w:tc>
          <w:tcPr>
            <w:tcW w:w="4920" w:type="dxa"/>
          </w:tcPr>
          <w:p>
            <w:pPr/>
            <w:r>
              <w:t xml:space="preserve">Same, also drops "po", "box", "post office"; shown as </w:t>
            </w:r>
            <w:r>
              <w:rPr>
                <w:rStyle w:val="CodeChar"/>
              </w:rPr>
              <w:t xml:space="preserve">po box 45</w:t>
            </w:r>
          </w:p>
        </w:tc>
      </w:tr>
      <w:tr>
        <w:tc>
          <w:tcPr>
            <w:tcW w:w="2416" w:type="dxa"/>
          </w:tcPr>
          <w:p>
            <w:pPr/>
            <w:r>
              <w:t xml:space="preserve">postcode</w:t>
            </w:r>
          </w:p>
        </w:tc>
        <w:tc>
          <w:tcPr>
            <w:tcW w:w="2024" w:type="dxa"/>
          </w:tcPr>
          <w:p>
            <w:pPr/>
            <w:r>
              <w:t xml:space="preserve">postcode</w:t>
            </w:r>
          </w:p>
        </w:tc>
        <w:tc>
          <w:tcPr>
            <w:tcW w:w="4920" w:type="dxa"/>
          </w:tcPr>
          <w:p>
            <w:pPr/>
            <w:r>
              <w:t xml:space="preserve">Lowercase as parsed; compared later with spaces and punctuation removed, uppercase</w:t>
            </w:r>
          </w:p>
        </w:tc>
      </w:tr>
      <w:tr>
        <w:tc>
          <w:tcPr>
            <w:tcW w:w="2416" w:type="dxa"/>
          </w:tcPr>
          <w:p>
            <w:pPr/>
            <w:r>
              <w:t xml:space="preserve">road</w:t>
            </w:r>
          </w:p>
        </w:tc>
        <w:tc>
          <w:tcPr>
            <w:tcW w:w="2024" w:type="dxa"/>
          </w:tcPr>
          <w:p>
            <w:pPr/>
            <w:r>
              <w:t xml:space="preserve">road</w:t>
            </w:r>
          </w:p>
        </w:tc>
        <w:tc>
          <w:tcPr>
            <w:tcW w:w="4920" w:type="dxa"/>
          </w:tcPr>
          <w:p>
            <w:pPr/>
            <w:r>
              <w:t xml:space="preserve">libpostal </w:t>
            </w:r>
            <w:r>
              <w:rPr>
                <w:rStyle w:val="CodeChar"/>
              </w:rPr>
              <w:t xml:space="preserve">expand_address</w:t>
            </w:r>
            <w:r>
              <w:t xml:space="preserve"> with the street dictionary, up to 5 expansions + parser form; a reading ending in a street type (street, avenue, marg, nagar...) is shown first</w:t>
            </w:r>
          </w:p>
        </w:tc>
      </w:tr>
      <w:tr>
        <w:tc>
          <w:tcPr>
            <w:tcW w:w="2416" w:type="dxa"/>
          </w:tcPr>
          <w:p>
            <w:pPr/>
            <w:r>
              <w:t xml:space="preserve">unit, level, staircase, entrance</w:t>
            </w:r>
          </w:p>
        </w:tc>
        <w:tc>
          <w:tcPr>
            <w:tcW w:w="2024" w:type="dxa"/>
          </w:tcPr>
          <w:p>
            <w:pPr/>
            <w:r>
              <w:t xml:space="preserve">unit</w:t>
            </w:r>
          </w:p>
        </w:tc>
        <w:tc>
          <w:tcPr>
            <w:tcW w:w="4920" w:type="dxa"/>
          </w:tcPr>
          <w:p>
            <w:pPr/>
            <w:r>
              <w:t xml:space="preserve">Expansions with unit dictionaries; at compare time designators (apt, flat, floor, #...) are removed to get identifier tokens</w:t>
            </w:r>
          </w:p>
        </w:tc>
      </w:tr>
      <w:tr>
        <w:tc>
          <w:tcPr>
            <w:tcW w:w="2416" w:type="dxa"/>
          </w:tcPr>
          <w:p>
            <w:pPr/>
            <w:r>
              <w:t xml:space="preserve">house</w:t>
            </w:r>
          </w:p>
        </w:tc>
        <w:tc>
          <w:tcPr>
            <w:tcW w:w="2024" w:type="dxa"/>
          </w:tcPr>
          <w:p>
            <w:pPr/>
            <w:r>
              <w:t xml:space="preserve">building_name</w:t>
            </w:r>
          </w:p>
        </w:tc>
        <w:tc>
          <w:tcPr>
            <w:tcW w:w="4920" w:type="dxa"/>
          </w:tcPr>
          <w:p>
            <w:pPr/>
            <w:r>
              <w:t xml:space="preserve">Expansions with the name dictionary</w:t>
            </w:r>
          </w:p>
        </w:tc>
      </w:tr>
      <w:tr>
        <w:tc>
          <w:tcPr>
            <w:tcW w:w="2416" w:type="dxa"/>
          </w:tcPr>
          <w:p>
            <w:pPr/>
            <w:r>
              <w:t xml:space="preserve">suburb, city_district</w:t>
            </w:r>
          </w:p>
        </w:tc>
        <w:tc>
          <w:tcPr>
            <w:tcW w:w="2024" w:type="dxa"/>
          </w:tcPr>
          <w:p>
            <w:pPr/>
            <w:r>
              <w:t xml:space="preserve">locality</w:t>
            </w:r>
          </w:p>
        </w:tc>
        <w:tc>
          <w:tcPr>
            <w:tcW w:w="4920" w:type="dxa"/>
          </w:tcPr>
          <w:p>
            <w:pPr/>
            <w:r>
              <w:t xml:space="preserve">Expansions with toponym dictionary</w:t>
            </w:r>
          </w:p>
        </w:tc>
      </w:tr>
      <w:tr>
        <w:tc>
          <w:tcPr>
            <w:tcW w:w="2416" w:type="dxa"/>
          </w:tcPr>
          <w:p>
            <w:pPr/>
            <w:r>
              <w:t xml:space="preserve">city</w:t>
            </w:r>
          </w:p>
        </w:tc>
        <w:tc>
          <w:tcPr>
            <w:tcW w:w="2024" w:type="dxa"/>
          </w:tcPr>
          <w:p>
            <w:pPr/>
            <w:r>
              <w:t xml:space="preserve">city</w:t>
            </w:r>
          </w:p>
        </w:tc>
        <w:tc>
          <w:tcPr>
            <w:tcW w:w="4920" w:type="dxa"/>
          </w:tcPr>
          <w:p>
            <w:pPr/>
            <w:r>
              <w:t xml:space="preserve">Expansions with toponym dictionary</w:t>
            </w:r>
          </w:p>
        </w:tc>
      </w:tr>
      <w:tr>
        <w:tc>
          <w:tcPr>
            <w:tcW w:w="2416" w:type="dxa"/>
          </w:tcPr>
          <w:p>
            <w:pPr/>
            <w:r>
              <w:t xml:space="preserve">state_district</w:t>
            </w:r>
          </w:p>
        </w:tc>
        <w:tc>
          <w:tcPr>
            <w:tcW w:w="2024" w:type="dxa"/>
          </w:tcPr>
          <w:p>
            <w:pPr/>
            <w:r>
              <w:t xml:space="preserve">district</w:t>
            </w:r>
          </w:p>
        </w:tc>
        <w:tc>
          <w:tcPr>
            <w:tcW w:w="4920" w:type="dxa"/>
          </w:tcPr>
          <w:p>
            <w:pPr/>
            <w:r>
              <w:t xml:space="preserve">Expansions; unweighted, used only for city cross-label lookup</w:t>
            </w:r>
          </w:p>
        </w:tc>
      </w:tr>
      <w:tr>
        <w:tc>
          <w:tcPr>
            <w:tcW w:w="2416" w:type="dxa"/>
          </w:tcPr>
          <w:p>
            <w:pPr/>
            <w:r>
              <w:t xml:space="preserve">state</w:t>
            </w:r>
          </w:p>
        </w:tc>
        <w:tc>
          <w:tcPr>
            <w:tcW w:w="2024" w:type="dxa"/>
          </w:tcPr>
          <w:p>
            <w:pPr/>
            <w:r>
              <w:t xml:space="preserve">state</w:t>
            </w:r>
          </w:p>
        </w:tc>
        <w:tc>
          <w:tcPr>
            <w:tcW w:w="4920" w:type="dxa"/>
          </w:tcPr>
          <w:p>
            <w:pPr/>
            <w:r>
              <w:t xml:space="preserve">Expansions with toponym dictionary</w:t>
            </w:r>
          </w:p>
        </w:tc>
      </w:tr>
      <w:tr>
        <w:tc>
          <w:tcPr>
            <w:tcW w:w="2416" w:type="dxa"/>
          </w:tcPr>
          <w:p>
            <w:pPr/>
            <w:r>
              <w:t xml:space="preserve">country</w:t>
            </w:r>
          </w:p>
        </w:tc>
        <w:tc>
          <w:tcPr>
            <w:tcW w:w="2024" w:type="dxa"/>
          </w:tcPr>
          <w:p>
            <w:pPr/>
            <w:r>
              <w:t xml:space="preserve">country</w:t>
            </w:r>
          </w:p>
        </w:tc>
        <w:tc>
          <w:tcPr>
            <w:tcW w:w="4920" w:type="dxa"/>
          </w:tcPr>
          <w:p>
            <w:pPr/>
            <w:r>
              <w:t xml:space="preserve">Expansions with toponym dictionary</w:t>
            </w:r>
          </w:p>
        </w:tc>
      </w:tr>
      <w:tr>
        <w:tc>
          <w:tcPr>
            <w:tcW w:w="2416" w:type="dxa"/>
          </w:tcPr>
          <w:p>
            <w:pPr/>
            <w:r>
              <w:t xml:space="preserve">island, country_region, world_region, category, near</w:t>
            </w:r>
          </w:p>
        </w:tc>
        <w:tc>
          <w:tcPr>
            <w:tcW w:w="2024" w:type="dxa"/>
          </w:tcPr>
          <w:p>
            <w:pPr/>
            <w:r>
              <w:t xml:space="preserve">same name</w:t>
            </w:r>
          </w:p>
        </w:tc>
        <w:tc>
          <w:tcPr>
            <w:tcW w:w="4920" w:type="dxa"/>
          </w:tcPr>
          <w:p>
            <w:pPr/>
            <w:r>
              <w:t xml:space="preserve">Kept in the normalized string, not scored</w:t>
            </w:r>
          </w:p>
        </w:tc>
      </w:tr>
    </w:tbl>
    <w:p>
      <w:pPr/>
      <w:r>
        <w:t xml:space="preserve">libpostal is loaded once per process (about 2 GB RAM) behind a lock, and warmed with a dummy call so the load does not happen mid-job. An optional </w:t>
      </w:r>
      <w:r>
        <w:rPr>
          <w:rStyle w:val="CodeChar"/>
        </w:rPr>
        <w:t xml:space="preserve">LIBPOSTAL_LANGUAGES</w:t>
      </w:r>
      <w:r>
        <w:t xml:space="preserve"> setting restricts expansion dictionaries.</w:t>
      </w:r>
    </w:p>
    <w:p>
      <w:pPr>
        <w:pStyle w:val="Heading2"/>
      </w:pPr>
      <w:r>
        <w:t xml:space="preserve">2. Candidate selection</w:t>
      </w:r>
    </w:p>
    <w:p>
      <w:pPr/>
      <w:r>
        <w:t xml:space="preserve">There is no candidate selection, blocking or indexing step in the code. The uploaded workbook must have </w:t>
      </w:r>
      <w:r>
        <w:rPr>
          <w:rStyle w:val="CodeChar"/>
        </w:rPr>
        <w:t xml:space="preserve">AddressA</w:t>
      </w:r>
      <w:r>
        <w:t xml:space="preserve"> and </w:t>
      </w:r>
      <w:r>
        <w:rPr>
          <w:rStyle w:val="CodeChar"/>
        </w:rPr>
        <w:t xml:space="preserve">AddressB</w:t>
      </w:r>
      <w:r>
        <w:t xml:space="preserve"> columns, and every row is one pre-paired comparison: row N's AddressA is compared only with row N's AddressB.</w:t>
      </w:r>
    </w:p>
    <w:p>
      <w:pPr>
        <w:pStyle w:val="ListParagraph"/>
        <w:numPr>
          <w:ilvl w:val="0"/>
          <w:numId w:val="4"/>
        </w:numPr>
      </w:pPr>
      <w:r>
        <w:t xml:space="preserve">Input handling (</w:t>
      </w:r>
      <w:r>
        <w:rPr>
          <w:rStyle w:val="CodeChar"/>
        </w:rPr>
        <w:t xml:space="preserve">excel_io.py</w:t>
      </w:r>
      <w:r>
        <w:t xml:space="preserve">): </w:t>
      </w:r>
      <w:r>
        <w:rPr>
          <w:rStyle w:val="CodeChar"/>
        </w:rPr>
        <w:t xml:space="preserve">.xlsx</w:t>
      </w:r>
      <w:r>
        <w:t xml:space="preserve"> only, max 20 MB upload and 200 MB uncompressed, max 100,000 rows; the first sheet whose header has both columns is used; formulas are read as literal text and never evaluated.</w:t>
      </w:r>
    </w:p>
    <w:p>
      <w:pPr>
        <w:pStyle w:val="ListParagraph"/>
        <w:numPr>
          <w:ilvl w:val="0"/>
          <w:numId w:val="4"/>
        </w:numPr>
      </w:pPr>
      <w:r>
        <w:t xml:space="preserve">Rows are stored in a per-job SQLite store and processed in batches of 200 (</w:t>
      </w:r>
      <w:r>
        <w:rPr>
          <w:rStyle w:val="CodeChar"/>
        </w:rPr>
        <w:t xml:space="preserve">BATCH_SIZE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Duplicate pairs are counted in job metrics but still processed; the normalization cache absorbs the repeated parsing cost.</w:t>
      </w:r>
    </w:p>
    <w:p>
      <w:pPr/>
      <w:r>
        <w:t xml:space="preserve">For the architecture review this is the key scoping fact: the system is a </w:t>
      </w:r>
      <w:r>
        <w:rPr>
          <w:b/>
        </w:rPr>
        <w:t xml:space="preserve">pair verifier</w:t>
      </w:r>
      <w:r>
        <w:t xml:space="preserve">, not a </w:t>
      </w:r>
      <w:r>
        <w:rPr>
          <w:b/>
        </w:rPr>
        <w:t xml:space="preserve">record linker</w:t>
      </w:r>
      <w:r>
        <w:t xml:space="preserve">. Matching one address against a master list would need a new blocking stage (for example by postcode, or city plus road prefix) in front of the comparison engine described next.</w:t>
      </w:r>
    </w:p>
    <w:p>
      <w:pPr>
        <w:pStyle w:val="Heading2"/>
      </w:pPr>
      <w:r>
        <w:t xml:space="preserve">3. Per-field comparison</w:t>
      </w:r>
    </w:p>
    <w:p>
      <w:pPr/>
      <w:r>
        <w:t xml:space="preserve">Every weighted field gets one of six outcomes, MATCH, SIMILAR, CONFLICT, MISSING_A, MISSING_B or MISSING_BOTH, plus a similarity from 0 to 1 when both sides have it (</w:t>
      </w:r>
      <w:r>
        <w:rPr>
          <w:rStyle w:val="CodeChar"/>
        </w:rPr>
        <w:t xml:space="preserve">comparison.py</w:t>
      </w:r>
      <w:r>
        <w:t xml:space="preserve">). The comparator depends on the field type.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05"/>
        <w:gridCol w:w="1560"/>
        <w:gridCol w:w="2238"/>
        <w:gridCol w:w="1311"/>
        <w:gridCol w:w="1360"/>
        <w:gridCol w:w="1585"/>
      </w:tblGrid>
      <w:tr>
        <w:trPr>
          <w:tblHeader/>
        </w:trPr>
        <w:tc>
          <w:tcPr>
            <w:tcW w:w="1305" w:type="dxa"/>
            <w:shd w:val="clear" w:color="auto" w:fill="F2F2F2"/>
          </w:tcPr>
          <w:p>
            <w:pPr/>
            <w:r>
              <w:t xml:space="preserve">Field type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2238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1311" w:type="dxa"/>
            <w:shd w:val="clear" w:color="auto" w:fill="F2F2F2"/>
          </w:tcPr>
          <w:p>
            <w:pPr/>
            <w:r>
              <w:t xml:space="preserve">MATCH</w:t>
            </w:r>
          </w:p>
        </w:tc>
        <w:tc>
          <w:tcPr>
            <w:tcW w:w="1360" w:type="dxa"/>
            <w:shd w:val="clear" w:color="auto" w:fill="F2F2F2"/>
          </w:tcPr>
          <w:p>
            <w:pPr/>
            <w:r>
              <w:t xml:space="preserve">SIMILAR</w:t>
            </w:r>
          </w:p>
        </w:tc>
        <w:tc>
          <w:tcPr>
            <w:tcW w:w="1585" w:type="dxa"/>
            <w:shd w:val="clear" w:color="auto" w:fill="F2F2F2"/>
          </w:tcPr>
          <w:p>
            <w:pPr/>
            <w:r>
              <w:t xml:space="preserve">CONFLICT</w:t>
            </w:r>
          </w:p>
        </w:tc>
      </w:tr>
      <w:tr>
        <w:tc>
          <w:tcPr>
            <w:tcW w:w="1305" w:type="dxa"/>
          </w:tcPr>
          <w:p>
            <w:pPr/>
            <w:r>
              <w:t xml:space="preserve">Identifier</w:t>
            </w:r>
          </w:p>
        </w:tc>
        <w:tc>
          <w:tcPr>
            <w:tcW w:w="1560" w:type="dxa"/>
          </w:tcPr>
          <w:p>
            <w:pPr/>
            <w:r>
              <w:t xml:space="preserve">house_number, po_box</w:t>
            </w:r>
          </w:p>
        </w:tc>
        <w:tc>
          <w:tcPr>
            <w:tcW w:w="2238" w:type="dxa"/>
          </w:tcPr>
          <w:p>
            <w:pPr/>
            <w:r>
              <w:t xml:space="preserve">Exact compare of canonical identifiers</w:t>
            </w:r>
          </w:p>
        </w:tc>
        <w:tc>
          <w:tcPr>
            <w:tcW w:w="1311" w:type="dxa"/>
          </w:tcPr>
          <w:p>
            <w:pPr/>
            <w:r>
              <w:t xml:space="preserve">Identical (1.0)</w:t>
            </w:r>
          </w:p>
        </w:tc>
        <w:tc>
          <w:tcPr>
            <w:tcW w:w="1360" w:type="dxa"/>
          </w:tcPr>
          <w:p>
            <w:pPr/>
            <w:r>
              <w:t xml:space="preserve">Never</w:t>
            </w:r>
          </w:p>
        </w:tc>
        <w:tc>
          <w:tcPr>
            <w:tcW w:w="1585" w:type="dxa"/>
          </w:tcPr>
          <w:p>
            <w:pPr/>
            <w:r>
              <w:t xml:space="preserve">Different (0.0); same digits but different suffix, e.g. 12A vs 12B (0.5)</w:t>
            </w:r>
          </w:p>
        </w:tc>
      </w:tr>
      <w:tr>
        <w:tc>
          <w:tcPr>
            <w:tcW w:w="1305" w:type="dxa"/>
          </w:tcPr>
          <w:p>
            <w:pPr/>
            <w:r>
              <w:t xml:space="preserve">Postcode</w:t>
            </w:r>
          </w:p>
        </w:tc>
        <w:tc>
          <w:tcPr>
            <w:tcW w:w="1560" w:type="dxa"/>
          </w:tcPr>
          <w:p>
            <w:pPr/>
            <w:r>
              <w:t xml:space="preserve">postcode</w:t>
            </w:r>
          </w:p>
        </w:tc>
        <w:tc>
          <w:tcPr>
            <w:tcW w:w="2238" w:type="dxa"/>
          </w:tcPr>
          <w:p>
            <w:pPr/>
            <w:r>
              <w:t xml:space="preserve">Uppercase alphanumerics only</w:t>
            </w:r>
          </w:p>
        </w:tc>
        <w:tc>
          <w:tcPr>
            <w:tcW w:w="1311" w:type="dxa"/>
          </w:tcPr>
          <w:p>
            <w:pPr/>
            <w:r>
              <w:t xml:space="preserve">Equal, or US ZIP equals first 5 of ZIP+4 (1.0)</w:t>
            </w:r>
          </w:p>
        </w:tc>
        <w:tc>
          <w:tcPr>
            <w:tcW w:w="1360" w:type="dxa"/>
          </w:tcPr>
          <w:p>
            <w:pPr/>
            <w:r>
              <w:t xml:space="preserve">One is a prefix of the other, at least 3 chars (0.6)</w:t>
            </w:r>
          </w:p>
        </w:tc>
        <w:tc>
          <w:tcPr>
            <w:tcW w:w="1585" w:type="dxa"/>
          </w:tcPr>
          <w:p>
            <w:pPr/>
            <w:r>
              <w:t xml:space="preserve">Otherwise (0.0)</w:t>
            </w:r>
          </w:p>
        </w:tc>
      </w:tr>
      <w:tr>
        <w:tc>
          <w:tcPr>
            <w:tcW w:w="1305" w:type="dxa"/>
          </w:tcPr>
          <w:p>
            <w:pPr/>
            <w:r>
              <w:t xml:space="preserve">Unit</w:t>
            </w:r>
          </w:p>
        </w:tc>
        <w:tc>
          <w:tcPr>
            <w:tcW w:w="1560" w:type="dxa"/>
          </w:tcPr>
          <w:p>
            <w:pPr/>
            <w:r>
              <w:t xml:space="preserve">unit</w:t>
            </w:r>
          </w:p>
        </w:tc>
        <w:tc>
          <w:tcPr>
            <w:tcW w:w="2238" w:type="dxa"/>
          </w:tcPr>
          <w:p>
            <w:pPr/>
            <w:r>
              <w:t xml:space="preserve">Sets of identifier tokens after removing designators; "4 b" and "4-b" rejoined to </w:t>
            </w:r>
            <w:r>
              <w:rPr>
                <w:rStyle w:val="CodeChar"/>
              </w:rPr>
              <w:t xml:space="preserve">4b</w:t>
            </w:r>
          </w:p>
        </w:tc>
        <w:tc>
          <w:tcPr>
            <w:tcW w:w="1311" w:type="dxa"/>
          </w:tcPr>
          <w:p>
            <w:pPr/>
            <w:r>
              <w:t xml:space="preserve">Same token set (1.0)</w:t>
            </w:r>
          </w:p>
        </w:tc>
        <w:tc>
          <w:tcPr>
            <w:tcW w:w="1360" w:type="dxa"/>
          </w:tcPr>
          <w:p>
            <w:pPr/>
            <w:r>
              <w:t xml:space="preserve">One set is a strict subset, e.g. "4b" vs "floor 2 unit 4b" (0.7)</w:t>
            </w:r>
          </w:p>
        </w:tc>
        <w:tc>
          <w:tcPr>
            <w:tcW w:w="1585" w:type="dxa"/>
          </w:tcPr>
          <w:p>
            <w:pPr/>
            <w:r>
              <w:t xml:space="preserve">Disjoint sets (0.0); units with no identifier fall back to fuzzy text</w:t>
            </w:r>
          </w:p>
        </w:tc>
      </w:tr>
      <w:tr>
        <w:tc>
          <w:tcPr>
            <w:tcW w:w="1305" w:type="dxa"/>
          </w:tcPr>
          <w:p>
            <w:pPr/>
            <w:r>
              <w:t xml:space="preserve">Free text</w:t>
            </w:r>
          </w:p>
        </w:tc>
        <w:tc>
          <w:tcPr>
            <w:tcW w:w="1560" w:type="dxa"/>
          </w:tcPr>
          <w:p>
            <w:pPr/>
            <w:r>
              <w:t xml:space="preserve">road, building_name, locality, city, state, country</w:t>
            </w:r>
          </w:p>
        </w:tc>
        <w:tc>
          <w:tcPr>
            <w:tcW w:w="2238" w:type="dxa"/>
          </w:tcPr>
          <w:p>
            <w:pPr/>
            <w:r>
              <w:t xml:space="preserve">Best RapidFuzz score over all candidate forms on both sides: max of </w:t>
            </w:r>
            <w:r>
              <w:rPr>
                <w:rStyle w:val="CodeChar"/>
              </w:rPr>
              <w:t xml:space="preserve">token_sort_ratio</w:t>
            </w:r>
            <w:r>
              <w:t xml:space="preserve"> and </w:t>
            </w:r>
            <w:r>
              <w:rPr>
                <w:rStyle w:val="CodeChar"/>
              </w:rPr>
              <w:t xml:space="preserve">ratio</w:t>
            </w:r>
          </w:p>
        </w:tc>
        <w:tc>
          <w:tcPr>
            <w:tcW w:w="1311" w:type="dxa"/>
          </w:tcPr>
          <w:p>
            <w:pPr/>
            <w:r>
              <w:t xml:space="preserve">Similarity at least 0.90</w:t>
            </w:r>
          </w:p>
        </w:tc>
        <w:tc>
          <w:tcPr>
            <w:tcW w:w="1360" w:type="dxa"/>
          </w:tcPr>
          <w:p>
            <w:pPr/>
            <w:r>
              <w:t xml:space="preserve">0.75 to under 0.90</w:t>
            </w:r>
          </w:p>
        </w:tc>
        <w:tc>
          <w:tcPr>
            <w:tcW w:w="1585" w:type="dxa"/>
          </w:tcPr>
          <w:p>
            <w:pPr/>
            <w:r>
              <w:t xml:space="preserve">Under 0.75</w:t>
            </w:r>
          </w:p>
        </w:tc>
      </w:tr>
    </w:tbl>
    <w:p>
      <w:pPr/>
      <w:r>
        <w:t xml:space="preserve">Two special rules sit on top of the free-text comparator: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Numbered streets.</w:t>
      </w:r>
      <w:r>
        <w:t xml:space="preserve"> If both roads contain numbers and the number sets differ (5th Ave vs 6th Ave), the road is a CONFLICT with similarity capped at 0.5, however close the strings are.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City cross-label recovery.</w:t>
      </w:r>
      <w:r>
        <w:t xml:space="preserve"> libpostal may label the same place as city on one side and suburb, district or state on the other. If city is not already a MATCH, the city value from one side is matched against all area fields of the other; a score of at least 0.90 upgrades city to MATCH.</w:t>
      </w:r>
    </w:p>
    <w:p>
      <w:pPr/>
      <w:r>
        <w:t xml:space="preserve">Because every libpostal expansion is kept as a candidate, abbreviation differences (St vs Street, Rd vs Road) usually resolve to an exact 1.0 before fuzzy scoring is needed.</w:t>
      </w:r>
    </w:p>
    <w:p>
      <w:pPr>
        <w:pStyle w:val="Heading2"/>
      </w:pPr>
      <w:r>
        <w:t xml:space="preserve">4. Weights, score and thresholds</w:t>
      </w:r>
    </w:p>
    <w:p>
      <w:pPr/>
      <w:r>
        <w:t xml:space="preserve">The score is a weighted average of similarity over fields present on both sides, scaled to 0-100 (</w:t>
      </w:r>
      <w:r>
        <w:rPr>
          <w:rStyle w:val="CodeChar"/>
        </w:rPr>
        <w:t xml:space="preserve">scoring.py</w:t>
      </w:r>
      <w:r>
        <w:t xml:space="preserve">). It is a similarity, not a probability.</w:t>
      </w:r>
    </w:p>
    <w:p>
      <w:pPr>
        <w:pStyle w:val="Code"/>
      </w:pPr>
      <w:bookmarkStart w:id="1" w:name="bongo_lang_latex_1"/>
      <w:bookmarkEnd w:id="1"/>
      <w:r>
        <w:t xml:space="preserve">\text{score} = \operatorname{round}\left(100 \cdot \frac{\sum_{f \in B} w_f \, s_f}{\sum_{f \in B} w_f}\right) \qquad \text{coverage} = \frac{\sum_{f \in B} w_f}{\sum_{f \in E} w_f}</w:t>
      </w:r>
    </w:p>
    <w:p>
      <w:pPr/>
      <w:r>
        <w:t xml:space="preserve">Here B is the set of fields present on both sides, E the set present on either side, w the weight and s the field similarity. If B is empty the score is N/A. Coverage measures how much of the available evidence could actually be compared.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47"/>
        <w:gridCol w:w="1393"/>
        <w:gridCol w:w="3056"/>
        <w:gridCol w:w="2362"/>
      </w:tblGrid>
      <w:tr>
        <w:trPr>
          <w:tblHeader/>
        </w:trPr>
        <w:tc>
          <w:tcPr>
            <w:tcW w:w="2547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393" w:type="dxa"/>
            <w:shd w:val="clear" w:color="auto" w:fill="F2F2F2"/>
          </w:tcPr>
          <w:p>
            <w:pPr/>
            <w:r>
              <w:t xml:space="preserve">Weight</w:t>
            </w:r>
          </w:p>
        </w:tc>
        <w:tc>
          <w:tcPr>
            <w:tcW w:w="3056" w:type="dxa"/>
            <w:shd w:val="clear" w:color="auto" w:fill="F2F2F2"/>
          </w:tcPr>
          <w:p>
            <w:pPr/>
            <w:r>
              <w:t xml:space="preserve">Share of total 110</w:t>
            </w:r>
          </w:p>
        </w:tc>
        <w:tc>
          <w:tcPr>
            <w:tcW w:w="2362" w:type="dxa"/>
            <w:shd w:val="clear" w:color="auto" w:fill="F2F2F2"/>
          </w:tcPr>
          <w:p>
            <w:pPr/>
            <w:r>
              <w:t xml:space="preserve">On conflict</w:t>
            </w:r>
          </w:p>
        </w:tc>
      </w:tr>
      <w:tr>
        <w:tc>
          <w:tcPr>
            <w:tcW w:w="2547" w:type="dxa"/>
          </w:tcPr>
          <w:p>
            <w:pPr/>
            <w:r>
              <w:t xml:space="preserve">house_number</w:t>
            </w:r>
          </w:p>
        </w:tc>
        <w:tc>
          <w:tcPr>
            <w:tcW w:w="1393" w:type="dxa"/>
          </w:tcPr>
          <w:p>
            <w:pPr/>
            <w:r>
              <w:t xml:space="preserve">25</w:t>
            </w:r>
          </w:p>
        </w:tc>
        <w:tc>
          <w:tcPr>
            <w:tcW w:w="3056" w:type="dxa"/>
          </w:tcPr>
          <w:p>
            <w:pPr/>
            <w:r>
              <w:t xml:space="preserve">23%</w:t>
            </w:r>
          </w:p>
        </w:tc>
        <w:tc>
          <w:tcPr>
            <w:tcW w:w="2362" w:type="dxa"/>
          </w:tcPr>
          <w:p>
            <w:pPr/>
            <w:r>
              <w:t xml:space="preserve">NON-MATCH</w:t>
            </w:r>
          </w:p>
        </w:tc>
      </w:tr>
      <w:tr>
        <w:tc>
          <w:tcPr>
            <w:tcW w:w="2547" w:type="dxa"/>
          </w:tcPr>
          <w:p>
            <w:pPr/>
            <w:r>
              <w:t xml:space="preserve">road</w:t>
            </w:r>
          </w:p>
        </w:tc>
        <w:tc>
          <w:tcPr>
            <w:tcW w:w="1393" w:type="dxa"/>
          </w:tcPr>
          <w:p>
            <w:pPr/>
            <w:r>
              <w:t xml:space="preserve">20</w:t>
            </w:r>
          </w:p>
        </w:tc>
        <w:tc>
          <w:tcPr>
            <w:tcW w:w="3056" w:type="dxa"/>
          </w:tcPr>
          <w:p>
            <w:pPr/>
            <w:r>
              <w:t xml:space="preserve">18%</w:t>
            </w:r>
          </w:p>
        </w:tc>
        <w:tc>
          <w:tcPr>
            <w:tcW w:w="2362" w:type="dxa"/>
          </w:tcPr>
          <w:p>
            <w:pPr/>
            <w:r>
              <w:t xml:space="preserve">NON-MATCH</w:t>
            </w:r>
          </w:p>
        </w:tc>
      </w:tr>
      <w:tr>
        <w:tc>
          <w:tcPr>
            <w:tcW w:w="2547" w:type="dxa"/>
          </w:tcPr>
          <w:p>
            <w:pPr/>
            <w:r>
              <w:t xml:space="preserve">postcode</w:t>
            </w:r>
          </w:p>
        </w:tc>
        <w:tc>
          <w:tcPr>
            <w:tcW w:w="1393" w:type="dxa"/>
          </w:tcPr>
          <w:p>
            <w:pPr/>
            <w:r>
              <w:t xml:space="preserve">15</w:t>
            </w:r>
          </w:p>
        </w:tc>
        <w:tc>
          <w:tcPr>
            <w:tcW w:w="3056" w:type="dxa"/>
          </w:tcPr>
          <w:p>
            <w:pPr/>
            <w:r>
              <w:t xml:space="preserve">14%</w:t>
            </w:r>
          </w:p>
        </w:tc>
        <w:tc>
          <w:tcPr>
            <w:tcW w:w="2362" w:type="dxa"/>
          </w:tcPr>
          <w:p>
            <w:pPr/>
            <w:r>
              <w:t xml:space="preserve">REVIEW</w:t>
            </w:r>
          </w:p>
        </w:tc>
      </w:tr>
      <w:tr>
        <w:tc>
          <w:tcPr>
            <w:tcW w:w="2547" w:type="dxa"/>
          </w:tcPr>
          <w:p>
            <w:pPr/>
            <w:r>
              <w:t xml:space="preserve">unit</w:t>
            </w:r>
          </w:p>
        </w:tc>
        <w:tc>
          <w:tcPr>
            <w:tcW w:w="1393" w:type="dxa"/>
          </w:tcPr>
          <w:p>
            <w:pPr/>
            <w:r>
              <w:t xml:space="preserve">10</w:t>
            </w:r>
          </w:p>
        </w:tc>
        <w:tc>
          <w:tcPr>
            <w:tcW w:w="3056" w:type="dxa"/>
          </w:tcPr>
          <w:p>
            <w:pPr/>
            <w:r>
              <w:t xml:space="preserve">9%</w:t>
            </w:r>
          </w:p>
        </w:tc>
        <w:tc>
          <w:tcPr>
            <w:tcW w:w="2362" w:type="dxa"/>
          </w:tcPr>
          <w:p>
            <w:pPr/>
            <w:r>
              <w:t xml:space="preserve">NON-MATCH</w:t>
            </w:r>
          </w:p>
        </w:tc>
      </w:tr>
      <w:tr>
        <w:tc>
          <w:tcPr>
            <w:tcW w:w="2547" w:type="dxa"/>
          </w:tcPr>
          <w:p>
            <w:pPr/>
            <w:r>
              <w:t xml:space="preserve">city</w:t>
            </w:r>
          </w:p>
        </w:tc>
        <w:tc>
          <w:tcPr>
            <w:tcW w:w="1393" w:type="dxa"/>
          </w:tcPr>
          <w:p>
            <w:pPr/>
            <w:r>
              <w:t xml:space="preserve">10</w:t>
            </w:r>
          </w:p>
        </w:tc>
        <w:tc>
          <w:tcPr>
            <w:tcW w:w="3056" w:type="dxa"/>
          </w:tcPr>
          <w:p>
            <w:pPr/>
            <w:r>
              <w:t xml:space="preserve">9%</w:t>
            </w:r>
          </w:p>
        </w:tc>
        <w:tc>
          <w:tcPr>
            <w:tcW w:w="2362" w:type="dxa"/>
          </w:tcPr>
          <w:p>
            <w:pPr/>
            <w:r>
              <w:t xml:space="preserve">REVIEW</w:t>
            </w:r>
          </w:p>
        </w:tc>
      </w:tr>
      <w:tr>
        <w:tc>
          <w:tcPr>
            <w:tcW w:w="2547" w:type="dxa"/>
          </w:tcPr>
          <w:p>
            <w:pPr/>
            <w:r>
              <w:t xml:space="preserve">po_box</w:t>
            </w:r>
          </w:p>
        </w:tc>
        <w:tc>
          <w:tcPr>
            <w:tcW w:w="1393" w:type="dxa"/>
          </w:tcPr>
          <w:p>
            <w:pPr/>
            <w:r>
              <w:t xml:space="preserve">10</w:t>
            </w:r>
          </w:p>
        </w:tc>
        <w:tc>
          <w:tcPr>
            <w:tcW w:w="3056" w:type="dxa"/>
          </w:tcPr>
          <w:p>
            <w:pPr/>
            <w:r>
              <w:t xml:space="preserve">9%</w:t>
            </w:r>
          </w:p>
        </w:tc>
        <w:tc>
          <w:tcPr>
            <w:tcW w:w="2362" w:type="dxa"/>
          </w:tcPr>
          <w:p>
            <w:pPr/>
            <w:r>
              <w:t xml:space="preserve">NON-MATCH</w:t>
            </w:r>
          </w:p>
        </w:tc>
      </w:tr>
      <w:tr>
        <w:tc>
          <w:tcPr>
            <w:tcW w:w="2547" w:type="dxa"/>
          </w:tcPr>
          <w:p>
            <w:pPr/>
            <w:r>
              <w:t xml:space="preserve">building_name</w:t>
            </w:r>
          </w:p>
        </w:tc>
        <w:tc>
          <w:tcPr>
            <w:tcW w:w="1393" w:type="dxa"/>
          </w:tcPr>
          <w:p>
            <w:pPr/>
            <w:r>
              <w:t xml:space="preserve">5</w:t>
            </w:r>
          </w:p>
        </w:tc>
        <w:tc>
          <w:tcPr>
            <w:tcW w:w="3056" w:type="dxa"/>
          </w:tcPr>
          <w:p>
            <w:pPr/>
            <w:r>
              <w:t xml:space="preserve">5%</w:t>
            </w:r>
          </w:p>
        </w:tc>
        <w:tc>
          <w:tcPr>
            <w:tcW w:w="2362" w:type="dxa"/>
          </w:tcPr>
          <w:p>
            <w:pPr/>
            <w:r>
              <w:t xml:space="preserve">REVIEW</w:t>
            </w:r>
          </w:p>
        </w:tc>
      </w:tr>
      <w:tr>
        <w:tc>
          <w:tcPr>
            <w:tcW w:w="2547" w:type="dxa"/>
          </w:tcPr>
          <w:p>
            <w:pPr/>
            <w:r>
              <w:t xml:space="preserve">locality</w:t>
            </w:r>
          </w:p>
        </w:tc>
        <w:tc>
          <w:tcPr>
            <w:tcW w:w="1393" w:type="dxa"/>
          </w:tcPr>
          <w:p>
            <w:pPr/>
            <w:r>
              <w:t xml:space="preserve">5</w:t>
            </w:r>
          </w:p>
        </w:tc>
        <w:tc>
          <w:tcPr>
            <w:tcW w:w="3056" w:type="dxa"/>
          </w:tcPr>
          <w:p>
            <w:pPr/>
            <w:r>
              <w:t xml:space="preserve">5%</w:t>
            </w:r>
          </w:p>
        </w:tc>
        <w:tc>
          <w:tcPr>
            <w:tcW w:w="2362" w:type="dxa"/>
          </w:tcPr>
          <w:p>
            <w:pPr/>
            <w:r>
              <w:t xml:space="preserve">score only</w:t>
            </w:r>
          </w:p>
        </w:tc>
      </w:tr>
      <w:tr>
        <w:tc>
          <w:tcPr>
            <w:tcW w:w="2547" w:type="dxa"/>
          </w:tcPr>
          <w:p>
            <w:pPr/>
            <w:r>
              <w:t xml:space="preserve">state</w:t>
            </w:r>
          </w:p>
        </w:tc>
        <w:tc>
          <w:tcPr>
            <w:tcW w:w="1393" w:type="dxa"/>
          </w:tcPr>
          <w:p>
            <w:pPr/>
            <w:r>
              <w:t xml:space="preserve">5</w:t>
            </w:r>
          </w:p>
        </w:tc>
        <w:tc>
          <w:tcPr>
            <w:tcW w:w="3056" w:type="dxa"/>
          </w:tcPr>
          <w:p>
            <w:pPr/>
            <w:r>
              <w:t xml:space="preserve">5%</w:t>
            </w:r>
          </w:p>
        </w:tc>
        <w:tc>
          <w:tcPr>
            <w:tcW w:w="2362" w:type="dxa"/>
          </w:tcPr>
          <w:p>
            <w:pPr/>
            <w:r>
              <w:t xml:space="preserve">REVIEW</w:t>
            </w:r>
          </w:p>
        </w:tc>
      </w:tr>
      <w:tr>
        <w:tc>
          <w:tcPr>
            <w:tcW w:w="2547" w:type="dxa"/>
          </w:tcPr>
          <w:p>
            <w:pPr/>
            <w:r>
              <w:t xml:space="preserve">country</w:t>
            </w:r>
          </w:p>
        </w:tc>
        <w:tc>
          <w:tcPr>
            <w:tcW w:w="1393" w:type="dxa"/>
          </w:tcPr>
          <w:p>
            <w:pPr/>
            <w:r>
              <w:t xml:space="preserve">5</w:t>
            </w:r>
          </w:p>
        </w:tc>
        <w:tc>
          <w:tcPr>
            <w:tcW w:w="3056" w:type="dxa"/>
          </w:tcPr>
          <w:p>
            <w:pPr/>
            <w:r>
              <w:t xml:space="preserve">5%</w:t>
            </w:r>
          </w:p>
        </w:tc>
        <w:tc>
          <w:tcPr>
            <w:tcW w:w="2362" w:type="dxa"/>
          </w:tcPr>
          <w:p>
            <w:pPr/>
            <w:r>
              <w:t xml:space="preserve">NON-MATCH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2263"/>
        <w:gridCol w:w="3977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2263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3977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similarity.text_match</w:t>
            </w:r>
          </w:p>
        </w:tc>
        <w:tc>
          <w:tcPr>
            <w:tcW w:w="2263" w:type="dxa"/>
          </w:tcPr>
          <w:p>
            <w:pPr/>
            <w:r>
              <w:t xml:space="preserve">0.90</w:t>
            </w:r>
          </w:p>
        </w:tc>
        <w:tc>
          <w:tcPr>
            <w:tcW w:w="3977" w:type="dxa"/>
          </w:tcPr>
          <w:p>
            <w:pPr/>
            <w:r>
              <w:t xml:space="preserve">Free-text MATCH cut-off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similarity.text_similar</w:t>
            </w:r>
          </w:p>
        </w:tc>
        <w:tc>
          <w:tcPr>
            <w:tcW w:w="2263" w:type="dxa"/>
          </w:tcPr>
          <w:p>
            <w:pPr/>
            <w:r>
              <w:t xml:space="preserve">0.75</w:t>
            </w:r>
          </w:p>
        </w:tc>
        <w:tc>
          <w:tcPr>
            <w:tcW w:w="3977" w:type="dxa"/>
          </w:tcPr>
          <w:p>
            <w:pPr/>
            <w:r>
              <w:t xml:space="preserve">Free-text SIMILAR cut-off; below is CONFLICT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similarity.max_expansions</w:t>
            </w:r>
          </w:p>
        </w:tc>
        <w:tc>
          <w:tcPr>
            <w:tcW w:w="2263" w:type="dxa"/>
          </w:tcPr>
          <w:p>
            <w:pPr/>
            <w:r>
              <w:t xml:space="preserve">5</w:t>
            </w:r>
          </w:p>
        </w:tc>
        <w:tc>
          <w:tcPr>
            <w:tcW w:w="3977" w:type="dxa"/>
          </w:tcPr>
          <w:p>
            <w:pPr/>
            <w:r>
              <w:t xml:space="preserve">libpostal expansions kept per field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thresholds.match</w:t>
            </w:r>
          </w:p>
        </w:tc>
        <w:tc>
          <w:tcPr>
            <w:tcW w:w="2263" w:type="dxa"/>
          </w:tcPr>
          <w:p>
            <w:pPr/>
            <w:r>
              <w:t xml:space="preserve">85</w:t>
            </w:r>
          </w:p>
        </w:tc>
        <w:tc>
          <w:tcPr>
            <w:tcW w:w="3977" w:type="dxa"/>
          </w:tcPr>
          <w:p>
            <w:pPr/>
            <w:r>
              <w:t xml:space="preserve">Minimum score for MATCH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thresholds.non_match</w:t>
            </w:r>
          </w:p>
        </w:tc>
        <w:tc>
          <w:tcPr>
            <w:tcW w:w="2263" w:type="dxa"/>
          </w:tcPr>
          <w:p>
            <w:pPr/>
            <w:r>
              <w:t xml:space="preserve">50</w:t>
            </w:r>
          </w:p>
        </w:tc>
        <w:tc>
          <w:tcPr>
            <w:tcW w:w="3977" w:type="dxa"/>
          </w:tcPr>
          <w:p>
            <w:pPr/>
            <w:r>
              <w:t xml:space="preserve">Below this, NON-MATCH (if coverage is enough)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thresholds.min_coverage</w:t>
            </w:r>
          </w:p>
        </w:tc>
        <w:tc>
          <w:tcPr>
            <w:tcW w:w="2263" w:type="dxa"/>
          </w:tcPr>
          <w:p>
            <w:pPr/>
            <w:r>
              <w:t xml:space="preserve">0.60</w:t>
            </w:r>
          </w:p>
        </w:tc>
        <w:tc>
          <w:tcPr>
            <w:tcW w:w="3977" w:type="dxa"/>
          </w:tcPr>
          <w:p>
            <w:pPr/>
            <w:r>
              <w:t xml:space="preserve">Coverage needed before MATCH or score-based NON-MATCH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rules.match_requires</w:t>
            </w:r>
          </w:p>
        </w:tc>
        <w:tc>
          <w:tcPr>
            <w:tcW w:w="2263" w:type="dxa"/>
          </w:tcPr>
          <w:p>
            <w:pPr/>
            <w:r>
              <w:t xml:space="preserve">3 groups</w:t>
            </w:r>
          </w:p>
        </w:tc>
        <w:tc>
          <w:tcPr>
            <w:tcW w:w="3977" w:type="dxa"/>
          </w:tcPr>
          <w:p>
            <w:pPr/>
            <w:r>
              <w:t xml:space="preserve">At least one MATCHED field from each: {road, po_box}; {house_number, building_name, po_box}; {postcode, city, locality}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rules.review_if_missing_one_side</w:t>
            </w:r>
          </w:p>
        </w:tc>
        <w:tc>
          <w:tcPr>
            <w:tcW w:w="2263" w:type="dxa"/>
          </w:tcPr>
          <w:p>
            <w:pPr/>
            <w:r>
              <w:t xml:space="preserve">house_number, unit</w:t>
            </w:r>
          </w:p>
        </w:tc>
        <w:tc>
          <w:tcPr>
            <w:tcW w:w="3977" w:type="dxa"/>
          </w:tcPr>
          <w:p>
            <w:pPr/>
            <w:r>
              <w:t xml:space="preserve">Present on one side only blocks MATCH</w:t>
            </w:r>
          </w:p>
        </w:tc>
      </w:tr>
    </w:tbl>
    <w:p>
      <w:pPr/>
      <w:r>
        <w:t xml:space="preserve">The config is validated on load (thresholds ordered, weights non-negative, known contradiction actions) and fingerprinted with SHA-256, so cached job results are not reused after a config change.</w:t>
      </w:r>
    </w:p>
    <w:p>
      <w:pPr/>
      <w:r>
        <w:rPr>
          <w:b/>
        </w:rPr>
        <w:t xml:space="preserve">Illustrative example</w:t>
      </w:r>
      <w:r>
        <w:t xml:space="preserve"> (assumed parse, not a test run): "12 Main St, Apt 4B, Springfield IL 62701" vs "12 Main Street #4B, Springfield, Illinois 62701". House number, road, unit, postcode and city match at 1.0 (weight 80); suppose state scores 0.80 as SIMILAR (weight 5). Score = 100 x (80 + 4) / 85 = 99, coverage 1.0, all three evidence groups met, so MATCH. Change the house number to 21 and the result is NON-MATCH from the hard conflict, even though the score would still be about 70.</w:t>
      </w:r>
    </w:p>
    <w:p>
      <w:pPr>
        <w:pStyle w:val="Heading2"/>
      </w:pPr>
      <w:r>
        <w:t xml:space="preserve">5. Final decision and outputs</w:t>
      </w:r>
    </w:p>
    <w:p>
      <w:pPr/>
      <w:r>
        <w:t xml:space="preserve">The decision is a fixed precedence ladder in </w:t>
      </w:r>
      <w:r>
        <w:rPr>
          <w:rStyle w:val="CodeChar"/>
        </w:rPr>
        <w:t xml:space="preserve">decision.py</w:t>
      </w:r>
      <w:r>
        <w:t xml:space="preserve">; the first rule that fires wins, and the score is consulted only after the conflict rules.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90"/>
        <w:gridCol w:w="4351"/>
        <w:gridCol w:w="1621"/>
        <w:gridCol w:w="2598"/>
      </w:tblGrid>
      <w:tr>
        <w:trPr>
          <w:tblHeader/>
        </w:trPr>
        <w:tc>
          <w:tcPr>
            <w:tcW w:w="790" w:type="dxa"/>
            <w:shd w:val="clear" w:color="auto" w:fill="F2F2F2"/>
          </w:tcPr>
          <w:p>
            <w:pPr/>
            <w:r>
              <w:t xml:space="preserve">Order</w:t>
            </w:r>
          </w:p>
        </w:tc>
        <w:tc>
          <w:tcPr>
            <w:tcW w:w="4351" w:type="dxa"/>
            <w:shd w:val="clear" w:color="auto" w:fill="F2F2F2"/>
          </w:tcPr>
          <w:p>
            <w:pPr/>
            <w:r>
              <w:t xml:space="preserve">Condition</w:t>
            </w:r>
          </w:p>
        </w:tc>
        <w:tc>
          <w:tcPr>
            <w:tcW w:w="1621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2598" w:type="dxa"/>
            <w:shd w:val="clear" w:color="auto" w:fill="F2F2F2"/>
          </w:tcPr>
          <w:p>
            <w:pPr/>
            <w:r>
              <w:t xml:space="preserve">Reason code</w:t>
            </w:r>
          </w:p>
        </w:tc>
      </w:tr>
      <w:tr>
        <w:tc>
          <w:tcPr>
            <w:tcW w:w="790" w:type="dxa"/>
          </w:tcPr>
          <w:p>
            <w:pPr/>
            <w:r>
              <w:t xml:space="preserve">0</w:t>
            </w:r>
          </w:p>
        </w:tc>
        <w:tc>
          <w:tcPr>
            <w:tcW w:w="4351" w:type="dxa"/>
          </w:tcPr>
          <w:p>
            <w:pPr/>
            <w:r>
              <w:t xml:space="preserve">Either address empty or normalization failed (</w:t>
            </w:r>
            <w:r>
              <w:rPr>
                <w:rStyle w:val="CodeChar"/>
              </w:rPr>
              <w:t xml:space="preserve">matcher.py</w:t>
            </w:r>
            <w:r>
              <w:t xml:space="preserve">)</w:t>
            </w:r>
          </w:p>
        </w:tc>
        <w:tc>
          <w:tcPr>
            <w:tcW w:w="1621" w:type="dxa"/>
          </w:tcPr>
          <w:p>
            <w:pPr/>
            <w:r>
              <w:t xml:space="preserve">REVIEW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empty_address</w:t>
            </w:r>
            <w:r>
              <w:t xml:space="preserve">, </w:t>
            </w:r>
            <w:r>
              <w:rPr>
                <w:rStyle w:val="CodeChar"/>
              </w:rPr>
              <w:t xml:space="preserve">normalization_failed</w:t>
            </w:r>
          </w:p>
        </w:tc>
      </w:tr>
      <w:tr>
        <w:tc>
          <w:tcPr>
            <w:tcW w:w="790" w:type="dxa"/>
          </w:tcPr>
          <w:p>
            <w:pPr/>
            <w:r>
              <w:t xml:space="preserve">1</w:t>
            </w:r>
          </w:p>
        </w:tc>
        <w:tc>
          <w:tcPr>
            <w:tcW w:w="4351" w:type="dxa"/>
          </w:tcPr>
          <w:p>
            <w:pPr/>
            <w:r>
              <w:t xml:space="preserve">No weighted field present on both sides</w:t>
            </w:r>
          </w:p>
        </w:tc>
        <w:tc>
          <w:tcPr>
            <w:tcW w:w="1621" w:type="dxa"/>
          </w:tcPr>
          <w:p>
            <w:pPr/>
            <w:r>
              <w:t xml:space="preserve">REVIEW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no_comparable_components</w:t>
            </w:r>
          </w:p>
        </w:tc>
      </w:tr>
      <w:tr>
        <w:tc>
          <w:tcPr>
            <w:tcW w:w="790" w:type="dxa"/>
          </w:tcPr>
          <w:p>
            <w:pPr/>
            <w:r>
              <w:t xml:space="preserve">2</w:t>
            </w:r>
          </w:p>
        </w:tc>
        <w:tc>
          <w:tcPr>
            <w:tcW w:w="4351" w:type="dxa"/>
          </w:tcPr>
          <w:p>
            <w:pPr/>
            <w:r>
              <w:t xml:space="preserve">CONFLICT on a </w:t>
            </w:r>
            <w:r>
              <w:rPr>
                <w:rStyle w:val="CodeChar"/>
              </w:rPr>
              <w:t xml:space="preserve">non_match</w:t>
            </w:r>
            <w:r>
              <w:t xml:space="preserve"> field (house number, unit, road, PO box, country)</w:t>
            </w:r>
          </w:p>
        </w:tc>
        <w:tc>
          <w:tcPr>
            <w:tcW w:w="1621" w:type="dxa"/>
          </w:tcPr>
          <w:p>
            <w:pPr/>
            <w:r>
              <w:t xml:space="preserve">NON-MATCH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&lt;field&gt;_conflict</w:t>
            </w:r>
          </w:p>
        </w:tc>
      </w:tr>
      <w:tr>
        <w:tc>
          <w:tcPr>
            <w:tcW w:w="790" w:type="dxa"/>
          </w:tcPr>
          <w:p>
            <w:pPr/>
            <w:r>
              <w:t xml:space="preserve">3</w:t>
            </w:r>
          </w:p>
        </w:tc>
        <w:tc>
          <w:tcPr>
            <w:tcW w:w="4351" w:type="dxa"/>
          </w:tcPr>
          <w:p>
            <w:pPr/>
            <w:r>
              <w:t xml:space="preserve">CONFLICT on a </w:t>
            </w:r>
            <w:r>
              <w:rPr>
                <w:rStyle w:val="CodeChar"/>
              </w:rPr>
              <w:t xml:space="preserve">review</w:t>
            </w:r>
            <w:r>
              <w:t xml:space="preserve"> field (postcode, city, state, building name)</w:t>
            </w:r>
          </w:p>
        </w:tc>
        <w:tc>
          <w:tcPr>
            <w:tcW w:w="1621" w:type="dxa"/>
          </w:tcPr>
          <w:p>
            <w:pPr/>
            <w:r>
              <w:t xml:space="preserve">REVIEW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&lt;field&gt;_conflict</w:t>
            </w:r>
          </w:p>
        </w:tc>
      </w:tr>
      <w:tr>
        <w:tc>
          <w:tcPr>
            <w:tcW w:w="790" w:type="dxa"/>
          </w:tcPr>
          <w:p>
            <w:pPr/>
            <w:r>
              <w:t xml:space="preserve">4</w:t>
            </w:r>
          </w:p>
        </w:tc>
        <w:tc>
          <w:tcPr>
            <w:tcW w:w="4351" w:type="dxa"/>
          </w:tcPr>
          <w:p>
            <w:pPr/>
            <w:r>
              <w:t xml:space="preserve">Score at least 85, coverage at least 0.60, every evidence group met, no house number or unit on one side only</w:t>
            </w:r>
          </w:p>
        </w:tc>
        <w:tc>
          <w:tcPr>
            <w:tcW w:w="1621" w:type="dxa"/>
          </w:tcPr>
          <w:p>
            <w:pPr/>
            <w:r>
              <w:t xml:space="preserve">MATCH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strong_agreement</w:t>
            </w:r>
          </w:p>
        </w:tc>
      </w:tr>
      <w:tr>
        <w:tc>
          <w:tcPr>
            <w:tcW w:w="790" w:type="dxa"/>
          </w:tcPr>
          <w:p>
            <w:pPr/>
            <w:r>
              <w:t xml:space="preserve">5</w:t>
            </w:r>
          </w:p>
        </w:tc>
        <w:tc>
          <w:tcPr>
            <w:tcW w:w="4351" w:type="dxa"/>
          </w:tcPr>
          <w:p>
            <w:pPr/>
            <w:r>
              <w:t xml:space="preserve">Score under 50 and coverage at least 0.60</w:t>
            </w:r>
          </w:p>
        </w:tc>
        <w:tc>
          <w:tcPr>
            <w:tcW w:w="1621" w:type="dxa"/>
          </w:tcPr>
          <w:p>
            <w:pPr/>
            <w:r>
              <w:t xml:space="preserve">NON-MATCH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low_score</w:t>
            </w:r>
          </w:p>
        </w:tc>
      </w:tr>
      <w:tr>
        <w:tc>
          <w:tcPr>
            <w:tcW w:w="790" w:type="dxa"/>
          </w:tcPr>
          <w:p>
            <w:pPr/>
            <w:r>
              <w:t xml:space="preserve">6</w:t>
            </w:r>
          </w:p>
        </w:tc>
        <w:tc>
          <w:tcPr>
            <w:tcW w:w="4351" w:type="dxa"/>
          </w:tcPr>
          <w:p>
            <w:pPr/>
            <w:r>
              <w:t xml:space="preserve">Anything else</w:t>
            </w:r>
          </w:p>
        </w:tc>
        <w:tc>
          <w:tcPr>
            <w:tcW w:w="1621" w:type="dxa"/>
          </w:tcPr>
          <w:p>
            <w:pPr/>
            <w:r>
              <w:t xml:space="preserve">REVIEW</w:t>
            </w:r>
          </w:p>
        </w:tc>
        <w:tc>
          <w:tcPr>
            <w:tcW w:w="2598" w:type="dxa"/>
          </w:tcPr>
          <w:p>
            <w:pPr/>
            <w:r>
              <w:rPr>
                <w:rStyle w:val="CodeChar"/>
              </w:rPr>
              <w:t xml:space="preserve">&lt;field&gt;_missing_one_side</w:t>
            </w:r>
            <w:r>
              <w:t xml:space="preserve">, </w:t>
            </w:r>
            <w:r>
              <w:rPr>
                <w:rStyle w:val="CodeChar"/>
              </w:rPr>
              <w:t xml:space="preserve">insufficient_evidence:...</w:t>
            </w:r>
            <w:r>
              <w:t xml:space="preserve">, </w:t>
            </w:r>
            <w:r>
              <w:rPr>
                <w:rStyle w:val="CodeChar"/>
              </w:rPr>
              <w:t xml:space="preserve">low_coverage</w:t>
            </w:r>
            <w:r>
              <w:t xml:space="preserve"> or </w:t>
            </w:r>
            <w:r>
              <w:rPr>
                <w:rStyle w:val="CodeChar"/>
              </w:rPr>
              <w:t xml:space="preserve">borderline_score</w:t>
            </w:r>
          </w:p>
        </w:tc>
      </w:tr>
    </w:tbl>
    <w:p>
      <w:pPr/>
      <w:r>
        <w:t xml:space="preserve">An unexpected exception on a row becomes REVIEW with </w:t>
      </w:r>
      <w:r>
        <w:rPr>
          <w:rStyle w:val="CodeChar"/>
        </w:rPr>
        <w:t xml:space="preserve">processing_error</w:t>
      </w:r>
      <w:r>
        <w:t xml:space="preserve">, so a bad row never drops out of the file.</w:t>
      </w:r>
    </w:p>
    <w:p>
      <w:pPr/>
      <w:r>
        <w:rPr>
          <w:b/>
        </w:rPr>
        <w:t xml:space="preserve">Explanation.</w:t>
      </w:r>
      <w:r>
        <w:t xml:space="preserve"> </w:t>
      </w:r>
      <w:r>
        <w:rPr>
          <w:rStyle w:val="CodeChar"/>
        </w:rPr>
        <w:t xml:space="preserve">explanation.py</w:t>
      </w:r>
      <w:r>
        <w:t xml:space="preserve"> builds up to four clauses only from computed comparisons, e.g. "Building number differs: 12 vs 21; street, postal code and city match."</w:t>
      </w:r>
    </w:p>
    <w:p>
      <w:pPr/>
      <w:r>
        <w:rPr>
          <w:b/>
        </w:rPr>
        <w:t xml:space="preserve">Output.</w:t>
      </w:r>
      <w:r>
        <w:t xml:space="preserve"> The result workbook has exactly five columns: AddressA, AddressB, normalized_AddressA, normalized_AddressB and Result, where Result reads </w:t>
      </w:r>
      <w:r>
        <w:rPr>
          <w:rStyle w:val="CodeChar"/>
        </w:rPr>
        <w:t xml:space="preserve">MATCH | Score: 99/100 | &lt;explanation&gt;</w:t>
      </w:r>
      <w:r>
        <w:t xml:space="preserve">. Per-field details and reason codes are kept as JSON in the job store for the chat and Reasons tab.</w:t>
      </w:r>
    </w:p>
    <w:p>
      <w:pPr/>
      <w:r>
        <w:rPr>
          <w:b/>
        </w:rPr>
        <w:t xml:space="preserve">Orchestration and UI.</w:t>
      </w:r>
      <w:r>
        <w:t xml:space="preserve"> A LangGraph workflow (</w:t>
      </w:r>
      <w:r>
        <w:rPr>
          <w:rStyle w:val="CodeChar"/>
        </w:rPr>
        <w:t xml:space="preserve">workflow.py</w:t>
      </w:r>
      <w:r>
        <w:t xml:space="preserve">) runs validate_input, process_batch (looping per 200 rows), write_output and finalize, with resume from the last saved batch on retry and an atomic file write. The Streamlit app (</w:t>
      </w:r>
      <w:r>
        <w:rPr>
          <w:rStyle w:val="CodeChar"/>
        </w:rPr>
        <w:t xml:space="preserve">app/streamlit_app.py</w:t>
      </w:r>
      <w:r>
        <w:t xml:space="preserve">) uploads the file, starts a background job, shows progress, a Preview and Reasons tab, the download, and a follow-up chat. The chat answers fixed intents (summary, rows by decision, rows by field conflict, top reasons, export); an optional OpenAI-compatible LLM only classifies the question into an intent and never sees addresses.</w:t>
      </w:r>
    </w:p>
    <w:p>
      <w:pPr>
        <w:pStyle w:val="Heading2"/>
      </w:pPr>
      <w:r>
        <w:t xml:space="preserve">6. Design notes for review</w:t>
      </w:r>
    </w:p>
    <w:p>
      <w:pPr/>
      <w:r>
        <w:t xml:space="preserve">The engine is conservative by design: it prefers REVIEW over a wrong MATCH, and the main open question is calibration, not structure.</w:t>
      </w:r>
    </w:p>
    <w:p>
      <w:pPr/>
      <w:r>
        <w:rPr>
          <w:b/>
        </w:rPr>
        <w:t xml:space="preserve">Strengths</w:t>
      </w:r>
    </w:p>
    <w:p>
      <w:pPr>
        <w:pStyle w:val="ListParagraph"/>
        <w:numPr>
          <w:ilvl w:val="0"/>
          <w:numId w:val="6"/>
        </w:numPr>
      </w:pPr>
      <w:r>
        <w:t xml:space="preserve">Deterministic and auditable: same input and config give the same output, every explanation clause traces to a computed comparison, and the config fingerprint ties results to settings.</w:t>
      </w:r>
    </w:p>
    <w:p>
      <w:pPr>
        <w:pStyle w:val="ListParagraph"/>
        <w:numPr>
          <w:ilvl w:val="0"/>
          <w:numId w:val="6"/>
        </w:numPr>
      </w:pPr>
      <w:r>
        <w:t xml:space="preserve">Clean separation: parsing (libpostal), comparison, scoring and decision are separate modules with a narrow </w:t>
      </w:r>
      <w:r>
        <w:rPr>
          <w:rStyle w:val="CodeChar"/>
        </w:rPr>
        <w:t xml:space="preserve">NormalizerBackend</w:t>
      </w:r>
      <w:r>
        <w:t xml:space="preserve"> interface, so libpostal could be swapped or mocked.</w:t>
      </w:r>
    </w:p>
    <w:p>
      <w:pPr>
        <w:pStyle w:val="ListParagraph"/>
        <w:numPr>
          <w:ilvl w:val="0"/>
          <w:numId w:val="6"/>
        </w:numPr>
      </w:pPr>
      <w:r>
        <w:t xml:space="preserve">Safe failure: empty, unparsable or erroring rows become REVIEW with a reason; jobs resume from the last batch; output is written atomically.</w:t>
      </w:r>
    </w:p>
    <w:p>
      <w:pPr>
        <w:pStyle w:val="ListParagraph"/>
        <w:numPr>
          <w:ilvl w:val="0"/>
          <w:numId w:val="6"/>
        </w:numPr>
      </w:pPr>
      <w:r>
        <w:t xml:space="preserve">LLM is kept out of the decision path entirely.</w:t>
      </w:r>
    </w:p>
    <w:p>
      <w:pPr/>
      <w:r>
        <w:rPr>
          <w:b/>
        </w:rPr>
        <w:t xml:space="preserve">Risks and gaps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60"/>
        <w:gridCol w:w="4070"/>
        <w:gridCol w:w="2830"/>
      </w:tblGrid>
      <w:tr>
        <w:trPr>
          <w:tblHeader/>
        </w:trPr>
        <w:tc>
          <w:tcPr>
            <w:tcW w:w="246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070" w:type="dxa"/>
            <w:shd w:val="clear" w:color="auto" w:fill="F2F2F2"/>
          </w:tcPr>
          <w:p>
            <w:pPr/>
            <w:r>
              <w:t xml:space="preserve">Observation</w:t>
            </w:r>
          </w:p>
        </w:tc>
        <w:tc>
          <w:tcPr>
            <w:tcW w:w="2830" w:type="dxa"/>
            <w:shd w:val="clear" w:color="auto" w:fill="F2F2F2"/>
          </w:tcPr>
          <w:p>
            <w:pPr/>
            <w:r>
              <w:t xml:space="preserve">Suggested action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Calibration</w:t>
            </w:r>
          </w:p>
        </w:tc>
        <w:tc>
          <w:tcPr>
            <w:tcW w:w="4070" w:type="dxa"/>
          </w:tcPr>
          <w:p>
            <w:pPr/>
            <w:r>
              <w:t xml:space="preserve">All weights and thresholds are judgement values, as </w:t>
            </w:r>
            <w:r>
              <w:rPr>
                <w:rStyle w:val="CodeChar"/>
              </w:rPr>
              <w:t xml:space="preserve">scoring.toml</w:t>
            </w:r>
            <w:r>
              <w:t xml:space="preserve"> itself states</w:t>
            </w:r>
          </w:p>
        </w:tc>
        <w:tc>
          <w:tcPr>
            <w:tcW w:w="2830" w:type="dxa"/>
          </w:tcPr>
          <w:p>
            <w:pPr/>
            <w:r>
              <w:t xml:space="preserve">Label a few hundred real pairs and run </w:t>
            </w:r>
            <w:r>
              <w:rPr>
                <w:rStyle w:val="CodeChar"/>
              </w:rPr>
              <w:t xml:space="preserve">scripts/evaluate.py --sweep</w:t>
            </w:r>
            <w:r>
              <w:t xml:space="preserve"> to tune for precision, false-match rate and review rate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Road conflicts</w:t>
            </w:r>
          </w:p>
        </w:tc>
        <w:tc>
          <w:tcPr>
            <w:tcW w:w="4070" w:type="dxa"/>
          </w:tcPr>
          <w:p>
            <w:pPr/>
            <w:r>
              <w:t xml:space="preserve">Road similarity under 0.75 is a hard NON-MATCH, so local aliases ("MG Road" vs "Mahatma Gandhi Road") or transliteration may be wrongly rejected</w:t>
            </w:r>
          </w:p>
        </w:tc>
        <w:tc>
          <w:tcPr>
            <w:tcW w:w="2830" w:type="dxa"/>
          </w:tcPr>
          <w:p>
            <w:pPr/>
            <w:r>
              <w:t xml:space="preserve">Consider </w:t>
            </w:r>
            <w:r>
              <w:rPr>
                <w:rStyle w:val="CodeChar"/>
              </w:rPr>
              <w:t xml:space="preserve">review</w:t>
            </w:r>
            <w:r>
              <w:t xml:space="preserve"> for road, or an alias dictionary before fuzzy scoring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City aliases</w:t>
            </w:r>
          </w:p>
        </w:tc>
        <w:tc>
          <w:tcPr>
            <w:tcW w:w="4070" w:type="dxa"/>
          </w:tcPr>
          <w:p>
            <w:pPr/>
            <w:r>
              <w:t xml:space="preserve">Bombay vs Mumbai type pairs fall to REVIEW, adding manual load</w:t>
            </w:r>
          </w:p>
        </w:tc>
        <w:tc>
          <w:tcPr>
            <w:tcW w:w="2830" w:type="dxa"/>
          </w:tcPr>
          <w:p>
            <w:pPr/>
            <w:r>
              <w:t xml:space="preserve">Add a city alias table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Parser dependence</w:t>
            </w:r>
          </w:p>
        </w:tc>
        <w:tc>
          <w:tcPr>
            <w:tcW w:w="4070" w:type="dxa"/>
          </w:tcPr>
          <w:p>
            <w:pPr/>
            <w:r>
              <w:t xml:space="preserve">A libpostal mislabel (common on Indian and free-form addresses) flows straight into a false conflict</w:t>
            </w:r>
          </w:p>
        </w:tc>
        <w:tc>
          <w:tcPr>
            <w:tcW w:w="2830" w:type="dxa"/>
          </w:tcPr>
          <w:p>
            <w:pPr/>
            <w:r>
              <w:t xml:space="preserve">Track </w:t>
            </w:r>
            <w:r>
              <w:rPr>
                <w:rStyle w:val="CodeChar"/>
              </w:rPr>
              <w:t xml:space="preserve">&lt;field&gt;_conflict</w:t>
            </w:r>
            <w:r>
              <w:t xml:space="preserve"> rates by region; consider a fallback parse or REVIEW when libpostal confidence is low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House number ranges</w:t>
            </w:r>
          </w:p>
        </w:tc>
        <w:tc>
          <w:tcPr>
            <w:tcW w:w="4070" w:type="dxa"/>
          </w:tcPr>
          <w:p>
            <w:pPr/>
            <w:r>
              <w:t xml:space="preserve">"12-14" vs "12" canonicalize differently and conflict</w:t>
            </w:r>
          </w:p>
        </w:tc>
        <w:tc>
          <w:tcPr>
            <w:tcW w:w="2830" w:type="dxa"/>
          </w:tcPr>
          <w:p>
            <w:pPr/>
            <w:r>
              <w:t xml:space="preserve">Add range handling if the data has them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Scope</w:t>
            </w:r>
          </w:p>
        </w:tc>
        <w:tc>
          <w:tcPr>
            <w:tcW w:w="4070" w:type="dxa"/>
          </w:tcPr>
          <w:p>
            <w:pPr/>
            <w:r>
              <w:t xml:space="preserve">Pairwise only; no blocking or candidate search</w:t>
            </w:r>
          </w:p>
        </w:tc>
        <w:tc>
          <w:tcPr>
            <w:tcW w:w="2830" w:type="dxa"/>
          </w:tcPr>
          <w:p>
            <w:pPr/>
            <w:r>
              <w:t xml:space="preserve">Needed only if the use case becomes "find this address in a master list"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Throughput</w:t>
            </w:r>
          </w:p>
        </w:tc>
        <w:tc>
          <w:tcPr>
            <w:tcW w:w="4070" w:type="dxa"/>
          </w:tcPr>
          <w:p>
            <w:pPr/>
            <w:r>
              <w:t xml:space="preserve">libpostal calls are serialized by a lock and default </w:t>
            </w:r>
            <w:r>
              <w:rPr>
                <w:rStyle w:val="CodeChar"/>
              </w:rPr>
              <w:t xml:space="preserve">MAX_CONCURRENT_JOBS</w:t>
            </w:r>
            <w:r>
              <w:t xml:space="preserve"> is 1; about 2 GB RAM per process</w:t>
            </w:r>
          </w:p>
        </w:tc>
        <w:tc>
          <w:tcPr>
            <w:tcW w:w="2830" w:type="dxa"/>
          </w:tcPr>
          <w:p>
            <w:pPr/>
            <w:r>
              <w:t xml:space="preserve">Scale with processes, not threads</w:t>
            </w:r>
          </w:p>
        </w:tc>
      </w:tr>
      <w:tr>
        <w:tc>
          <w:tcPr>
            <w:tcW w:w="2460" w:type="dxa"/>
          </w:tcPr>
          <w:p>
            <w:pPr/>
            <w:r>
              <w:t xml:space="preserve">Repo hygiene</w:t>
            </w:r>
          </w:p>
        </w:tc>
        <w:tc>
          <w:tcPr>
            <w:tcW w:w="4070" w:type="dxa"/>
          </w:tcPr>
          <w:p>
            <w:pPr/>
            <w:r>
              <w:rPr>
                <w:rStyle w:val="CodeChar"/>
              </w:rPr>
              <w:t xml:space="preserve">app/</w:t>
            </w:r>
            <w:r>
              <w:t xml:space="preserve"> has three versions of the Streamlit app (</w:t>
            </w:r>
            <w:r>
              <w:rPr>
                <w:rStyle w:val="CodeChar"/>
              </w:rPr>
              <w:t xml:space="preserve">streamlit_app.py</w:t>
            </w:r>
            <w:r>
              <w:t xml:space="preserve">, </w:t>
            </w:r>
            <w:r>
              <w:rPr>
                <w:rStyle w:val="CodeChar"/>
              </w:rPr>
              <w:t xml:space="preserve">streamlit_app copy.py</w:t>
            </w:r>
            <w:r>
              <w:t xml:space="preserve">, </w:t>
            </w:r>
            <w:r>
              <w:rPr>
                <w:rStyle w:val="CodeChar"/>
              </w:rPr>
              <w:t xml:space="preserve">streamlit_app_modified.py</w:t>
            </w:r>
            <w:r>
              <w:t xml:space="preserve">), plus an Excel lock file and </w:t>
            </w:r>
            <w:r>
              <w:rPr>
                <w:rStyle w:val="CodeChar"/>
              </w:rPr>
              <w:t xml:space="preserve">.DS_Store</w:t>
            </w:r>
            <w:r>
              <w:t xml:space="preserve"> committed</w:t>
            </w:r>
          </w:p>
        </w:tc>
        <w:tc>
          <w:tcPr>
            <w:tcW w:w="2830" w:type="dxa"/>
          </w:tcPr>
          <w:p>
            <w:pPr/>
            <w:r>
              <w:t xml:space="preserve">Keep one entry point and remove stray files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Address Matching Logic End-to-End Design</dc:title>
  <dc:description>Claude Docs node/0846298e-d29b@9 docx-w7</dc:description>
  <cp:revision>9</cp:revision>
</cp:coreProperties>
</file>