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6B2C91"/>
          <w:sz w:val="48"/>
          <w:szCs w:val="48"/>
        </w:rPr>
        <w:t xml:space="preserve">REQUEST FOR INFORMATION</w:t>
      </w:r>
    </w:p>
    <w:p>
      <w:pPr>
        <w:spacing w:before="120"/>
        <w:jc w:val="center"/>
      </w:pPr>
      <w:r>
        <w:rPr>
          <w:rFonts w:ascii="Calibri" w:cs="Calibri" w:eastAsia="Calibri" w:hAnsi="Calibri"/>
          <w:b/>
          <w:bCs/>
          <w:color w:val="4A1E66"/>
          <w:sz w:val="56"/>
          <w:szCs w:val="56"/>
        </w:rPr>
        <w:t xml:space="preserve">RESPONSE</w:t>
      </w:r>
    </w:p>
    <w:p>
      <w:pPr>
        <w:spacing w:before="600"/>
        <w:jc w:val="center"/>
      </w:pPr>
      <w:r>
        <w:rPr>
          <w:rFonts w:ascii="Calibri" w:cs="Calibri" w:eastAsia="Calibri" w:hAnsi="Calibri"/>
          <w:i/>
          <w:iCs/>
          <w:color w:val="222222"/>
          <w:sz w:val="32"/>
          <w:szCs w:val="32"/>
        </w:rPr>
        <w:t xml:space="preserve">Contract Digitization Project</w:t>
      </w:r>
    </w:p>
    <w:p>
      <w:pPr>
        <w:spacing w:before="1800"/>
        <w:jc w:val="center"/>
      </w:pPr>
      <w:r>
        <w:rPr>
          <w:rFonts w:ascii="Calibri" w:cs="Calibri" w:eastAsia="Calibri" w:hAnsi="Calibri"/>
          <w:color w:val="555555"/>
          <w:sz w:val="22"/>
          <w:szCs w:val="22"/>
        </w:rPr>
        <w:t xml:space="preserve">Submitted By</w:t>
      </w:r>
    </w:p>
    <w:p>
      <w:pPr>
        <w:spacing w:before="120"/>
        <w:jc w:val="center"/>
      </w:pPr>
      <w:r>
        <w:rPr>
          <w:rFonts w:ascii="Calibri" w:cs="Calibri" w:eastAsia="Calibri" w:hAnsi="Calibri"/>
          <w:b/>
          <w:bCs/>
          <w:color w:val="6B2C91"/>
          <w:sz w:val="44"/>
          <w:szCs w:val="44"/>
        </w:rPr>
        <w:t xml:space="preserve">THIQATECH</w:t>
      </w:r>
    </w:p>
    <w:p>
      <w:pPr>
        <w:spacing w:before="60"/>
        <w:jc w:val="center"/>
      </w:pPr>
      <w:r>
        <w:rPr>
          <w:rFonts w:ascii="Calibri" w:cs="Calibri" w:eastAsia="Calibri" w:hAnsi="Calibri"/>
          <w:i/>
          <w:iCs/>
          <w:color w:val="555555"/>
          <w:sz w:val="22"/>
          <w:szCs w:val="22"/>
        </w:rPr>
        <w:t xml:space="preserve">Software Development &amp; Digital Transformation Solutions</w:t>
      </w:r>
    </w:p>
    <w:p>
      <w:pPr>
        <w:spacing w:before="1200"/>
        <w:jc w:val="center"/>
      </w:pPr>
      <w:r>
        <w:rPr>
          <w:rFonts w:ascii="Calibri" w:cs="Calibri" w:eastAsia="Calibri" w:hAnsi="Calibri"/>
          <w:i/>
          <w:iCs/>
          <w:color w:val="555555"/>
          <w:sz w:val="18"/>
          <w:szCs w:val="18"/>
        </w:rPr>
        <w:t xml:space="preserve">Confidential — For Recipient's Internal Evaluation Only</w:t>
      </w:r>
    </w:p>
    <w:p>
      <w:r>
        <w:br w:type="page"/>
      </w:r>
    </w:p>
    <w:p>
      <w:pPr>
        <w:pStyle w:val="Heading1"/>
        <w:pBdr>
          <w:bottom w:val="single" w:color="6B2C91" w:sz="12" w:space="6"/>
        </w:pBdr>
        <w:spacing w:after="180" w:before="360"/>
      </w:pPr>
      <w:r>
        <w:rPr>
          <w:rFonts w:ascii="Calibri" w:cs="Calibri" w:eastAsia="Calibri" w:hAnsi="Calibri"/>
          <w:b/>
          <w:bCs/>
          <w:color w:val="6B2C91"/>
          <w:sz w:val="30"/>
          <w:szCs w:val="30"/>
        </w:rPr>
        <w:t xml:space="preserve">Document Structure</w:t>
      </w:r>
    </w:p>
    <w:p>
      <w:pPr>
        <w:spacing w:after="60" w:before="60" w:line="300"/>
        <w:jc w:val="both"/>
      </w:pPr>
      <w:r>
        <w:rPr>
          <w:rFonts w:ascii="Calibri" w:cs="Calibri" w:eastAsia="Calibri" w:hAnsi="Calibri"/>
          <w:b w:val="false"/>
          <w:bCs w:val="false"/>
          <w:i w:val="false"/>
          <w:iCs w:val="false"/>
          <w:color w:val="222222"/>
          <w:sz w:val="22"/>
          <w:szCs w:val="22"/>
        </w:rPr>
        <w:t xml:space="preserve">This response addresses every requirement set forth in the RFI for the Contract Digitization Project. It is organised in the following sections:</w:t>
      </w:r>
    </w:p>
    <w:p>
      <w:pPr>
        <w:pStyle w:val="ListParagraph"/>
        <w:numPr>
          <w:ilvl w:val="0"/>
          <w:numId w:val="2"/>
        </w:numPr>
        <w:spacing w:after="40" w:before="40" w:line="280"/>
      </w:pPr>
      <w:r>
        <w:rPr>
          <w:rFonts w:ascii="Calibri" w:cs="Calibri" w:eastAsia="Calibri" w:hAnsi="Calibri"/>
          <w:color w:val="222222"/>
          <w:sz w:val="22"/>
          <w:szCs w:val="22"/>
        </w:rPr>
        <w:t xml:space="preserve">1. Cover Letter &amp; Acknowledgments</w:t>
      </w:r>
    </w:p>
    <w:p>
      <w:pPr>
        <w:pStyle w:val="ListParagraph"/>
        <w:numPr>
          <w:ilvl w:val="0"/>
          <w:numId w:val="2"/>
        </w:numPr>
        <w:spacing w:after="40" w:before="40" w:line="280"/>
      </w:pPr>
      <w:r>
        <w:rPr>
          <w:rFonts w:ascii="Calibri" w:cs="Calibri" w:eastAsia="Calibri" w:hAnsi="Calibri"/>
          <w:color w:val="222222"/>
          <w:sz w:val="22"/>
          <w:szCs w:val="22"/>
        </w:rPr>
        <w:t xml:space="preserve">2. Company Profile &amp; Eligibility</w:t>
      </w:r>
    </w:p>
    <w:p>
      <w:pPr>
        <w:pStyle w:val="ListParagraph"/>
        <w:numPr>
          <w:ilvl w:val="0"/>
          <w:numId w:val="2"/>
        </w:numPr>
        <w:spacing w:after="40" w:before="40" w:line="280"/>
      </w:pPr>
      <w:r>
        <w:rPr>
          <w:rFonts w:ascii="Calibri" w:cs="Calibri" w:eastAsia="Calibri" w:hAnsi="Calibri"/>
          <w:color w:val="222222"/>
          <w:sz w:val="22"/>
          <w:szCs w:val="22"/>
        </w:rPr>
        <w:t xml:space="preserve">3. Understanding of Requirements</w:t>
      </w:r>
    </w:p>
    <w:p>
      <w:pPr>
        <w:pStyle w:val="ListParagraph"/>
        <w:numPr>
          <w:ilvl w:val="0"/>
          <w:numId w:val="2"/>
        </w:numPr>
        <w:spacing w:after="40" w:before="40" w:line="280"/>
      </w:pPr>
      <w:r>
        <w:rPr>
          <w:rFonts w:ascii="Calibri" w:cs="Calibri" w:eastAsia="Calibri" w:hAnsi="Calibri"/>
          <w:color w:val="222222"/>
          <w:sz w:val="22"/>
          <w:szCs w:val="22"/>
        </w:rPr>
        <w:t xml:space="preserve">4. Proposed Solution Overview</w:t>
      </w:r>
    </w:p>
    <w:p>
      <w:pPr>
        <w:pStyle w:val="ListParagraph"/>
        <w:numPr>
          <w:ilvl w:val="0"/>
          <w:numId w:val="2"/>
        </w:numPr>
        <w:spacing w:after="40" w:before="40" w:line="280"/>
      </w:pPr>
      <w:r>
        <w:rPr>
          <w:rFonts w:ascii="Calibri" w:cs="Calibri" w:eastAsia="Calibri" w:hAnsi="Calibri"/>
          <w:color w:val="222222"/>
          <w:sz w:val="22"/>
          <w:szCs w:val="22"/>
        </w:rPr>
        <w:t xml:space="preserve">5. Scope of Work Coverage</w:t>
      </w:r>
    </w:p>
    <w:p>
      <w:pPr>
        <w:pStyle w:val="ListParagraph"/>
        <w:numPr>
          <w:ilvl w:val="0"/>
          <w:numId w:val="2"/>
        </w:numPr>
        <w:spacing w:after="40" w:before="40" w:line="280"/>
      </w:pPr>
      <w:r>
        <w:rPr>
          <w:rFonts w:ascii="Calibri" w:cs="Calibri" w:eastAsia="Calibri" w:hAnsi="Calibri"/>
          <w:color w:val="222222"/>
          <w:sz w:val="22"/>
          <w:szCs w:val="22"/>
        </w:rPr>
        <w:t xml:space="preserve">6. Data Model &amp; Key Entities</w:t>
      </w:r>
    </w:p>
    <w:p>
      <w:pPr>
        <w:pStyle w:val="ListParagraph"/>
        <w:numPr>
          <w:ilvl w:val="0"/>
          <w:numId w:val="2"/>
        </w:numPr>
        <w:spacing w:after="40" w:before="40" w:line="280"/>
      </w:pPr>
      <w:r>
        <w:rPr>
          <w:rFonts w:ascii="Calibri" w:cs="Calibri" w:eastAsia="Calibri" w:hAnsi="Calibri"/>
          <w:color w:val="222222"/>
          <w:sz w:val="22"/>
          <w:szCs w:val="22"/>
        </w:rPr>
        <w:t xml:space="preserve">7. Adoption &amp; User Experience Enhancements</w:t>
      </w:r>
    </w:p>
    <w:p>
      <w:pPr>
        <w:pStyle w:val="ListParagraph"/>
        <w:numPr>
          <w:ilvl w:val="0"/>
          <w:numId w:val="2"/>
        </w:numPr>
        <w:spacing w:after="40" w:before="40" w:line="280"/>
      </w:pPr>
      <w:r>
        <w:rPr>
          <w:rFonts w:ascii="Calibri" w:cs="Calibri" w:eastAsia="Calibri" w:hAnsi="Calibri"/>
          <w:color w:val="222222"/>
          <w:sz w:val="22"/>
          <w:szCs w:val="22"/>
        </w:rPr>
        <w:t xml:space="preserve">8. KPIs &amp; Governance Framework</w:t>
      </w:r>
    </w:p>
    <w:p>
      <w:pPr>
        <w:pStyle w:val="ListParagraph"/>
        <w:numPr>
          <w:ilvl w:val="0"/>
          <w:numId w:val="2"/>
        </w:numPr>
        <w:spacing w:after="40" w:before="40" w:line="280"/>
      </w:pPr>
      <w:r>
        <w:rPr>
          <w:rFonts w:ascii="Calibri" w:cs="Calibri" w:eastAsia="Calibri" w:hAnsi="Calibri"/>
          <w:color w:val="222222"/>
          <w:sz w:val="22"/>
          <w:szCs w:val="22"/>
        </w:rPr>
        <w:t xml:space="preserve">9. Technical Architecture &amp; Design</w:t>
      </w:r>
    </w:p>
    <w:p>
      <w:pPr>
        <w:pStyle w:val="ListParagraph"/>
        <w:numPr>
          <w:ilvl w:val="0"/>
          <w:numId w:val="2"/>
        </w:numPr>
        <w:spacing w:after="40" w:before="40" w:line="280"/>
      </w:pPr>
      <w:r>
        <w:rPr>
          <w:rFonts w:ascii="Calibri" w:cs="Calibri" w:eastAsia="Calibri" w:hAnsi="Calibri"/>
          <w:color w:val="222222"/>
          <w:sz w:val="22"/>
          <w:szCs w:val="22"/>
        </w:rPr>
        <w:t xml:space="preserve">10. Architecture Diagram</w:t>
      </w:r>
    </w:p>
    <w:p>
      <w:pPr>
        <w:pStyle w:val="ListParagraph"/>
        <w:numPr>
          <w:ilvl w:val="0"/>
          <w:numId w:val="2"/>
        </w:numPr>
        <w:spacing w:after="40" w:before="40" w:line="280"/>
      </w:pPr>
      <w:r>
        <w:rPr>
          <w:rFonts w:ascii="Calibri" w:cs="Calibri" w:eastAsia="Calibri" w:hAnsi="Calibri"/>
          <w:color w:val="222222"/>
          <w:sz w:val="22"/>
          <w:szCs w:val="22"/>
        </w:rPr>
        <w:t xml:space="preserve">11. Database Recommendation &amp; Flexibility</w:t>
      </w:r>
    </w:p>
    <w:p>
      <w:pPr>
        <w:pStyle w:val="ListParagraph"/>
        <w:numPr>
          <w:ilvl w:val="0"/>
          <w:numId w:val="2"/>
        </w:numPr>
        <w:spacing w:after="40" w:before="40" w:line="280"/>
      </w:pPr>
      <w:r>
        <w:rPr>
          <w:rFonts w:ascii="Calibri" w:cs="Calibri" w:eastAsia="Calibri" w:hAnsi="Calibri"/>
          <w:color w:val="222222"/>
          <w:sz w:val="22"/>
          <w:szCs w:val="22"/>
        </w:rPr>
        <w:t xml:space="preserve">12. Security &amp; Compliance Framework</w:t>
      </w:r>
    </w:p>
    <w:p>
      <w:pPr>
        <w:pStyle w:val="ListParagraph"/>
        <w:numPr>
          <w:ilvl w:val="0"/>
          <w:numId w:val="2"/>
        </w:numPr>
        <w:spacing w:after="40" w:before="40" w:line="280"/>
      </w:pPr>
      <w:r>
        <w:rPr>
          <w:rFonts w:ascii="Calibri" w:cs="Calibri" w:eastAsia="Calibri" w:hAnsi="Calibri"/>
          <w:color w:val="222222"/>
          <w:sz w:val="22"/>
          <w:szCs w:val="22"/>
        </w:rPr>
        <w:t xml:space="preserve">13. Integration Capabilities</w:t>
      </w:r>
    </w:p>
    <w:p>
      <w:pPr>
        <w:pStyle w:val="ListParagraph"/>
        <w:numPr>
          <w:ilvl w:val="0"/>
          <w:numId w:val="2"/>
        </w:numPr>
        <w:spacing w:after="40" w:before="40" w:line="280"/>
      </w:pPr>
      <w:r>
        <w:rPr>
          <w:rFonts w:ascii="Calibri" w:cs="Calibri" w:eastAsia="Calibri" w:hAnsi="Calibri"/>
          <w:color w:val="222222"/>
          <w:sz w:val="22"/>
          <w:szCs w:val="22"/>
        </w:rPr>
        <w:t xml:space="preserve">14. DevOps &amp; DevSecOps</w:t>
      </w:r>
    </w:p>
    <w:p>
      <w:pPr>
        <w:pStyle w:val="ListParagraph"/>
        <w:numPr>
          <w:ilvl w:val="0"/>
          <w:numId w:val="2"/>
        </w:numPr>
        <w:spacing w:after="40" w:before="40" w:line="280"/>
      </w:pPr>
      <w:r>
        <w:rPr>
          <w:rFonts w:ascii="Calibri" w:cs="Calibri" w:eastAsia="Calibri" w:hAnsi="Calibri"/>
          <w:color w:val="222222"/>
          <w:sz w:val="22"/>
          <w:szCs w:val="22"/>
        </w:rPr>
        <w:t xml:space="preserve">15. Infrastructure, Deployment &amp; Sizing</w:t>
      </w:r>
    </w:p>
    <w:p>
      <w:pPr>
        <w:pStyle w:val="ListParagraph"/>
        <w:numPr>
          <w:ilvl w:val="0"/>
          <w:numId w:val="2"/>
        </w:numPr>
        <w:spacing w:after="40" w:before="40" w:line="280"/>
      </w:pPr>
      <w:r>
        <w:rPr>
          <w:rFonts w:ascii="Calibri" w:cs="Calibri" w:eastAsia="Calibri" w:hAnsi="Calibri"/>
          <w:color w:val="222222"/>
          <w:sz w:val="22"/>
          <w:szCs w:val="22"/>
        </w:rPr>
        <w:t xml:space="preserve">16. Storage, Backup &amp; Data Lifecycle</w:t>
      </w:r>
    </w:p>
    <w:p>
      <w:pPr>
        <w:pStyle w:val="ListParagraph"/>
        <w:numPr>
          <w:ilvl w:val="0"/>
          <w:numId w:val="2"/>
        </w:numPr>
        <w:spacing w:after="40" w:before="40" w:line="280"/>
      </w:pPr>
      <w:r>
        <w:rPr>
          <w:rFonts w:ascii="Calibri" w:cs="Calibri" w:eastAsia="Calibri" w:hAnsi="Calibri"/>
          <w:color w:val="222222"/>
          <w:sz w:val="22"/>
          <w:szCs w:val="22"/>
        </w:rPr>
        <w:t xml:space="preserve">17. Scalability &amp; High Availability</w:t>
      </w:r>
    </w:p>
    <w:p>
      <w:pPr>
        <w:pStyle w:val="ListParagraph"/>
        <w:numPr>
          <w:ilvl w:val="0"/>
          <w:numId w:val="2"/>
        </w:numPr>
        <w:spacing w:after="40" w:before="40" w:line="280"/>
      </w:pPr>
      <w:r>
        <w:rPr>
          <w:rFonts w:ascii="Calibri" w:cs="Calibri" w:eastAsia="Calibri" w:hAnsi="Calibri"/>
          <w:color w:val="222222"/>
          <w:sz w:val="22"/>
          <w:szCs w:val="22"/>
        </w:rPr>
        <w:t xml:space="preserve">18. Project Plan, Phasing &amp; Timelines</w:t>
      </w:r>
    </w:p>
    <w:p>
      <w:pPr>
        <w:pStyle w:val="ListParagraph"/>
        <w:numPr>
          <w:ilvl w:val="0"/>
          <w:numId w:val="2"/>
        </w:numPr>
        <w:spacing w:after="40" w:before="40" w:line="280"/>
      </w:pPr>
      <w:r>
        <w:rPr>
          <w:rFonts w:ascii="Calibri" w:cs="Calibri" w:eastAsia="Calibri" w:hAnsi="Calibri"/>
          <w:color w:val="222222"/>
          <w:sz w:val="22"/>
          <w:szCs w:val="22"/>
        </w:rPr>
        <w:t xml:space="preserve">19. Software Licensing Details</w:t>
      </w:r>
    </w:p>
    <w:p>
      <w:pPr>
        <w:pStyle w:val="ListParagraph"/>
        <w:numPr>
          <w:ilvl w:val="0"/>
          <w:numId w:val="2"/>
        </w:numPr>
        <w:spacing w:after="40" w:before="40" w:line="280"/>
      </w:pPr>
      <w:r>
        <w:rPr>
          <w:rFonts w:ascii="Calibri" w:cs="Calibri" w:eastAsia="Calibri" w:hAnsi="Calibri"/>
          <w:color w:val="222222"/>
          <w:sz w:val="22"/>
          <w:szCs w:val="22"/>
        </w:rPr>
        <w:t xml:space="preserve">20. Support, Monitoring &amp; Managed Services</w:t>
      </w:r>
    </w:p>
    <w:p>
      <w:pPr>
        <w:pStyle w:val="ListParagraph"/>
        <w:numPr>
          <w:ilvl w:val="0"/>
          <w:numId w:val="2"/>
        </w:numPr>
        <w:spacing w:after="40" w:before="40" w:line="280"/>
      </w:pPr>
      <w:r>
        <w:rPr>
          <w:rFonts w:ascii="Calibri" w:cs="Calibri" w:eastAsia="Calibri" w:hAnsi="Calibri"/>
          <w:color w:val="222222"/>
          <w:sz w:val="22"/>
          <w:szCs w:val="22"/>
        </w:rPr>
        <w:t xml:space="preserve">21. Training &amp; Knowledge Enablement</w:t>
      </w:r>
    </w:p>
    <w:p>
      <w:pPr>
        <w:pStyle w:val="ListParagraph"/>
        <w:numPr>
          <w:ilvl w:val="0"/>
          <w:numId w:val="2"/>
        </w:numPr>
        <w:spacing w:after="40" w:before="40" w:line="280"/>
      </w:pPr>
      <w:r>
        <w:rPr>
          <w:rFonts w:ascii="Calibri" w:cs="Calibri" w:eastAsia="Calibri" w:hAnsi="Calibri"/>
          <w:color w:val="222222"/>
          <w:sz w:val="22"/>
          <w:szCs w:val="22"/>
        </w:rPr>
        <w:t xml:space="preserve">22. Technical Compliance Matrix</w:t>
      </w:r>
    </w:p>
    <w:p>
      <w:pPr>
        <w:pStyle w:val="ListParagraph"/>
        <w:numPr>
          <w:ilvl w:val="0"/>
          <w:numId w:val="2"/>
        </w:numPr>
        <w:spacing w:after="40" w:before="40" w:line="280"/>
      </w:pPr>
      <w:r>
        <w:rPr>
          <w:rFonts w:ascii="Calibri" w:cs="Calibri" w:eastAsia="Calibri" w:hAnsi="Calibri"/>
          <w:color w:val="222222"/>
          <w:sz w:val="22"/>
          <w:szCs w:val="22"/>
        </w:rPr>
        <w:t xml:space="preserve">23. Information Security Requirements Matrix (RFI Section 3d)</w:t>
      </w:r>
    </w:p>
    <w:p>
      <w:pPr>
        <w:pStyle w:val="ListParagraph"/>
        <w:numPr>
          <w:ilvl w:val="0"/>
          <w:numId w:val="2"/>
        </w:numPr>
        <w:spacing w:after="40" w:before="40" w:line="280"/>
      </w:pPr>
      <w:r>
        <w:rPr>
          <w:rFonts w:ascii="Calibri" w:cs="Calibri" w:eastAsia="Calibri" w:hAnsi="Calibri"/>
          <w:color w:val="222222"/>
          <w:sz w:val="22"/>
          <w:szCs w:val="22"/>
        </w:rPr>
        <w:t xml:space="preserve">24. Portal / Web Application Security Matrix</w:t>
      </w:r>
    </w:p>
    <w:p>
      <w:pPr>
        <w:pStyle w:val="ListParagraph"/>
        <w:numPr>
          <w:ilvl w:val="0"/>
          <w:numId w:val="2"/>
        </w:numPr>
        <w:spacing w:after="40" w:before="40" w:line="280"/>
      </w:pPr>
      <w:r>
        <w:rPr>
          <w:rFonts w:ascii="Calibri" w:cs="Calibri" w:eastAsia="Calibri" w:hAnsi="Calibri"/>
          <w:color w:val="222222"/>
          <w:sz w:val="22"/>
          <w:szCs w:val="22"/>
        </w:rPr>
        <w:t xml:space="preserve">25. Additional Enterprise &amp; Compliance Clarifications</w:t>
      </w:r>
    </w:p>
    <w:p>
      <w:pPr>
        <w:pStyle w:val="ListParagraph"/>
        <w:numPr>
          <w:ilvl w:val="0"/>
          <w:numId w:val="2"/>
        </w:numPr>
        <w:spacing w:after="40" w:before="40" w:line="280"/>
      </w:pPr>
      <w:r>
        <w:rPr>
          <w:rFonts w:ascii="Calibri" w:cs="Calibri" w:eastAsia="Calibri" w:hAnsi="Calibri"/>
          <w:color w:val="222222"/>
          <w:sz w:val="22"/>
          <w:szCs w:val="22"/>
        </w:rPr>
        <w:t xml:space="preserve">26. Value Proposition</w:t>
      </w:r>
    </w:p>
    <w:p>
      <w:pPr>
        <w:pStyle w:val="ListParagraph"/>
        <w:numPr>
          <w:ilvl w:val="0"/>
          <w:numId w:val="2"/>
        </w:numPr>
        <w:spacing w:after="40" w:before="40" w:line="280"/>
      </w:pPr>
      <w:r>
        <w:rPr>
          <w:rFonts w:ascii="Calibri" w:cs="Calibri" w:eastAsia="Calibri" w:hAnsi="Calibri"/>
          <w:color w:val="222222"/>
          <w:sz w:val="22"/>
          <w:szCs w:val="22"/>
        </w:rPr>
        <w:t xml:space="preserve">27. Conclusion</w:t>
      </w:r>
    </w:p>
    <w:p>
      <w:pPr>
        <w:pStyle w:val="ListParagraph"/>
        <w:numPr>
          <w:ilvl w:val="0"/>
          <w:numId w:val="2"/>
        </w:numPr>
        <w:spacing w:after="40" w:before="40" w:line="280"/>
      </w:pPr>
      <w:r>
        <w:rPr>
          <w:rFonts w:ascii="Calibri" w:cs="Calibri" w:eastAsia="Calibri" w:hAnsi="Calibri"/>
          <w:color w:val="222222"/>
          <w:sz w:val="22"/>
          <w:szCs w:val="22"/>
        </w:rPr>
        <w:t xml:space="preserve">28. Contact Information</w:t>
      </w:r>
    </w:p>
    <w:p>
      <w:r>
        <w:br w:type="page"/>
      </w:r>
    </w:p>
    <w:p>
      <w:pPr>
        <w:pStyle w:val="Heading1"/>
        <w:pBdr>
          <w:bottom w:val="single" w:color="6B2C91" w:sz="12" w:space="6"/>
        </w:pBdr>
        <w:spacing w:after="180" w:before="360"/>
      </w:pPr>
      <w:r>
        <w:rPr>
          <w:rFonts w:ascii="Calibri" w:cs="Calibri" w:eastAsia="Calibri" w:hAnsi="Calibri"/>
          <w:b/>
          <w:bCs/>
          <w:color w:val="6B2C91"/>
          <w:sz w:val="30"/>
          <w:szCs w:val="30"/>
        </w:rPr>
        <w:t xml:space="preserve">1. Cover Letter &amp; Acknowledgments</w:t>
      </w:r>
    </w:p>
    <w:p>
      <w:pPr>
        <w:spacing w:after="60" w:before="60" w:line="300"/>
        <w:jc w:val="both"/>
      </w:pPr>
      <w:r>
        <w:rPr>
          <w:rFonts w:ascii="Calibri" w:cs="Calibri" w:eastAsia="Calibri" w:hAnsi="Calibri"/>
          <w:b w:val="false"/>
          <w:bCs w:val="false"/>
          <w:i w:val="false"/>
          <w:iCs w:val="false"/>
          <w:color w:val="222222"/>
          <w:sz w:val="22"/>
          <w:szCs w:val="22"/>
        </w:rPr>
        <w:t xml:space="preserve">THIQATECH thanks the issuing organisation for the opportunity to respond to this Request for Information for the Contract Digitization Project. We have reviewed the RFI in full and are pleased to submit our response, which describes our proposed Digital Contract Management Platform, our technical approach, and our alignment with the requirements set out in Sections 3a, 3b, 3c, and 3d of the RFI.</w:t>
      </w:r>
    </w:p>
    <w:p>
      <w:pPr>
        <w:spacing w:after="60" w:before="60" w:line="300"/>
        <w:jc w:val="both"/>
      </w:pPr>
      <w:r>
        <w:rPr>
          <w:rFonts w:ascii="Calibri" w:cs="Calibri" w:eastAsia="Calibri" w:hAnsi="Calibri"/>
          <w:b w:val="false"/>
          <w:bCs w:val="false"/>
          <w:i w:val="false"/>
          <w:iCs w:val="false"/>
          <w:color w:val="222222"/>
          <w:sz w:val="22"/>
          <w:szCs w:val="22"/>
        </w:rPr>
        <w:t xml:space="preserve">This submission is made solely in response to the information-gathering objectives of the RFI and does not constitute a formal proposal, quotation, or commitment to contract. THIQATECH acknowledges that final engagement will be subject to a separate RFP/RFQ process and a formal contractual agreement.</w:t>
      </w:r>
    </w:p>
    <w:p>
      <w:pPr>
        <w:pStyle w:val="Heading2"/>
        <w:spacing w:after="120" w:before="240"/>
      </w:pPr>
      <w:r>
        <w:rPr>
          <w:rFonts w:ascii="Calibri" w:cs="Calibri" w:eastAsia="Calibri" w:hAnsi="Calibri"/>
          <w:b/>
          <w:bCs/>
          <w:color w:val="4A1E66"/>
          <w:sz w:val="26"/>
          <w:szCs w:val="26"/>
        </w:rPr>
        <w:t xml:space="preserve">1.1 Acknowledgment of RFI Terms &amp; Conditions</w:t>
      </w:r>
    </w:p>
    <w:p>
      <w:pPr>
        <w:spacing w:after="60" w:before="60" w:line="300"/>
        <w:jc w:val="both"/>
      </w:pPr>
      <w:r>
        <w:rPr>
          <w:rFonts w:ascii="Calibri" w:cs="Calibri" w:eastAsia="Calibri" w:hAnsi="Calibri"/>
          <w:b w:val="false"/>
          <w:bCs w:val="false"/>
          <w:i w:val="false"/>
          <w:iCs w:val="false"/>
          <w:color w:val="222222"/>
          <w:sz w:val="22"/>
          <w:szCs w:val="22"/>
        </w:rPr>
        <w:t xml:space="preserve">THIQATECH confirms acknowledgment and acceptance of all RFI Terms and Conditions outlined in Section 4 of the RFI, including but not limited to:</w:t>
      </w:r>
    </w:p>
    <w:p>
      <w:pPr>
        <w:pStyle w:val="ListParagraph"/>
        <w:numPr>
          <w:ilvl w:val="0"/>
          <w:numId w:val="2"/>
        </w:numPr>
        <w:spacing w:after="40" w:before="40" w:line="280"/>
      </w:pPr>
      <w:r>
        <w:rPr>
          <w:rFonts w:ascii="Calibri" w:cs="Calibri" w:eastAsia="Calibri" w:hAnsi="Calibri"/>
          <w:color w:val="222222"/>
          <w:sz w:val="22"/>
          <w:szCs w:val="22"/>
        </w:rPr>
        <w:t xml:space="preserve">The information-gathering and planning nature of this RFI</w:t>
      </w:r>
    </w:p>
    <w:p>
      <w:pPr>
        <w:pStyle w:val="ListParagraph"/>
        <w:numPr>
          <w:ilvl w:val="0"/>
          <w:numId w:val="2"/>
        </w:numPr>
        <w:spacing w:after="40" w:before="40" w:line="280"/>
      </w:pPr>
      <w:r>
        <w:rPr>
          <w:rFonts w:ascii="Calibri" w:cs="Calibri" w:eastAsia="Calibri" w:hAnsi="Calibri"/>
          <w:color w:val="222222"/>
          <w:sz w:val="22"/>
          <w:szCs w:val="22"/>
        </w:rPr>
        <w:t xml:space="preserve">The reserved right of the issuing organisation to initiate a formal procurement process at a later stage</w:t>
      </w:r>
    </w:p>
    <w:p>
      <w:pPr>
        <w:pStyle w:val="ListParagraph"/>
        <w:numPr>
          <w:ilvl w:val="0"/>
          <w:numId w:val="2"/>
        </w:numPr>
        <w:spacing w:after="40" w:before="40" w:line="280"/>
      </w:pPr>
      <w:r>
        <w:rPr>
          <w:rFonts w:ascii="Calibri" w:cs="Calibri" w:eastAsia="Calibri" w:hAnsi="Calibri"/>
          <w:color w:val="222222"/>
          <w:sz w:val="22"/>
          <w:szCs w:val="22"/>
        </w:rPr>
        <w:t xml:space="preserve">The confidentiality of the RFI document and all related information</w:t>
      </w:r>
    </w:p>
    <w:p>
      <w:pPr>
        <w:pStyle w:val="ListParagraph"/>
        <w:numPr>
          <w:ilvl w:val="0"/>
          <w:numId w:val="2"/>
        </w:numPr>
        <w:spacing w:after="40" w:before="40" w:line="280"/>
      </w:pPr>
      <w:r>
        <w:rPr>
          <w:rFonts w:ascii="Calibri" w:cs="Calibri" w:eastAsia="Calibri" w:hAnsi="Calibri"/>
          <w:color w:val="222222"/>
          <w:sz w:val="22"/>
          <w:szCs w:val="22"/>
        </w:rPr>
        <w:t xml:space="preserve">Compliance with all applicable laws and regulations, including anti-bribery and anti-corruption laws</w:t>
      </w:r>
    </w:p>
    <w:p>
      <w:pPr>
        <w:pStyle w:val="ListParagraph"/>
        <w:numPr>
          <w:ilvl w:val="0"/>
          <w:numId w:val="2"/>
        </w:numPr>
        <w:spacing w:after="40" w:before="40" w:line="280"/>
      </w:pPr>
      <w:r>
        <w:rPr>
          <w:rFonts w:ascii="Calibri" w:cs="Calibri" w:eastAsia="Calibri" w:hAnsi="Calibri"/>
          <w:color w:val="222222"/>
          <w:sz w:val="22"/>
          <w:szCs w:val="22"/>
        </w:rPr>
        <w:t xml:space="preserve">Non-disclosure of RFI contents to third parties without prior written consent</w:t>
      </w:r>
    </w:p>
    <w:p>
      <w:pPr>
        <w:pStyle w:val="ListParagraph"/>
        <w:numPr>
          <w:ilvl w:val="0"/>
          <w:numId w:val="2"/>
        </w:numPr>
        <w:spacing w:after="40" w:before="40" w:line="280"/>
      </w:pPr>
      <w:r>
        <w:rPr>
          <w:rFonts w:ascii="Calibri" w:cs="Calibri" w:eastAsia="Calibri" w:hAnsi="Calibri"/>
          <w:color w:val="222222"/>
          <w:sz w:val="22"/>
          <w:szCs w:val="22"/>
        </w:rPr>
        <w:t xml:space="preserve">Confirmation that information provided does not infringe any third-party intellectual property rights</w:t>
      </w:r>
    </w:p>
    <w:p>
      <w:pPr>
        <w:pStyle w:val="ListParagraph"/>
        <w:numPr>
          <w:ilvl w:val="0"/>
          <w:numId w:val="2"/>
        </w:numPr>
        <w:spacing w:after="40" w:before="40" w:line="280"/>
      </w:pPr>
      <w:r>
        <w:rPr>
          <w:rFonts w:ascii="Calibri" w:cs="Calibri" w:eastAsia="Calibri" w:hAnsi="Calibri"/>
          <w:color w:val="222222"/>
          <w:sz w:val="22"/>
          <w:szCs w:val="22"/>
        </w:rPr>
        <w:t xml:space="preserve">Acceptance that the RFI does not create any contractual relationship</w:t>
      </w:r>
    </w:p>
    <w:p>
      <w:pPr>
        <w:pStyle w:val="Heading2"/>
        <w:spacing w:after="120" w:before="240"/>
      </w:pPr>
      <w:r>
        <w:rPr>
          <w:rFonts w:ascii="Calibri" w:cs="Calibri" w:eastAsia="Calibri" w:hAnsi="Calibri"/>
          <w:b/>
          <w:bCs/>
          <w:color w:val="4A1E66"/>
          <w:sz w:val="26"/>
          <w:szCs w:val="26"/>
        </w:rPr>
        <w:t xml:space="preserve">1.2 Governing Law Acknowledgment</w:t>
      </w:r>
    </w:p>
    <w:p>
      <w:pPr>
        <w:spacing w:after="60" w:before="60" w:line="300"/>
        <w:jc w:val="both"/>
      </w:pPr>
      <w:r>
        <w:rPr>
          <w:rFonts w:ascii="Calibri" w:cs="Calibri" w:eastAsia="Calibri" w:hAnsi="Calibri"/>
          <w:b w:val="false"/>
          <w:bCs w:val="false"/>
          <w:i w:val="false"/>
          <w:iCs w:val="false"/>
          <w:color w:val="222222"/>
          <w:sz w:val="22"/>
          <w:szCs w:val="22"/>
        </w:rPr>
        <w:t xml:space="preserve">THIQATECH acknowledges that this RFI is governed by the laws of the Islamic Republic of Pakistan and that submission of this response shall be deemed as acceptance of the terms outlined in the RFI. THIQATECH agrees to align all engagement, contractual, regulatory, and data handling activities with applicable Pakistani laws and regulations, including but not limited to data protection, anti-corruption, taxation, and electronic transactions legislation.</w:t>
      </w:r>
    </w:p>
    <w:p>
      <w:pPr>
        <w:pStyle w:val="Heading1"/>
        <w:pBdr>
          <w:bottom w:val="single" w:color="6B2C91" w:sz="12" w:space="6"/>
        </w:pBdr>
        <w:spacing w:after="180" w:before="360"/>
      </w:pPr>
      <w:r>
        <w:rPr>
          <w:rFonts w:ascii="Calibri" w:cs="Calibri" w:eastAsia="Calibri" w:hAnsi="Calibri"/>
          <w:b/>
          <w:bCs/>
          <w:color w:val="6B2C91"/>
          <w:sz w:val="30"/>
          <w:szCs w:val="30"/>
        </w:rPr>
        <w:t xml:space="preserve">2. Company Profile &amp; Eligibility</w:t>
      </w:r>
    </w:p>
    <w:p>
      <w:pPr>
        <w:pStyle w:val="Heading2"/>
        <w:spacing w:after="120" w:before="240"/>
      </w:pPr>
      <w:r>
        <w:rPr>
          <w:rFonts w:ascii="Calibri" w:cs="Calibri" w:eastAsia="Calibri" w:hAnsi="Calibri"/>
          <w:b/>
          <w:bCs/>
          <w:color w:val="4A1E66"/>
          <w:sz w:val="26"/>
          <w:szCs w:val="26"/>
        </w:rPr>
        <w:t xml:space="preserve">2.1 Company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Attribute</w:t>
            </w:r>
          </w:p>
        </w:tc>
        <w:tc>
          <w:tcPr>
            <w:tcW w:type="dxa" w:w="63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Company Name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THIQATECH</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Business Nature</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Software Development &amp; Digital Transformation Solutions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Headquarters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Muscat, Sultanate of Oman</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Service Coverage</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Pakistan, GCC Region &amp; International Engagements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Primary Engagement Mode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Onshore / Offshore / Hybrid Delivery</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Website</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https://thiqatech.com/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Email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info@thiqatech.com</w:t>
            </w:r>
          </w:p>
        </w:tc>
      </w:tr>
    </w:tbl>
    <w:p>
      <w:pPr>
        <w:pStyle w:val="Heading2"/>
        <w:spacing w:after="120" w:before="240"/>
      </w:pPr>
      <w:r>
        <w:rPr>
          <w:rFonts w:ascii="Calibri" w:cs="Calibri" w:eastAsia="Calibri" w:hAnsi="Calibri"/>
          <w:b/>
          <w:bCs/>
          <w:color w:val="4A1E66"/>
          <w:sz w:val="26"/>
          <w:szCs w:val="26"/>
        </w:rPr>
        <w:t xml:space="preserve">2.2 Eligibility &amp; Tax Registration Confirmation</w:t>
      </w:r>
    </w:p>
    <w:p>
      <w:pPr>
        <w:spacing w:after="60" w:before="60" w:line="300"/>
        <w:jc w:val="both"/>
      </w:pPr>
      <w:r>
        <w:rPr>
          <w:rFonts w:ascii="Calibri" w:cs="Calibri" w:eastAsia="Calibri" w:hAnsi="Calibri"/>
          <w:b w:val="false"/>
          <w:bCs w:val="false"/>
          <w:i w:val="false"/>
          <w:iCs w:val="false"/>
          <w:color w:val="222222"/>
          <w:sz w:val="22"/>
          <w:szCs w:val="22"/>
        </w:rPr>
        <w:t xml:space="preserve">THIQATECH confirms that the organisation maintains the necessary legal and tax registrations required to participate in formal procurement processes. For the purposes of this RFI:</w:t>
      </w:r>
    </w:p>
    <w:p>
      <w:pPr>
        <w:pStyle w:val="ListParagraph"/>
        <w:numPr>
          <w:ilvl w:val="0"/>
          <w:numId w:val="2"/>
        </w:numPr>
        <w:spacing w:after="40" w:before="40" w:line="280"/>
      </w:pPr>
      <w:r>
        <w:rPr>
          <w:rFonts w:ascii="Calibri" w:cs="Calibri" w:eastAsia="Calibri" w:hAnsi="Calibri"/>
          <w:color w:val="222222"/>
          <w:sz w:val="22"/>
          <w:szCs w:val="22"/>
        </w:rPr>
        <w:t xml:space="preserve">THIQATECH is a legally registered entity operating in compliance with all applicable corporate laws of its jurisdiction of incorporation.</w:t>
      </w:r>
    </w:p>
    <w:p>
      <w:pPr>
        <w:pStyle w:val="ListParagraph"/>
        <w:numPr>
          <w:ilvl w:val="0"/>
          <w:numId w:val="2"/>
        </w:numPr>
        <w:spacing w:after="40" w:before="40" w:line="280"/>
      </w:pPr>
      <w:r>
        <w:rPr>
          <w:rFonts w:ascii="Calibri" w:cs="Calibri" w:eastAsia="Calibri" w:hAnsi="Calibri"/>
          <w:color w:val="222222"/>
          <w:sz w:val="22"/>
          <w:szCs w:val="22"/>
        </w:rPr>
        <w:t xml:space="preserve">For engagements within Pakistan, THIQATECH is willing and able to register or partner with a locally registered entity to satisfy Sales Tax and Income Tax registration requirements as mandated by the Federal Board of Revenue (FBR) and applicable provincial revenue authorities.</w:t>
      </w:r>
    </w:p>
    <w:p>
      <w:pPr>
        <w:pStyle w:val="ListParagraph"/>
        <w:numPr>
          <w:ilvl w:val="0"/>
          <w:numId w:val="2"/>
        </w:numPr>
        <w:spacing w:after="40" w:before="40" w:line="280"/>
      </w:pPr>
      <w:r>
        <w:rPr>
          <w:rFonts w:ascii="Calibri" w:cs="Calibri" w:eastAsia="Calibri" w:hAnsi="Calibri"/>
          <w:color w:val="222222"/>
          <w:sz w:val="22"/>
          <w:szCs w:val="22"/>
        </w:rPr>
        <w:t xml:space="preserve">Copies of tax registration certificates, incorporation documents, and applicable compliance certifications can be provided upon request during the formal procurement (RFP/RFQ) stage.</w:t>
      </w:r>
    </w:p>
    <w:p>
      <w:pPr>
        <w:pStyle w:val="ListParagraph"/>
        <w:numPr>
          <w:ilvl w:val="0"/>
          <w:numId w:val="2"/>
        </w:numPr>
        <w:spacing w:after="40" w:before="40" w:line="280"/>
      </w:pPr>
      <w:r>
        <w:rPr>
          <w:rFonts w:ascii="Calibri" w:cs="Calibri" w:eastAsia="Calibri" w:hAnsi="Calibri"/>
          <w:color w:val="222222"/>
          <w:sz w:val="22"/>
          <w:szCs w:val="22"/>
        </w:rPr>
        <w:t xml:space="preserve">THIQATECH confirms eligibility to submit information under this RFI and confirms there are no legal, regulatory, or contractual restrictions that would prevent participation in subsequent procurement stages.</w:t>
      </w:r>
    </w:p>
    <w:p>
      <w:pPr>
        <w:pStyle w:val="Heading2"/>
        <w:spacing w:after="120" w:before="240"/>
      </w:pPr>
      <w:r>
        <w:rPr>
          <w:rFonts w:ascii="Calibri" w:cs="Calibri" w:eastAsia="Calibri" w:hAnsi="Calibri"/>
          <w:b/>
          <w:bCs/>
          <w:color w:val="4A1E66"/>
          <w:sz w:val="26"/>
          <w:szCs w:val="26"/>
        </w:rPr>
        <w:t xml:space="preserve">2.3 Core Expertise</w:t>
      </w:r>
    </w:p>
    <w:p>
      <w:pPr>
        <w:pStyle w:val="ListParagraph"/>
        <w:numPr>
          <w:ilvl w:val="0"/>
          <w:numId w:val="2"/>
        </w:numPr>
        <w:spacing w:after="40" w:before="40" w:line="280"/>
      </w:pPr>
      <w:r>
        <w:rPr>
          <w:rFonts w:ascii="Calibri" w:cs="Calibri" w:eastAsia="Calibri" w:hAnsi="Calibri"/>
          <w:color w:val="222222"/>
          <w:sz w:val="22"/>
          <w:szCs w:val="22"/>
        </w:rPr>
        <w:t xml:space="preserve">Enterprise Software Development</w:t>
      </w:r>
    </w:p>
    <w:p>
      <w:pPr>
        <w:pStyle w:val="ListParagraph"/>
        <w:numPr>
          <w:ilvl w:val="0"/>
          <w:numId w:val="2"/>
        </w:numPr>
        <w:spacing w:after="40" w:before="40" w:line="280"/>
      </w:pPr>
      <w:r>
        <w:rPr>
          <w:rFonts w:ascii="Calibri" w:cs="Calibri" w:eastAsia="Calibri" w:hAnsi="Calibri"/>
          <w:color w:val="222222"/>
          <w:sz w:val="22"/>
          <w:szCs w:val="22"/>
        </w:rPr>
        <w:t xml:space="preserve">AI-Powered Platforms &amp; Document Intelligence</w:t>
      </w:r>
    </w:p>
    <w:p>
      <w:pPr>
        <w:pStyle w:val="ListParagraph"/>
        <w:numPr>
          <w:ilvl w:val="0"/>
          <w:numId w:val="2"/>
        </w:numPr>
        <w:spacing w:after="40" w:before="40" w:line="280"/>
      </w:pPr>
      <w:r>
        <w:rPr>
          <w:rFonts w:ascii="Calibri" w:cs="Calibri" w:eastAsia="Calibri" w:hAnsi="Calibri"/>
          <w:color w:val="222222"/>
          <w:sz w:val="22"/>
          <w:szCs w:val="22"/>
        </w:rPr>
        <w:t xml:space="preserve">OCR &amp; Document Digitization (English &amp; Arabic)</w:t>
      </w:r>
    </w:p>
    <w:p>
      <w:pPr>
        <w:pStyle w:val="ListParagraph"/>
        <w:numPr>
          <w:ilvl w:val="0"/>
          <w:numId w:val="2"/>
        </w:numPr>
        <w:spacing w:after="40" w:before="40" w:line="280"/>
      </w:pPr>
      <w:r>
        <w:rPr>
          <w:rFonts w:ascii="Calibri" w:cs="Calibri" w:eastAsia="Calibri" w:hAnsi="Calibri"/>
          <w:color w:val="222222"/>
          <w:sz w:val="22"/>
          <w:szCs w:val="22"/>
        </w:rPr>
        <w:t xml:space="preserve">Multi-Tenant SaaS Platforms</w:t>
      </w:r>
    </w:p>
    <w:p>
      <w:pPr>
        <w:pStyle w:val="ListParagraph"/>
        <w:numPr>
          <w:ilvl w:val="0"/>
          <w:numId w:val="2"/>
        </w:numPr>
        <w:spacing w:after="40" w:before="40" w:line="280"/>
      </w:pPr>
      <w:r>
        <w:rPr>
          <w:rFonts w:ascii="Calibri" w:cs="Calibri" w:eastAsia="Calibri" w:hAnsi="Calibri"/>
          <w:color w:val="222222"/>
          <w:sz w:val="22"/>
          <w:szCs w:val="22"/>
        </w:rPr>
        <w:t xml:space="preserve">Workflow Automation &amp; Business Process Management</w:t>
      </w:r>
    </w:p>
    <w:p>
      <w:pPr>
        <w:pStyle w:val="ListParagraph"/>
        <w:numPr>
          <w:ilvl w:val="0"/>
          <w:numId w:val="2"/>
        </w:numPr>
        <w:spacing w:after="40" w:before="40" w:line="280"/>
      </w:pPr>
      <w:r>
        <w:rPr>
          <w:rFonts w:ascii="Calibri" w:cs="Calibri" w:eastAsia="Calibri" w:hAnsi="Calibri"/>
          <w:color w:val="222222"/>
          <w:sz w:val="22"/>
          <w:szCs w:val="22"/>
        </w:rPr>
        <w:t xml:space="preserve">Cloud Infrastructure &amp; DevSecOps</w:t>
      </w:r>
    </w:p>
    <w:p>
      <w:pPr>
        <w:pStyle w:val="ListParagraph"/>
        <w:numPr>
          <w:ilvl w:val="0"/>
          <w:numId w:val="2"/>
        </w:numPr>
        <w:spacing w:after="40" w:before="40" w:line="280"/>
      </w:pPr>
      <w:r>
        <w:rPr>
          <w:rFonts w:ascii="Calibri" w:cs="Calibri" w:eastAsia="Calibri" w:hAnsi="Calibri"/>
          <w:color w:val="222222"/>
          <w:sz w:val="22"/>
          <w:szCs w:val="22"/>
        </w:rPr>
        <w:t xml:space="preserve">API Integrations &amp; Government System Integrations</w:t>
      </w:r>
    </w:p>
    <w:p>
      <w:pPr>
        <w:pStyle w:val="ListParagraph"/>
        <w:numPr>
          <w:ilvl w:val="0"/>
          <w:numId w:val="2"/>
        </w:numPr>
        <w:spacing w:after="40" w:before="40" w:line="280"/>
      </w:pPr>
      <w:r>
        <w:rPr>
          <w:rFonts w:ascii="Calibri" w:cs="Calibri" w:eastAsia="Calibri" w:hAnsi="Calibri"/>
          <w:color w:val="222222"/>
          <w:sz w:val="22"/>
          <w:szCs w:val="22"/>
        </w:rPr>
        <w:t xml:space="preserve">Enterprise Dashboards &amp; Analytics</w:t>
      </w:r>
    </w:p>
    <w:p>
      <w:pPr>
        <w:pStyle w:val="ListParagraph"/>
        <w:numPr>
          <w:ilvl w:val="0"/>
          <w:numId w:val="2"/>
        </w:numPr>
        <w:spacing w:after="40" w:before="40" w:line="280"/>
      </w:pPr>
      <w:r>
        <w:rPr>
          <w:rFonts w:ascii="Calibri" w:cs="Calibri" w:eastAsia="Calibri" w:hAnsi="Calibri"/>
          <w:color w:val="222222"/>
          <w:sz w:val="22"/>
          <w:szCs w:val="22"/>
        </w:rPr>
        <w:t xml:space="preserve">Secure Application Development (OWASP-aligned)</w:t>
      </w:r>
    </w:p>
    <w:p>
      <w:pPr>
        <w:pStyle w:val="Heading2"/>
        <w:spacing w:after="120" w:before="240"/>
      </w:pPr>
      <w:r>
        <w:rPr>
          <w:rFonts w:ascii="Calibri" w:cs="Calibri" w:eastAsia="Calibri" w:hAnsi="Calibri"/>
          <w:b/>
          <w:bCs/>
          <w:color w:val="4A1E66"/>
          <w:sz w:val="26"/>
          <w:szCs w:val="26"/>
        </w:rPr>
        <w:t xml:space="preserve">2.4 Relevant Experience</w:t>
      </w:r>
    </w:p>
    <w:p>
      <w:pPr>
        <w:spacing w:after="60" w:before="60" w:line="300"/>
        <w:jc w:val="both"/>
      </w:pPr>
      <w:r>
        <w:rPr>
          <w:rFonts w:ascii="Calibri" w:cs="Calibri" w:eastAsia="Calibri" w:hAnsi="Calibri"/>
          <w:b w:val="false"/>
          <w:bCs w:val="false"/>
          <w:i w:val="false"/>
          <w:iCs w:val="false"/>
          <w:color w:val="222222"/>
          <w:sz w:val="22"/>
          <w:szCs w:val="22"/>
        </w:rPr>
        <w:t xml:space="preserve">THIQATECH specialises in building scalable enterprise-grade digital platforms including:</w:t>
      </w:r>
    </w:p>
    <w:p>
      <w:pPr>
        <w:pStyle w:val="ListParagraph"/>
        <w:numPr>
          <w:ilvl w:val="0"/>
          <w:numId w:val="2"/>
        </w:numPr>
        <w:spacing w:after="40" w:before="40" w:line="280"/>
      </w:pPr>
      <w:r>
        <w:rPr>
          <w:rFonts w:ascii="Calibri" w:cs="Calibri" w:eastAsia="Calibri" w:hAnsi="Calibri"/>
          <w:color w:val="222222"/>
          <w:sz w:val="22"/>
          <w:szCs w:val="22"/>
        </w:rPr>
        <w:t xml:space="preserve">Contract Lifecycle Management Systems</w:t>
      </w:r>
    </w:p>
    <w:p>
      <w:pPr>
        <w:pStyle w:val="ListParagraph"/>
        <w:numPr>
          <w:ilvl w:val="0"/>
          <w:numId w:val="2"/>
        </w:numPr>
        <w:spacing w:after="40" w:before="40" w:line="280"/>
      </w:pPr>
      <w:r>
        <w:rPr>
          <w:rFonts w:ascii="Calibri" w:cs="Calibri" w:eastAsia="Calibri" w:hAnsi="Calibri"/>
          <w:color w:val="222222"/>
          <w:sz w:val="22"/>
          <w:szCs w:val="22"/>
        </w:rPr>
        <w:t xml:space="preserve">OCR-based Document Processing Platforms with bilingual support</w:t>
      </w:r>
    </w:p>
    <w:p>
      <w:pPr>
        <w:pStyle w:val="ListParagraph"/>
        <w:numPr>
          <w:ilvl w:val="0"/>
          <w:numId w:val="2"/>
        </w:numPr>
        <w:spacing w:after="40" w:before="40" w:line="280"/>
      </w:pPr>
      <w:r>
        <w:rPr>
          <w:rFonts w:ascii="Calibri" w:cs="Calibri" w:eastAsia="Calibri" w:hAnsi="Calibri"/>
          <w:color w:val="222222"/>
          <w:sz w:val="22"/>
          <w:szCs w:val="22"/>
        </w:rPr>
        <w:t xml:space="preserve">Multi-tenant SaaS Platforms with Row-Level Security</w:t>
      </w:r>
    </w:p>
    <w:p>
      <w:pPr>
        <w:pStyle w:val="ListParagraph"/>
        <w:numPr>
          <w:ilvl w:val="0"/>
          <w:numId w:val="2"/>
        </w:numPr>
        <w:spacing w:after="40" w:before="40" w:line="280"/>
      </w:pPr>
      <w:r>
        <w:rPr>
          <w:rFonts w:ascii="Calibri" w:cs="Calibri" w:eastAsia="Calibri" w:hAnsi="Calibri"/>
          <w:color w:val="222222"/>
          <w:sz w:val="22"/>
          <w:szCs w:val="22"/>
        </w:rPr>
        <w:t xml:space="preserve">ERP &amp; Workflow Automation Systems</w:t>
      </w:r>
    </w:p>
    <w:p>
      <w:pPr>
        <w:pStyle w:val="ListParagraph"/>
        <w:numPr>
          <w:ilvl w:val="0"/>
          <w:numId w:val="2"/>
        </w:numPr>
        <w:spacing w:after="40" w:before="40" w:line="280"/>
      </w:pPr>
      <w:r>
        <w:rPr>
          <w:rFonts w:ascii="Calibri" w:cs="Calibri" w:eastAsia="Calibri" w:hAnsi="Calibri"/>
          <w:color w:val="222222"/>
          <w:sz w:val="22"/>
          <w:szCs w:val="22"/>
        </w:rPr>
        <w:t xml:space="preserve">AI-integrated Enterprise Applications</w:t>
      </w:r>
    </w:p>
    <w:p>
      <w:pPr>
        <w:pStyle w:val="ListParagraph"/>
        <w:numPr>
          <w:ilvl w:val="0"/>
          <w:numId w:val="2"/>
        </w:numPr>
        <w:spacing w:after="40" w:before="40" w:line="280"/>
      </w:pPr>
      <w:r>
        <w:rPr>
          <w:rFonts w:ascii="Calibri" w:cs="Calibri" w:eastAsia="Calibri" w:hAnsi="Calibri"/>
          <w:color w:val="222222"/>
          <w:sz w:val="22"/>
          <w:szCs w:val="22"/>
        </w:rPr>
        <w:t xml:space="preserve">Government &amp; Customs Integration Projects (SOAP/REST based)</w:t>
      </w:r>
    </w:p>
    <w:p>
      <w:pPr>
        <w:pStyle w:val="ListParagraph"/>
        <w:numPr>
          <w:ilvl w:val="0"/>
          <w:numId w:val="2"/>
        </w:numPr>
        <w:spacing w:after="40" w:before="40" w:line="280"/>
      </w:pPr>
      <w:r>
        <w:rPr>
          <w:rFonts w:ascii="Calibri" w:cs="Calibri" w:eastAsia="Calibri" w:hAnsi="Calibri"/>
          <w:color w:val="222222"/>
          <w:sz w:val="22"/>
          <w:szCs w:val="22"/>
        </w:rPr>
        <w:t xml:space="preserve">Logistics, Property Management, and Fulfillment Management Platforms</w:t>
      </w:r>
    </w:p>
    <w:p>
      <w:pPr>
        <w:pStyle w:val="ListParagraph"/>
        <w:numPr>
          <w:ilvl w:val="0"/>
          <w:numId w:val="2"/>
        </w:numPr>
        <w:spacing w:after="40" w:before="40" w:line="280"/>
      </w:pPr>
      <w:r>
        <w:rPr>
          <w:rFonts w:ascii="Calibri" w:cs="Calibri" w:eastAsia="Calibri" w:hAnsi="Calibri"/>
          <w:color w:val="222222"/>
          <w:sz w:val="22"/>
          <w:szCs w:val="22"/>
        </w:rPr>
        <w:t xml:space="preserve">Banking and Financial Sector Integration Projects</w:t>
      </w:r>
    </w:p>
    <w:p>
      <w:pPr>
        <w:pStyle w:val="Heading1"/>
        <w:pBdr>
          <w:bottom w:val="single" w:color="6B2C91" w:sz="12" w:space="6"/>
        </w:pBdr>
        <w:spacing w:after="180" w:before="360"/>
      </w:pPr>
      <w:r>
        <w:rPr>
          <w:rFonts w:ascii="Calibri" w:cs="Calibri" w:eastAsia="Calibri" w:hAnsi="Calibri"/>
          <w:b/>
          <w:bCs/>
          <w:color w:val="6B2C91"/>
          <w:sz w:val="30"/>
          <w:szCs w:val="30"/>
        </w:rPr>
        <w:t xml:space="preserve">3. Understanding of Requirements</w:t>
      </w:r>
    </w:p>
    <w:p>
      <w:pPr>
        <w:spacing w:after="60" w:before="60" w:line="300"/>
        <w:jc w:val="both"/>
      </w:pPr>
      <w:r>
        <w:rPr>
          <w:rFonts w:ascii="Calibri" w:cs="Calibri" w:eastAsia="Calibri" w:hAnsi="Calibri"/>
          <w:b w:val="false"/>
          <w:bCs w:val="false"/>
          <w:i w:val="false"/>
          <w:iCs w:val="false"/>
          <w:color w:val="222222"/>
          <w:sz w:val="22"/>
          <w:szCs w:val="22"/>
        </w:rPr>
        <w:t xml:space="preserve">THIQATECH understands the objective of the Contract Digitization Project to be the implementation of a centralised, enterprise-grade Digital Contract Management Platform that will transform the way contracts are managed across all departments by introducing a unified, digital-first, AI-enabled approach.</w:t>
      </w:r>
    </w:p>
    <w:p>
      <w:pPr>
        <w:spacing w:after="60" w:before="60" w:line="300"/>
        <w:jc w:val="both"/>
      </w:pPr>
      <w:r>
        <w:rPr>
          <w:rFonts w:ascii="Calibri" w:cs="Calibri" w:eastAsia="Calibri" w:hAnsi="Calibri"/>
          <w:b w:val="false"/>
          <w:bCs w:val="false"/>
          <w:i w:val="false"/>
          <w:iCs w:val="false"/>
          <w:color w:val="222222"/>
          <w:sz w:val="22"/>
          <w:szCs w:val="22"/>
        </w:rPr>
        <w:t xml:space="preserve">Our understanding of the core challenges to be addressed includes the elimination of fragmented manual processes, the reduction of cycle times, the enforcement of governance through structured workflows and escalation matrices, the improvement of visibility through dashboards, and the boost of user adoption through user-friendly design and embedded knowledge transfer.</w:t>
      </w:r>
    </w:p>
    <w:p>
      <w:pPr>
        <w:spacing w:after="60" w:before="60" w:line="300"/>
        <w:jc w:val="both"/>
      </w:pPr>
      <w:r>
        <w:rPr>
          <w:rFonts w:ascii="Calibri" w:cs="Calibri" w:eastAsia="Calibri" w:hAnsi="Calibri"/>
          <w:b w:val="false"/>
          <w:bCs w:val="false"/>
          <w:i w:val="false"/>
          <w:iCs w:val="false"/>
          <w:color w:val="222222"/>
          <w:sz w:val="22"/>
          <w:szCs w:val="22"/>
        </w:rPr>
        <w:t xml:space="preserve">Our proposed solution will deliver the following outcomes, fully aligned with the project objectives stated in RFI Section 2c:</w:t>
      </w:r>
    </w:p>
    <w:p>
      <w:pPr>
        <w:pStyle w:val="ListParagraph"/>
        <w:numPr>
          <w:ilvl w:val="0"/>
          <w:numId w:val="2"/>
        </w:numPr>
        <w:spacing w:after="40" w:before="40" w:line="280"/>
      </w:pPr>
      <w:r>
        <w:rPr>
          <w:rFonts w:ascii="Calibri" w:cs="Calibri" w:eastAsia="Calibri" w:hAnsi="Calibri"/>
          <w:color w:val="222222"/>
          <w:sz w:val="22"/>
          <w:szCs w:val="22"/>
        </w:rPr>
        <w:t xml:space="preserve">Seamless initiation of contract requests through standardised intake forms</w:t>
      </w:r>
    </w:p>
    <w:p>
      <w:pPr>
        <w:pStyle w:val="ListParagraph"/>
        <w:numPr>
          <w:ilvl w:val="0"/>
          <w:numId w:val="2"/>
        </w:numPr>
        <w:spacing w:after="40" w:before="40" w:line="280"/>
      </w:pPr>
      <w:r>
        <w:rPr>
          <w:rFonts w:ascii="Calibri" w:cs="Calibri" w:eastAsia="Calibri" w:hAnsi="Calibri"/>
          <w:color w:val="222222"/>
          <w:sz w:val="22"/>
          <w:szCs w:val="22"/>
        </w:rPr>
        <w:t xml:space="preserve">Automated drafting using a centralised template repository with version control</w:t>
      </w:r>
    </w:p>
    <w:p>
      <w:pPr>
        <w:pStyle w:val="ListParagraph"/>
        <w:numPr>
          <w:ilvl w:val="0"/>
          <w:numId w:val="2"/>
        </w:numPr>
        <w:spacing w:after="40" w:before="40" w:line="280"/>
      </w:pPr>
      <w:r>
        <w:rPr>
          <w:rFonts w:ascii="Calibri" w:cs="Calibri" w:eastAsia="Calibri" w:hAnsi="Calibri"/>
          <w:color w:val="222222"/>
          <w:sz w:val="22"/>
          <w:szCs w:val="22"/>
        </w:rPr>
        <w:t xml:space="preserve">Collaborative review among internal teams and external parties via secure negotiation rooms</w:t>
      </w:r>
    </w:p>
    <w:p>
      <w:pPr>
        <w:pStyle w:val="ListParagraph"/>
        <w:numPr>
          <w:ilvl w:val="0"/>
          <w:numId w:val="2"/>
        </w:numPr>
        <w:spacing w:after="40" w:before="40" w:line="280"/>
      </w:pPr>
      <w:r>
        <w:rPr>
          <w:rFonts w:ascii="Calibri" w:cs="Calibri" w:eastAsia="Calibri" w:hAnsi="Calibri"/>
          <w:color w:val="222222"/>
          <w:sz w:val="22"/>
          <w:szCs w:val="22"/>
        </w:rPr>
        <w:t xml:space="preserve">Secure execution with e-signature integration and wet-signature handling</w:t>
      </w:r>
    </w:p>
    <w:p>
      <w:pPr>
        <w:pStyle w:val="ListParagraph"/>
        <w:numPr>
          <w:ilvl w:val="0"/>
          <w:numId w:val="2"/>
        </w:numPr>
        <w:spacing w:after="40" w:before="40" w:line="280"/>
      </w:pPr>
      <w:r>
        <w:rPr>
          <w:rFonts w:ascii="Calibri" w:cs="Calibri" w:eastAsia="Calibri" w:hAnsi="Calibri"/>
          <w:color w:val="222222"/>
          <w:sz w:val="22"/>
          <w:szCs w:val="22"/>
        </w:rPr>
        <w:t xml:space="preserve">Post-execution management including storage, tracking, obligations management, renewals, and analytics</w:t>
      </w:r>
    </w:p>
    <w:p>
      <w:pPr>
        <w:pStyle w:val="ListParagraph"/>
        <w:numPr>
          <w:ilvl w:val="0"/>
          <w:numId w:val="2"/>
        </w:numPr>
        <w:spacing w:after="40" w:before="40" w:line="280"/>
      </w:pPr>
      <w:r>
        <w:rPr>
          <w:rFonts w:ascii="Calibri" w:cs="Calibri" w:eastAsia="Calibri" w:hAnsi="Calibri"/>
          <w:color w:val="222222"/>
          <w:sz w:val="22"/>
          <w:szCs w:val="22"/>
        </w:rPr>
        <w:t xml:space="preserve">Centralised, secure, and intelligent repository serving as the single source of truth for all contracts</w:t>
      </w:r>
    </w:p>
    <w:p>
      <w:pPr>
        <w:pStyle w:val="ListParagraph"/>
        <w:numPr>
          <w:ilvl w:val="0"/>
          <w:numId w:val="2"/>
        </w:numPr>
        <w:spacing w:after="40" w:before="40" w:line="280"/>
      </w:pPr>
      <w:r>
        <w:rPr>
          <w:rFonts w:ascii="Calibri" w:cs="Calibri" w:eastAsia="Calibri" w:hAnsi="Calibri"/>
          <w:color w:val="222222"/>
          <w:sz w:val="22"/>
          <w:szCs w:val="22"/>
        </w:rPr>
        <w:t xml:space="preserve">Enhanced governance, transparency, auditability, and compliance</w:t>
      </w:r>
    </w:p>
    <w:p>
      <w:pPr>
        <w:pStyle w:val="Heading1"/>
        <w:pBdr>
          <w:bottom w:val="single" w:color="6B2C91" w:sz="12" w:space="6"/>
        </w:pBdr>
        <w:spacing w:after="180" w:before="360"/>
      </w:pPr>
      <w:r>
        <w:rPr>
          <w:rFonts w:ascii="Calibri" w:cs="Calibri" w:eastAsia="Calibri" w:hAnsi="Calibri"/>
          <w:b/>
          <w:bCs/>
          <w:color w:val="6B2C91"/>
          <w:sz w:val="30"/>
          <w:szCs w:val="30"/>
        </w:rPr>
        <w:t xml:space="preserve">4. Proposed Solution Overview</w:t>
      </w:r>
    </w:p>
    <w:p>
      <w:pPr>
        <w:spacing w:after="60" w:before="60" w:line="300"/>
        <w:jc w:val="both"/>
      </w:pPr>
      <w:r>
        <w:rPr>
          <w:rFonts w:ascii="Calibri" w:cs="Calibri" w:eastAsia="Calibri" w:hAnsi="Calibri"/>
          <w:b w:val="false"/>
          <w:bCs w:val="false"/>
          <w:i w:val="false"/>
          <w:iCs w:val="false"/>
          <w:color w:val="222222"/>
          <w:sz w:val="22"/>
          <w:szCs w:val="22"/>
        </w:rPr>
        <w:t xml:space="preserve">THIQATECH proposes an Enterprise AI-Powered Contract Lifecycle Management (CLM) Platform that is web-based, modular, API-driven, scalable, secure, and enterprise-ready. The platform will deliver end-to-end coverage from contract intake to archival, and will be designed with secure-by-design and secure-by-default development principles.</w:t>
      </w:r>
    </w:p>
    <w:p>
      <w:pPr>
        <w:spacing w:after="60" w:before="60" w:line="300"/>
        <w:jc w:val="both"/>
      </w:pPr>
      <w:r>
        <w:rPr>
          <w:rFonts w:ascii="Calibri" w:cs="Calibri" w:eastAsia="Calibri" w:hAnsi="Calibri"/>
          <w:b w:val="false"/>
          <w:bCs w:val="false"/>
          <w:i w:val="false"/>
          <w:iCs w:val="false"/>
          <w:color w:val="222222"/>
          <w:sz w:val="22"/>
          <w:szCs w:val="22"/>
        </w:rPr>
        <w:t xml:space="preserve">Key functional pillars of the proposed solution include:</w:t>
      </w:r>
    </w:p>
    <w:p>
      <w:pPr>
        <w:pStyle w:val="ListParagraph"/>
        <w:numPr>
          <w:ilvl w:val="0"/>
          <w:numId w:val="2"/>
        </w:numPr>
        <w:spacing w:after="40" w:before="40" w:line="280"/>
      </w:pPr>
      <w:r>
        <w:rPr>
          <w:rFonts w:ascii="Calibri" w:cs="Calibri" w:eastAsia="Calibri" w:hAnsi="Calibri"/>
          <w:color w:val="222222"/>
          <w:sz w:val="22"/>
          <w:szCs w:val="22"/>
        </w:rPr>
        <w:t xml:space="preserve">Contract Request &amp; Intake</w:t>
      </w:r>
    </w:p>
    <w:p>
      <w:pPr>
        <w:pStyle w:val="ListParagraph"/>
        <w:numPr>
          <w:ilvl w:val="0"/>
          <w:numId w:val="2"/>
        </w:numPr>
        <w:spacing w:after="40" w:before="40" w:line="280"/>
      </w:pPr>
      <w:r>
        <w:rPr>
          <w:rFonts w:ascii="Calibri" w:cs="Calibri" w:eastAsia="Calibri" w:hAnsi="Calibri"/>
          <w:color w:val="222222"/>
          <w:sz w:val="22"/>
          <w:szCs w:val="22"/>
        </w:rPr>
        <w:t xml:space="preserve">Contract Drafting with Template &amp; Clause Library (NDA, MSA, SLA, Stand Alone Agreements)</w:t>
      </w:r>
    </w:p>
    <w:p>
      <w:pPr>
        <w:pStyle w:val="ListParagraph"/>
        <w:numPr>
          <w:ilvl w:val="0"/>
          <w:numId w:val="2"/>
        </w:numPr>
        <w:spacing w:after="40" w:before="40" w:line="280"/>
      </w:pPr>
      <w:r>
        <w:rPr>
          <w:rFonts w:ascii="Calibri" w:cs="Calibri" w:eastAsia="Calibri" w:hAnsi="Calibri"/>
          <w:color w:val="222222"/>
          <w:sz w:val="22"/>
          <w:szCs w:val="22"/>
        </w:rPr>
        <w:t xml:space="preserve">AI-Powered Clause Recommendations &amp; Deviation Detection</w:t>
      </w:r>
    </w:p>
    <w:p>
      <w:pPr>
        <w:pStyle w:val="ListParagraph"/>
        <w:numPr>
          <w:ilvl w:val="0"/>
          <w:numId w:val="2"/>
        </w:numPr>
        <w:spacing w:after="40" w:before="40" w:line="280"/>
      </w:pPr>
      <w:r>
        <w:rPr>
          <w:rFonts w:ascii="Calibri" w:cs="Calibri" w:eastAsia="Calibri" w:hAnsi="Calibri"/>
          <w:color w:val="222222"/>
          <w:sz w:val="22"/>
          <w:szCs w:val="22"/>
        </w:rPr>
        <w:t xml:space="preserve">OCR-based Document Digitization (English &amp; Arabic capable)</w:t>
      </w:r>
    </w:p>
    <w:p>
      <w:pPr>
        <w:pStyle w:val="ListParagraph"/>
        <w:numPr>
          <w:ilvl w:val="0"/>
          <w:numId w:val="2"/>
        </w:numPr>
        <w:spacing w:after="40" w:before="40" w:line="280"/>
      </w:pPr>
      <w:r>
        <w:rPr>
          <w:rFonts w:ascii="Calibri" w:cs="Calibri" w:eastAsia="Calibri" w:hAnsi="Calibri"/>
          <w:color w:val="222222"/>
          <w:sz w:val="22"/>
          <w:szCs w:val="22"/>
        </w:rPr>
        <w:t xml:space="preserve">Review &amp; Redlining with Parallel Internal/External Collaboration</w:t>
      </w:r>
    </w:p>
    <w:p>
      <w:pPr>
        <w:pStyle w:val="ListParagraph"/>
        <w:numPr>
          <w:ilvl w:val="0"/>
          <w:numId w:val="2"/>
        </w:numPr>
        <w:spacing w:after="40" w:before="40" w:line="280"/>
      </w:pPr>
      <w:r>
        <w:rPr>
          <w:rFonts w:ascii="Calibri" w:cs="Calibri" w:eastAsia="Calibri" w:hAnsi="Calibri"/>
          <w:color w:val="222222"/>
          <w:sz w:val="22"/>
          <w:szCs w:val="22"/>
        </w:rPr>
        <w:t xml:space="preserve">Dynamic Workflow Approvals with Value-Based Thresholds</w:t>
      </w:r>
    </w:p>
    <w:p>
      <w:pPr>
        <w:pStyle w:val="ListParagraph"/>
        <w:numPr>
          <w:ilvl w:val="0"/>
          <w:numId w:val="2"/>
        </w:numPr>
        <w:spacing w:after="40" w:before="40" w:line="280"/>
      </w:pPr>
      <w:r>
        <w:rPr>
          <w:rFonts w:ascii="Calibri" w:cs="Calibri" w:eastAsia="Calibri" w:hAnsi="Calibri"/>
          <w:color w:val="222222"/>
          <w:sz w:val="22"/>
          <w:szCs w:val="22"/>
        </w:rPr>
        <w:t xml:space="preserve">E-Signature Integration (including NIFT) and Wet-Signature Handling</w:t>
      </w:r>
    </w:p>
    <w:p>
      <w:pPr>
        <w:pStyle w:val="ListParagraph"/>
        <w:numPr>
          <w:ilvl w:val="0"/>
          <w:numId w:val="2"/>
        </w:numPr>
        <w:spacing w:after="40" w:before="40" w:line="280"/>
      </w:pPr>
      <w:r>
        <w:rPr>
          <w:rFonts w:ascii="Calibri" w:cs="Calibri" w:eastAsia="Calibri" w:hAnsi="Calibri"/>
          <w:color w:val="222222"/>
          <w:sz w:val="22"/>
          <w:szCs w:val="22"/>
        </w:rPr>
        <w:t xml:space="preserve">Centralised Document Repository with Full-Text Search &amp; OCR Search</w:t>
      </w:r>
    </w:p>
    <w:p>
      <w:pPr>
        <w:pStyle w:val="ListParagraph"/>
        <w:numPr>
          <w:ilvl w:val="0"/>
          <w:numId w:val="2"/>
        </w:numPr>
        <w:spacing w:after="40" w:before="40" w:line="280"/>
      </w:pPr>
      <w:r>
        <w:rPr>
          <w:rFonts w:ascii="Calibri" w:cs="Calibri" w:eastAsia="Calibri" w:hAnsi="Calibri"/>
          <w:color w:val="222222"/>
          <w:sz w:val="22"/>
          <w:szCs w:val="22"/>
        </w:rPr>
        <w:t xml:space="preserve">Obligation Tracking, Renewals, and Amendments Management</w:t>
      </w:r>
    </w:p>
    <w:p>
      <w:pPr>
        <w:pStyle w:val="ListParagraph"/>
        <w:numPr>
          <w:ilvl w:val="0"/>
          <w:numId w:val="2"/>
        </w:numPr>
        <w:spacing w:after="40" w:before="40" w:line="280"/>
      </w:pPr>
      <w:r>
        <w:rPr>
          <w:rFonts w:ascii="Calibri" w:cs="Calibri" w:eastAsia="Calibri" w:hAnsi="Calibri"/>
          <w:color w:val="222222"/>
          <w:sz w:val="22"/>
          <w:szCs w:val="22"/>
        </w:rPr>
        <w:t xml:space="preserve">Audit Trails, Compliance Monitoring &amp; Risk Scoring</w:t>
      </w:r>
    </w:p>
    <w:p>
      <w:pPr>
        <w:pStyle w:val="ListParagraph"/>
        <w:numPr>
          <w:ilvl w:val="0"/>
          <w:numId w:val="2"/>
        </w:numPr>
        <w:spacing w:after="40" w:before="40" w:line="280"/>
      </w:pPr>
      <w:r>
        <w:rPr>
          <w:rFonts w:ascii="Calibri" w:cs="Calibri" w:eastAsia="Calibri" w:hAnsi="Calibri"/>
          <w:color w:val="222222"/>
          <w:sz w:val="22"/>
          <w:szCs w:val="22"/>
        </w:rPr>
        <w:t xml:space="preserve">Executive, Operational, and Compliance Dashboards</w:t>
      </w:r>
    </w:p>
    <w:p>
      <w:pPr>
        <w:pStyle w:val="ListParagraph"/>
        <w:numPr>
          <w:ilvl w:val="0"/>
          <w:numId w:val="2"/>
        </w:numPr>
        <w:spacing w:after="40" w:before="40" w:line="280"/>
      </w:pPr>
      <w:r>
        <w:rPr>
          <w:rFonts w:ascii="Calibri" w:cs="Calibri" w:eastAsia="Calibri" w:hAnsi="Calibri"/>
          <w:color w:val="222222"/>
          <w:sz w:val="22"/>
          <w:szCs w:val="22"/>
        </w:rPr>
        <w:t xml:space="preserve">Embedded Knowledge Base &amp; Training Hub</w:t>
      </w:r>
    </w:p>
    <w:p>
      <w:pPr>
        <w:pStyle w:val="Heading1"/>
        <w:pBdr>
          <w:bottom w:val="single" w:color="6B2C91" w:sz="12" w:space="6"/>
        </w:pBdr>
        <w:spacing w:after="180" w:before="360"/>
      </w:pPr>
      <w:r>
        <w:rPr>
          <w:rFonts w:ascii="Calibri" w:cs="Calibri" w:eastAsia="Calibri" w:hAnsi="Calibri"/>
          <w:b/>
          <w:bCs/>
          <w:color w:val="6B2C91"/>
          <w:sz w:val="30"/>
          <w:szCs w:val="30"/>
        </w:rPr>
        <w:t xml:space="preserve">5. Scope of Work Coverage</w:t>
      </w:r>
    </w:p>
    <w:p>
      <w:pPr>
        <w:spacing w:after="60" w:before="60" w:line="300"/>
        <w:jc w:val="both"/>
      </w:pPr>
      <w:r>
        <w:rPr>
          <w:rFonts w:ascii="Calibri" w:cs="Calibri" w:eastAsia="Calibri" w:hAnsi="Calibri"/>
          <w:b w:val="false"/>
          <w:bCs w:val="false"/>
          <w:i w:val="false"/>
          <w:iCs w:val="false"/>
          <w:color w:val="222222"/>
          <w:sz w:val="22"/>
          <w:szCs w:val="22"/>
        </w:rPr>
        <w:t xml:space="preserve">This section maps THIQATECH's proposed capabilities against each element of RFI Section 3a (Scope of Work).</w:t>
      </w:r>
    </w:p>
    <w:p>
      <w:pPr>
        <w:pStyle w:val="Heading2"/>
        <w:spacing w:after="120" w:before="240"/>
      </w:pPr>
      <w:r>
        <w:rPr>
          <w:rFonts w:ascii="Calibri" w:cs="Calibri" w:eastAsia="Calibri" w:hAnsi="Calibri"/>
          <w:b/>
          <w:bCs/>
          <w:color w:val="4A1E66"/>
          <w:sz w:val="26"/>
          <w:szCs w:val="26"/>
        </w:rPr>
        <w:t xml:space="preserve">5.1 Drafting &amp; Clause Library</w:t>
      </w:r>
    </w:p>
    <w:p>
      <w:pPr>
        <w:pStyle w:val="ListParagraph"/>
        <w:numPr>
          <w:ilvl w:val="0"/>
          <w:numId w:val="2"/>
        </w:numPr>
        <w:spacing w:after="40" w:before="40" w:line="280"/>
      </w:pPr>
      <w:r>
        <w:rPr>
          <w:rFonts w:ascii="Calibri" w:cs="Calibri" w:eastAsia="Calibri" w:hAnsi="Calibri"/>
          <w:color w:val="222222"/>
          <w:sz w:val="22"/>
          <w:szCs w:val="22"/>
        </w:rPr>
        <w:t xml:space="preserve">Template Repository: Pre-approved templates for NDA, MSA, SLA, and Stand Alone Agreements, with full version control, audit history, and approval-gated publishing.</w:t>
      </w:r>
    </w:p>
    <w:p>
      <w:pPr>
        <w:pStyle w:val="ListParagraph"/>
        <w:numPr>
          <w:ilvl w:val="0"/>
          <w:numId w:val="2"/>
        </w:numPr>
        <w:spacing w:after="40" w:before="40" w:line="280"/>
      </w:pPr>
      <w:r>
        <w:rPr>
          <w:rFonts w:ascii="Calibri" w:cs="Calibri" w:eastAsia="Calibri" w:hAnsi="Calibri"/>
          <w:color w:val="222222"/>
          <w:sz w:val="22"/>
          <w:szCs w:val="22"/>
        </w:rPr>
        <w:t xml:space="preserve">Clause Library: Standardised clauses categorised by domain (IP, indemnity, confidentiality, anti-corruption, data privacy), each tagged with a risk level (Low / Medium / High), alternative clause variants, and inline guidance notes for drafters.</w:t>
      </w:r>
    </w:p>
    <w:p>
      <w:pPr>
        <w:pStyle w:val="ListParagraph"/>
        <w:numPr>
          <w:ilvl w:val="0"/>
          <w:numId w:val="2"/>
        </w:numPr>
        <w:spacing w:after="40" w:before="40" w:line="280"/>
      </w:pPr>
      <w:r>
        <w:rPr>
          <w:rFonts w:ascii="Calibri" w:cs="Calibri" w:eastAsia="Calibri" w:hAnsi="Calibri"/>
          <w:color w:val="222222"/>
          <w:sz w:val="22"/>
          <w:szCs w:val="22"/>
        </w:rPr>
        <w:t xml:space="preserve">Guided Drafting Wizard: Step-by-step assembly of contract documents from approved templates and clauses, with metadata-driven pre-filling and conditional logic.</w:t>
      </w:r>
    </w:p>
    <w:p>
      <w:pPr>
        <w:pStyle w:val="ListParagraph"/>
        <w:numPr>
          <w:ilvl w:val="0"/>
          <w:numId w:val="2"/>
        </w:numPr>
        <w:spacing w:after="40" w:before="40" w:line="280"/>
      </w:pPr>
      <w:r>
        <w:rPr>
          <w:rFonts w:ascii="Calibri" w:cs="Calibri" w:eastAsia="Calibri" w:hAnsi="Calibri"/>
          <w:color w:val="222222"/>
          <w:sz w:val="22"/>
          <w:szCs w:val="22"/>
        </w:rPr>
        <w:t xml:space="preserve">AI Assist: AI-powered clause suggestions based on contract metadata (type, value, jurisdiction, vendor risk), flagging of deviations from the playbook, and recommendation of alternative clauses where deviations are detected.</w:t>
      </w:r>
    </w:p>
    <w:p>
      <w:pPr>
        <w:pStyle w:val="Heading2"/>
        <w:spacing w:after="120" w:before="240"/>
      </w:pPr>
      <w:r>
        <w:rPr>
          <w:rFonts w:ascii="Calibri" w:cs="Calibri" w:eastAsia="Calibri" w:hAnsi="Calibri"/>
          <w:b/>
          <w:bCs/>
          <w:color w:val="4A1E66"/>
          <w:sz w:val="26"/>
          <w:szCs w:val="26"/>
        </w:rPr>
        <w:t xml:space="preserve">5.2 Review &amp; Redlining</w:t>
      </w:r>
    </w:p>
    <w:p>
      <w:pPr>
        <w:pStyle w:val="ListParagraph"/>
        <w:numPr>
          <w:ilvl w:val="0"/>
          <w:numId w:val="2"/>
        </w:numPr>
        <w:spacing w:after="40" w:before="40" w:line="280"/>
      </w:pPr>
      <w:r>
        <w:rPr>
          <w:rFonts w:ascii="Calibri" w:cs="Calibri" w:eastAsia="Calibri" w:hAnsi="Calibri"/>
          <w:color w:val="222222"/>
          <w:sz w:val="22"/>
          <w:szCs w:val="22"/>
        </w:rPr>
        <w:t xml:space="preserve">Parallel Review: Legal, finance, technical, and procurement teams can review concurrently, with assignment-based task routing and SLA tracking.</w:t>
      </w:r>
    </w:p>
    <w:p>
      <w:pPr>
        <w:pStyle w:val="ListParagraph"/>
        <w:numPr>
          <w:ilvl w:val="0"/>
          <w:numId w:val="2"/>
        </w:numPr>
        <w:spacing w:after="40" w:before="40" w:line="280"/>
      </w:pPr>
      <w:r>
        <w:rPr>
          <w:rFonts w:ascii="Calibri" w:cs="Calibri" w:eastAsia="Calibri" w:hAnsi="Calibri"/>
          <w:color w:val="222222"/>
          <w:sz w:val="22"/>
          <w:szCs w:val="22"/>
        </w:rPr>
        <w:t xml:space="preserve">Compare &amp; Redline: Side-by-side version diff with tracked changes, comment threads, and inline reply support.</w:t>
      </w:r>
    </w:p>
    <w:p>
      <w:pPr>
        <w:pStyle w:val="ListParagraph"/>
        <w:numPr>
          <w:ilvl w:val="0"/>
          <w:numId w:val="2"/>
        </w:numPr>
        <w:spacing w:after="40" w:before="40" w:line="280"/>
      </w:pPr>
      <w:r>
        <w:rPr>
          <w:rFonts w:ascii="Calibri" w:cs="Calibri" w:eastAsia="Calibri" w:hAnsi="Calibri"/>
          <w:color w:val="222222"/>
          <w:sz w:val="22"/>
          <w:szCs w:val="22"/>
        </w:rPr>
        <w:t xml:space="preserve">Negotiation Room: Secure external collaboration via link-based, time-bound access, with download controls, watermarking, and audit logging of every external interaction.</w:t>
      </w:r>
    </w:p>
    <w:p>
      <w:pPr>
        <w:pStyle w:val="Heading2"/>
        <w:spacing w:after="120" w:before="240"/>
      </w:pPr>
      <w:r>
        <w:rPr>
          <w:rFonts w:ascii="Calibri" w:cs="Calibri" w:eastAsia="Calibri" w:hAnsi="Calibri"/>
          <w:b/>
          <w:bCs/>
          <w:color w:val="4A1E66"/>
          <w:sz w:val="26"/>
          <w:szCs w:val="26"/>
        </w:rPr>
        <w:t xml:space="preserve">5.3 Approval &amp; Escalation</w:t>
      </w:r>
    </w:p>
    <w:p>
      <w:pPr>
        <w:pStyle w:val="ListParagraph"/>
        <w:numPr>
          <w:ilvl w:val="0"/>
          <w:numId w:val="2"/>
        </w:numPr>
        <w:spacing w:after="40" w:before="40" w:line="280"/>
      </w:pPr>
      <w:r>
        <w:rPr>
          <w:rFonts w:ascii="Calibri" w:cs="Calibri" w:eastAsia="Calibri" w:hAnsi="Calibri"/>
          <w:color w:val="222222"/>
          <w:sz w:val="22"/>
          <w:szCs w:val="22"/>
        </w:rPr>
        <w:t xml:space="preserve">Dynamic Approval Matrix: Configurable value-based thresholds, risk category routing, department-specific approver chains, and conditional approval logic.</w:t>
      </w:r>
    </w:p>
    <w:p>
      <w:pPr>
        <w:pStyle w:val="ListParagraph"/>
        <w:numPr>
          <w:ilvl w:val="0"/>
          <w:numId w:val="2"/>
        </w:numPr>
        <w:spacing w:after="40" w:before="40" w:line="280"/>
      </w:pPr>
      <w:r>
        <w:rPr>
          <w:rFonts w:ascii="Calibri" w:cs="Calibri" w:eastAsia="Calibri" w:hAnsi="Calibri"/>
          <w:color w:val="222222"/>
          <w:sz w:val="22"/>
          <w:szCs w:val="22"/>
        </w:rPr>
        <w:t xml:space="preserve">Escalation Rules: Auto-escalation on SLA breach, configurable reminder schedules, and multi-tier escalation paths.</w:t>
      </w:r>
    </w:p>
    <w:p>
      <w:pPr>
        <w:pStyle w:val="ListParagraph"/>
        <w:numPr>
          <w:ilvl w:val="0"/>
          <w:numId w:val="2"/>
        </w:numPr>
        <w:spacing w:after="40" w:before="40" w:line="280"/>
      </w:pPr>
      <w:r>
        <w:rPr>
          <w:rFonts w:ascii="Calibri" w:cs="Calibri" w:eastAsia="Calibri" w:hAnsi="Calibri"/>
          <w:color w:val="222222"/>
          <w:sz w:val="22"/>
          <w:szCs w:val="22"/>
        </w:rPr>
        <w:t xml:space="preserve">Delegation &amp; Out-of-Office: Temporary proxy approvers with automatic activation/deactivation based on user-defined dates to prevent workflow stalls.</w:t>
      </w:r>
    </w:p>
    <w:p>
      <w:pPr>
        <w:pStyle w:val="Heading2"/>
        <w:spacing w:after="120" w:before="240"/>
      </w:pPr>
      <w:r>
        <w:rPr>
          <w:rFonts w:ascii="Calibri" w:cs="Calibri" w:eastAsia="Calibri" w:hAnsi="Calibri"/>
          <w:b/>
          <w:bCs/>
          <w:color w:val="4A1E66"/>
          <w:sz w:val="26"/>
          <w:szCs w:val="26"/>
        </w:rPr>
        <w:t xml:space="preserve">5.4 Execution &amp; E-Signature</w:t>
      </w:r>
    </w:p>
    <w:p>
      <w:pPr>
        <w:pStyle w:val="ListParagraph"/>
        <w:numPr>
          <w:ilvl w:val="0"/>
          <w:numId w:val="2"/>
        </w:numPr>
        <w:spacing w:after="40" w:before="40" w:line="280"/>
      </w:pPr>
      <w:r>
        <w:rPr>
          <w:rFonts w:ascii="Calibri" w:cs="Calibri" w:eastAsia="Calibri" w:hAnsi="Calibri"/>
          <w:color w:val="222222"/>
          <w:sz w:val="22"/>
          <w:szCs w:val="22"/>
        </w:rPr>
        <w:t xml:space="preserve">E-Sign Integration: Native integration with digital signature providers, including NIFT digital signature services for the Pakistan market, with certificate-based signing and audit-grade signature validation.</w:t>
      </w:r>
    </w:p>
    <w:p>
      <w:pPr>
        <w:pStyle w:val="ListParagraph"/>
        <w:numPr>
          <w:ilvl w:val="0"/>
          <w:numId w:val="2"/>
        </w:numPr>
        <w:spacing w:after="40" w:before="40" w:line="280"/>
      </w:pPr>
      <w:r>
        <w:rPr>
          <w:rFonts w:ascii="Calibri" w:cs="Calibri" w:eastAsia="Calibri" w:hAnsi="Calibri"/>
          <w:color w:val="222222"/>
          <w:sz w:val="22"/>
          <w:szCs w:val="22"/>
        </w:rPr>
        <w:t xml:space="preserve">API &amp; File-Based Integration: Support for both REST/SOAP API integration and secure file-transfer-based signing flows.</w:t>
      </w:r>
    </w:p>
    <w:p>
      <w:pPr>
        <w:pStyle w:val="ListParagraph"/>
        <w:numPr>
          <w:ilvl w:val="0"/>
          <w:numId w:val="2"/>
        </w:numPr>
        <w:spacing w:after="40" w:before="40" w:line="280"/>
      </w:pPr>
      <w:r>
        <w:rPr>
          <w:rFonts w:ascii="Calibri" w:cs="Calibri" w:eastAsia="Calibri" w:hAnsi="Calibri"/>
          <w:color w:val="222222"/>
          <w:sz w:val="22"/>
          <w:szCs w:val="22"/>
        </w:rPr>
        <w:t xml:space="preserve">Wet Signature Handling: Upload and scan workflow for physically signed contracts, with certified receipt, execution date capture, and linkage back to the digital record.</w:t>
      </w:r>
    </w:p>
    <w:p>
      <w:pPr>
        <w:pStyle w:val="Heading2"/>
        <w:spacing w:after="120" w:before="240"/>
      </w:pPr>
      <w:r>
        <w:rPr>
          <w:rFonts w:ascii="Calibri" w:cs="Calibri" w:eastAsia="Calibri" w:hAnsi="Calibri"/>
          <w:b/>
          <w:bCs/>
          <w:color w:val="4A1E66"/>
          <w:sz w:val="26"/>
          <w:szCs w:val="26"/>
        </w:rPr>
        <w:t xml:space="preserve">5.5 Repository &amp; Search</w:t>
      </w:r>
    </w:p>
    <w:p>
      <w:pPr>
        <w:pStyle w:val="ListParagraph"/>
        <w:numPr>
          <w:ilvl w:val="0"/>
          <w:numId w:val="2"/>
        </w:numPr>
        <w:spacing w:after="40" w:before="40" w:line="280"/>
      </w:pPr>
      <w:r>
        <w:rPr>
          <w:rFonts w:ascii="Calibri" w:cs="Calibri" w:eastAsia="Calibri" w:hAnsi="Calibri"/>
          <w:color w:val="222222"/>
          <w:sz w:val="22"/>
          <w:szCs w:val="22"/>
        </w:rPr>
        <w:t xml:space="preserve">Central Repository: Secure storage with role-based access, lifecycle tags (Draft, Active, Expiring, Expired, Terminated), and metadata-driven organisation.</w:t>
      </w:r>
    </w:p>
    <w:p>
      <w:pPr>
        <w:pStyle w:val="ListParagraph"/>
        <w:numPr>
          <w:ilvl w:val="0"/>
          <w:numId w:val="2"/>
        </w:numPr>
        <w:spacing w:after="40" w:before="40" w:line="280"/>
      </w:pPr>
      <w:r>
        <w:rPr>
          <w:rFonts w:ascii="Calibri" w:cs="Calibri" w:eastAsia="Calibri" w:hAnsi="Calibri"/>
          <w:color w:val="222222"/>
          <w:sz w:val="22"/>
          <w:szCs w:val="22"/>
        </w:rPr>
        <w:t xml:space="preserve">Advanced Search: Full-text search within contract documents (including OCR-extracted content), filters by counterparty, clause, date, value, status, jurisdiction, and risk score.</w:t>
      </w:r>
    </w:p>
    <w:p>
      <w:pPr>
        <w:pStyle w:val="ListParagraph"/>
        <w:numPr>
          <w:ilvl w:val="0"/>
          <w:numId w:val="2"/>
        </w:numPr>
        <w:spacing w:after="40" w:before="40" w:line="280"/>
      </w:pPr>
      <w:r>
        <w:rPr>
          <w:rFonts w:ascii="Calibri" w:cs="Calibri" w:eastAsia="Calibri" w:hAnsi="Calibri"/>
          <w:color w:val="222222"/>
          <w:sz w:val="22"/>
          <w:szCs w:val="22"/>
        </w:rPr>
        <w:t xml:space="preserve">Linking: Master agreements automatically linked to addendums, amendments, supplementals, statements of work, and related contracts.</w:t>
      </w:r>
    </w:p>
    <w:p>
      <w:pPr>
        <w:pStyle w:val="ListParagraph"/>
        <w:numPr>
          <w:ilvl w:val="0"/>
          <w:numId w:val="2"/>
        </w:numPr>
        <w:spacing w:after="40" w:before="40" w:line="280"/>
      </w:pPr>
      <w:r>
        <w:rPr>
          <w:rFonts w:ascii="Calibri" w:cs="Calibri" w:eastAsia="Calibri" w:hAnsi="Calibri"/>
          <w:color w:val="222222"/>
          <w:sz w:val="22"/>
          <w:szCs w:val="22"/>
        </w:rPr>
        <w:t xml:space="preserve">Watermarking &amp; Download Controls: Printable user-identifying watermarks, view-only modes for sensitive contracts, time-limited download links, and link expiry enforcement.</w:t>
      </w:r>
    </w:p>
    <w:p>
      <w:pPr>
        <w:pStyle w:val="Heading2"/>
        <w:spacing w:after="120" w:before="240"/>
      </w:pPr>
      <w:r>
        <w:rPr>
          <w:rFonts w:ascii="Calibri" w:cs="Calibri" w:eastAsia="Calibri" w:hAnsi="Calibri"/>
          <w:b/>
          <w:bCs/>
          <w:color w:val="4A1E66"/>
          <w:sz w:val="26"/>
          <w:szCs w:val="26"/>
        </w:rPr>
        <w:t xml:space="preserve">5.6 Obligations, Renewals &amp; Amendments</w:t>
      </w:r>
    </w:p>
    <w:p>
      <w:pPr>
        <w:pStyle w:val="ListParagraph"/>
        <w:numPr>
          <w:ilvl w:val="0"/>
          <w:numId w:val="2"/>
        </w:numPr>
        <w:spacing w:after="40" w:before="40" w:line="280"/>
      </w:pPr>
      <w:r>
        <w:rPr>
          <w:rFonts w:ascii="Calibri" w:cs="Calibri" w:eastAsia="Calibri" w:hAnsi="Calibri"/>
          <w:color w:val="222222"/>
          <w:sz w:val="22"/>
          <w:szCs w:val="22"/>
        </w:rPr>
        <w:t xml:space="preserve">Obligation Tracker: Payment milestones, deliverables, SLAs, and compliance obligations tracked at the contract and clause level, with task assignment and automated reminders.</w:t>
      </w:r>
    </w:p>
    <w:p>
      <w:pPr>
        <w:pStyle w:val="ListParagraph"/>
        <w:numPr>
          <w:ilvl w:val="0"/>
          <w:numId w:val="2"/>
        </w:numPr>
        <w:spacing w:after="40" w:before="40" w:line="280"/>
      </w:pPr>
      <w:r>
        <w:rPr>
          <w:rFonts w:ascii="Calibri" w:cs="Calibri" w:eastAsia="Calibri" w:hAnsi="Calibri"/>
          <w:color w:val="222222"/>
          <w:sz w:val="22"/>
          <w:szCs w:val="22"/>
        </w:rPr>
        <w:t xml:space="preserve">Renewal Alerts: Configurable advance notice thresholds at 90, 60, and 30 days (customisable per contract type), with escalating reminders to contract owners and approvers.</w:t>
      </w:r>
    </w:p>
    <w:p>
      <w:pPr>
        <w:pStyle w:val="ListParagraph"/>
        <w:numPr>
          <w:ilvl w:val="0"/>
          <w:numId w:val="2"/>
        </w:numPr>
        <w:spacing w:after="40" w:before="40" w:line="280"/>
      </w:pPr>
      <w:r>
        <w:rPr>
          <w:rFonts w:ascii="Calibri" w:cs="Calibri" w:eastAsia="Calibri" w:hAnsi="Calibri"/>
          <w:color w:val="222222"/>
          <w:sz w:val="22"/>
          <w:szCs w:val="22"/>
        </w:rPr>
        <w:t xml:space="preserve">Change Management: Structured amendment workflows with impact tracking, version linkage, and re-approval routing.</w:t>
      </w:r>
    </w:p>
    <w:p>
      <w:pPr>
        <w:pStyle w:val="Heading2"/>
        <w:spacing w:after="120" w:before="240"/>
      </w:pPr>
      <w:r>
        <w:rPr>
          <w:rFonts w:ascii="Calibri" w:cs="Calibri" w:eastAsia="Calibri" w:hAnsi="Calibri"/>
          <w:b/>
          <w:bCs/>
          <w:color w:val="4A1E66"/>
          <w:sz w:val="26"/>
          <w:szCs w:val="26"/>
        </w:rPr>
        <w:t xml:space="preserve">5.7 Compliance, Governance &amp; Audit</w:t>
      </w:r>
    </w:p>
    <w:p>
      <w:pPr>
        <w:pStyle w:val="ListParagraph"/>
        <w:numPr>
          <w:ilvl w:val="0"/>
          <w:numId w:val="2"/>
        </w:numPr>
        <w:spacing w:after="40" w:before="40" w:line="280"/>
      </w:pPr>
      <w:r>
        <w:rPr>
          <w:rFonts w:ascii="Calibri" w:cs="Calibri" w:eastAsia="Calibri" w:hAnsi="Calibri"/>
          <w:color w:val="222222"/>
          <w:sz w:val="22"/>
          <w:szCs w:val="22"/>
        </w:rPr>
        <w:t xml:space="preserve">Audit Trail: Every action logged (who, what, when, from where), with tamper-evident logging and exportable audit reports.</w:t>
      </w:r>
    </w:p>
    <w:p>
      <w:pPr>
        <w:pStyle w:val="ListParagraph"/>
        <w:numPr>
          <w:ilvl w:val="0"/>
          <w:numId w:val="2"/>
        </w:numPr>
        <w:spacing w:after="40" w:before="40" w:line="280"/>
      </w:pPr>
      <w:r>
        <w:rPr>
          <w:rFonts w:ascii="Calibri" w:cs="Calibri" w:eastAsia="Calibri" w:hAnsi="Calibri"/>
          <w:color w:val="222222"/>
          <w:sz w:val="22"/>
          <w:szCs w:val="22"/>
        </w:rPr>
        <w:t xml:space="preserve">Policy Engine: Configurable checklists for mandatory clauses (anti-corruption, data privacy, IP, export control), with publish-time enforcement.</w:t>
      </w:r>
    </w:p>
    <w:p>
      <w:pPr>
        <w:pStyle w:val="ListParagraph"/>
        <w:numPr>
          <w:ilvl w:val="0"/>
          <w:numId w:val="2"/>
        </w:numPr>
        <w:spacing w:after="40" w:before="40" w:line="280"/>
      </w:pPr>
      <w:r>
        <w:rPr>
          <w:rFonts w:ascii="Calibri" w:cs="Calibri" w:eastAsia="Calibri" w:hAnsi="Calibri"/>
          <w:color w:val="222222"/>
          <w:sz w:val="22"/>
          <w:szCs w:val="22"/>
        </w:rPr>
        <w:t xml:space="preserve">Risk Scoring: Automated risk scoring based on clause deviations, jurisdiction, contract value, counterparty risk rating, and historical patterns.</w:t>
      </w:r>
    </w:p>
    <w:p>
      <w:pPr>
        <w:pStyle w:val="Heading2"/>
        <w:spacing w:after="120" w:before="240"/>
      </w:pPr>
      <w:r>
        <w:rPr>
          <w:rFonts w:ascii="Calibri" w:cs="Calibri" w:eastAsia="Calibri" w:hAnsi="Calibri"/>
          <w:b/>
          <w:bCs/>
          <w:color w:val="4A1E66"/>
          <w:sz w:val="26"/>
          <w:szCs w:val="26"/>
        </w:rPr>
        <w:t xml:space="preserve">5.8 Analytics &amp; Dashboards</w:t>
      </w:r>
    </w:p>
    <w:p>
      <w:pPr>
        <w:pStyle w:val="ListParagraph"/>
        <w:numPr>
          <w:ilvl w:val="0"/>
          <w:numId w:val="2"/>
        </w:numPr>
        <w:spacing w:after="40" w:before="40" w:line="280"/>
      </w:pPr>
      <w:r>
        <w:rPr>
          <w:rFonts w:ascii="Calibri" w:cs="Calibri" w:eastAsia="Calibri" w:hAnsi="Calibri"/>
          <w:color w:val="222222"/>
          <w:sz w:val="22"/>
          <w:szCs w:val="22"/>
        </w:rPr>
        <w:t xml:space="preserve">Executive KPIs: Cycle time, approval bottlenecks, SLA adherence, renewal pipeline, value at risk, and projected savings.</w:t>
      </w:r>
    </w:p>
    <w:p>
      <w:pPr>
        <w:pStyle w:val="ListParagraph"/>
        <w:numPr>
          <w:ilvl w:val="0"/>
          <w:numId w:val="2"/>
        </w:numPr>
        <w:spacing w:after="40" w:before="40" w:line="280"/>
      </w:pPr>
      <w:r>
        <w:rPr>
          <w:rFonts w:ascii="Calibri" w:cs="Calibri" w:eastAsia="Calibri" w:hAnsi="Calibri"/>
          <w:color w:val="222222"/>
          <w:sz w:val="22"/>
          <w:szCs w:val="22"/>
        </w:rPr>
        <w:t xml:space="preserve">Operational Metrics: Reviewer workload, redline iteration counts, most-negotiated clauses, and average turnaround per workflow stage.</w:t>
      </w:r>
    </w:p>
    <w:p>
      <w:pPr>
        <w:pStyle w:val="ListParagraph"/>
        <w:numPr>
          <w:ilvl w:val="0"/>
          <w:numId w:val="2"/>
        </w:numPr>
        <w:spacing w:after="40" w:before="40" w:line="280"/>
      </w:pPr>
      <w:r>
        <w:rPr>
          <w:rFonts w:ascii="Calibri" w:cs="Calibri" w:eastAsia="Calibri" w:hAnsi="Calibri"/>
          <w:color w:val="222222"/>
          <w:sz w:val="22"/>
          <w:szCs w:val="22"/>
        </w:rPr>
        <w:t xml:space="preserve">Compliance Reports: Playbook deviations, missing obligations, audit readiness reports, and remediation tracking.</w:t>
      </w:r>
    </w:p>
    <w:p>
      <w:pPr>
        <w:pStyle w:val="Heading2"/>
        <w:spacing w:after="120" w:before="240"/>
      </w:pPr>
      <w:r>
        <w:rPr>
          <w:rFonts w:ascii="Calibri" w:cs="Calibri" w:eastAsia="Calibri" w:hAnsi="Calibri"/>
          <w:b/>
          <w:bCs/>
          <w:color w:val="4A1E66"/>
          <w:sz w:val="26"/>
          <w:szCs w:val="26"/>
        </w:rPr>
        <w:t xml:space="preserve">5.9 Knowledge &amp; Help</w:t>
      </w:r>
    </w:p>
    <w:p>
      <w:pPr>
        <w:pStyle w:val="ListParagraph"/>
        <w:numPr>
          <w:ilvl w:val="0"/>
          <w:numId w:val="2"/>
        </w:numPr>
        <w:spacing w:after="40" w:before="40" w:line="280"/>
      </w:pPr>
      <w:r>
        <w:rPr>
          <w:rFonts w:ascii="Calibri" w:cs="Calibri" w:eastAsia="Calibri" w:hAnsi="Calibri"/>
          <w:color w:val="222222"/>
          <w:sz w:val="22"/>
          <w:szCs w:val="22"/>
        </w:rPr>
        <w:t xml:space="preserve">Contextual Help: Inline tooltips, hover-based guidance, and field-level help text embedded throughout the user interface.</w:t>
      </w:r>
    </w:p>
    <w:p>
      <w:pPr>
        <w:pStyle w:val="ListParagraph"/>
        <w:numPr>
          <w:ilvl w:val="0"/>
          <w:numId w:val="2"/>
        </w:numPr>
        <w:spacing w:after="40" w:before="40" w:line="280"/>
      </w:pPr>
      <w:r>
        <w:rPr>
          <w:rFonts w:ascii="Calibri" w:cs="Calibri" w:eastAsia="Calibri" w:hAnsi="Calibri"/>
          <w:color w:val="222222"/>
          <w:sz w:val="22"/>
          <w:szCs w:val="22"/>
        </w:rPr>
        <w:t xml:space="preserve">Knowledge Base: Playbooks, FAQs, video tutorials, quick-start guides, and downloadable reference materials.</w:t>
      </w:r>
    </w:p>
    <w:p>
      <w:pPr>
        <w:pStyle w:val="ListParagraph"/>
        <w:numPr>
          <w:ilvl w:val="0"/>
          <w:numId w:val="2"/>
        </w:numPr>
        <w:spacing w:after="40" w:before="40" w:line="280"/>
      </w:pPr>
      <w:r>
        <w:rPr>
          <w:rFonts w:ascii="Calibri" w:cs="Calibri" w:eastAsia="Calibri" w:hAnsi="Calibri"/>
          <w:color w:val="222222"/>
          <w:sz w:val="22"/>
          <w:szCs w:val="22"/>
        </w:rPr>
        <w:t xml:space="preserve">Training Hub: Live webinar calendar, user certification programs, post-release update materials, and recorded onboarding sessions.</w:t>
      </w:r>
    </w:p>
    <w:p>
      <w:pPr>
        <w:pStyle w:val="Heading1"/>
        <w:pBdr>
          <w:bottom w:val="single" w:color="6B2C91" w:sz="12" w:space="6"/>
        </w:pBdr>
        <w:spacing w:after="180" w:before="360"/>
      </w:pPr>
      <w:r>
        <w:rPr>
          <w:rFonts w:ascii="Calibri" w:cs="Calibri" w:eastAsia="Calibri" w:hAnsi="Calibri"/>
          <w:b/>
          <w:bCs/>
          <w:color w:val="6B2C91"/>
          <w:sz w:val="30"/>
          <w:szCs w:val="30"/>
        </w:rPr>
        <w:t xml:space="preserve">6. Data Model &amp; Key Entities</w:t>
      </w:r>
    </w:p>
    <w:p>
      <w:pPr>
        <w:spacing w:after="60" w:before="60" w:line="300"/>
        <w:jc w:val="both"/>
      </w:pPr>
      <w:r>
        <w:rPr>
          <w:rFonts w:ascii="Calibri" w:cs="Calibri" w:eastAsia="Calibri" w:hAnsi="Calibri"/>
          <w:b w:val="false"/>
          <w:bCs w:val="false"/>
          <w:i w:val="false"/>
          <w:iCs w:val="false"/>
          <w:color w:val="222222"/>
          <w:sz w:val="22"/>
          <w:szCs w:val="22"/>
        </w:rPr>
        <w:t xml:space="preserve">In direct alignment with RFI Section 3b (Data Model — Key Entities), the proposed platform implements the following primary data entities. Each entity supports full audit trails, role-based access control, and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Entity</w:t>
            </w:r>
          </w:p>
        </w:tc>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Description</w:t>
            </w:r>
          </w:p>
        </w:tc>
        <w:tc>
          <w:tcPr>
            <w:tcW w:type="dxa" w:w="47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Key Attributes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Contract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Master record of every contract managed in the platform</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ID, type, title, parties, value, currency, jurisdiction, effective date, end date, auto-renewal flag, status, parent (master agreement reference), supplementals/amendments</w:t>
            </w:r>
          </w:p>
        </w:tc>
      </w:tr>
      <w:tr>
        <w:tc>
          <w:tcPr>
            <w:tcW w:type="dxa" w:w="16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Party / Vendor</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Counterparty profile linked to one or more contracts</w:t>
            </w:r>
          </w:p>
        </w:tc>
        <w:tc>
          <w:tcPr>
            <w:tcW w:type="dxa" w:w="47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Name, registration number, risk score, compliance documents, sanctions screening status, KYC data</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Obligation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Trackable commitments derived from contract clauses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Type (payment, delivery, reporting, compliance), owner, due date, status, SLA, escalation path</w:t>
            </w:r>
          </w:p>
        </w:tc>
      </w:tr>
      <w:tr>
        <w:tc>
          <w:tcPr>
            <w:tcW w:type="dxa" w:w="16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Clause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Library entries used in drafting and review</w:t>
            </w:r>
          </w:p>
        </w:tc>
        <w:tc>
          <w:tcPr>
            <w:tcW w:type="dxa" w:w="47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Category (IP, indemnity, confidentiality, anti-corruption), risk level (Low/Medium/High), jurisdiction tags, version history, alternative variants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Workflow</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Configurable approval and review processes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Stage, assigned role(s), SLA, escalation path, conditional logic</w:t>
            </w:r>
          </w:p>
        </w:tc>
      </w:tr>
      <w:tr>
        <w:tc>
          <w:tcPr>
            <w:tcW w:type="dxa" w:w="16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Approval</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Individual approval transactions within a workflow</w:t>
            </w:r>
          </w:p>
        </w:tc>
        <w:tc>
          <w:tcPr>
            <w:tcW w:type="dxa" w:w="47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Threshold, approver, decision, date, comments, delegation reference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Audit Log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Immutable record of every system action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Actor, action, timestamp, file/version reference, IP address, session ID</w:t>
            </w:r>
          </w:p>
        </w:tc>
      </w:tr>
      <w:tr>
        <w:tc>
          <w:tcPr>
            <w:tcW w:type="dxa" w:w="16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Document</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Physical document artifacts (drafts, executed contracts, attachments)</w:t>
            </w:r>
          </w:p>
        </w:tc>
        <w:tc>
          <w:tcPr>
            <w:tcW w:type="dxa" w:w="47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File, version, hash, signature data, watermark metadata, OCR-extracted content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Collaboration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External party interactions and notifications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Microsoft Teams / SharePoint integration references, negotiation room sessions, external access logs</w:t>
            </w:r>
          </w:p>
        </w:tc>
      </w:tr>
      <w:tr>
        <w:tc>
          <w:tcPr>
            <w:tcW w:type="dxa" w:w="16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Email &amp; Calendar</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Notification and scheduling integration</w:t>
            </w:r>
          </w:p>
        </w:tc>
        <w:tc>
          <w:tcPr>
            <w:tcW w:type="dxa" w:w="47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Outlook integration for automated reminders, meeting invites, and approval notifications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Risk / Compliance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Risk and compliance metadata per contract and party</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Vendor risk score, sanctions screening result, compliance check outcomes, regulatory tags</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7. Adoption &amp; User Experience Enhancements</w:t>
      </w:r>
    </w:p>
    <w:p>
      <w:pPr>
        <w:spacing w:after="60" w:before="60" w:line="300"/>
        <w:jc w:val="both"/>
      </w:pPr>
      <w:r>
        <w:rPr>
          <w:rFonts w:ascii="Calibri" w:cs="Calibri" w:eastAsia="Calibri" w:hAnsi="Calibri"/>
          <w:b w:val="false"/>
          <w:bCs w:val="false"/>
          <w:i w:val="false"/>
          <w:iCs w:val="false"/>
          <w:color w:val="222222"/>
          <w:sz w:val="22"/>
          <w:szCs w:val="22"/>
        </w:rPr>
        <w:t xml:space="preserve">In direct alignment with RFI Section 3b (Adoption Enhancements), the proposed platform incorporates the following user experience and adoption-focused capabilities.</w:t>
      </w:r>
    </w:p>
    <w:p>
      <w:pPr>
        <w:pStyle w:val="Heading2"/>
        <w:spacing w:after="120" w:before="240"/>
      </w:pPr>
      <w:r>
        <w:rPr>
          <w:rFonts w:ascii="Calibri" w:cs="Calibri" w:eastAsia="Calibri" w:hAnsi="Calibri"/>
          <w:b/>
          <w:bCs/>
          <w:color w:val="4A1E66"/>
          <w:sz w:val="26"/>
          <w:szCs w:val="26"/>
        </w:rPr>
        <w:t xml:space="preserve">7.1 Role-Based Dashboards</w:t>
      </w:r>
    </w:p>
    <w:p>
      <w:pPr>
        <w:spacing w:after="60" w:before="60" w:line="300"/>
        <w:jc w:val="both"/>
      </w:pPr>
      <w:r>
        <w:rPr>
          <w:rFonts w:ascii="Calibri" w:cs="Calibri" w:eastAsia="Calibri" w:hAnsi="Calibri"/>
          <w:b w:val="false"/>
          <w:bCs w:val="false"/>
          <w:i w:val="false"/>
          <w:iCs w:val="false"/>
          <w:color w:val="222222"/>
          <w:sz w:val="22"/>
          <w:szCs w:val="22"/>
        </w:rPr>
        <w:t xml:space="preserve">Every user is presented with a personalised landing dashboard tailored to their role, with quick-access views including:</w:t>
      </w:r>
    </w:p>
    <w:p>
      <w:pPr>
        <w:pStyle w:val="ListParagraph"/>
        <w:numPr>
          <w:ilvl w:val="0"/>
          <w:numId w:val="2"/>
        </w:numPr>
        <w:spacing w:after="40" w:before="40" w:line="280"/>
      </w:pPr>
      <w:r>
        <w:rPr>
          <w:rFonts w:ascii="Calibri" w:cs="Calibri" w:eastAsia="Calibri" w:hAnsi="Calibri"/>
          <w:color w:val="222222"/>
          <w:sz w:val="22"/>
          <w:szCs w:val="22"/>
        </w:rPr>
        <w:t xml:space="preserve">"My Tasks" — pending actions assigned to the user across all contracts</w:t>
      </w:r>
    </w:p>
    <w:p>
      <w:pPr>
        <w:pStyle w:val="ListParagraph"/>
        <w:numPr>
          <w:ilvl w:val="0"/>
          <w:numId w:val="2"/>
        </w:numPr>
        <w:spacing w:after="40" w:before="40" w:line="280"/>
      </w:pPr>
      <w:r>
        <w:rPr>
          <w:rFonts w:ascii="Calibri" w:cs="Calibri" w:eastAsia="Calibri" w:hAnsi="Calibri"/>
          <w:color w:val="222222"/>
          <w:sz w:val="22"/>
          <w:szCs w:val="22"/>
        </w:rPr>
        <w:t xml:space="preserve">"Escalations" — items breaching SLA or escalated to the user</w:t>
      </w:r>
    </w:p>
    <w:p>
      <w:pPr>
        <w:pStyle w:val="ListParagraph"/>
        <w:numPr>
          <w:ilvl w:val="0"/>
          <w:numId w:val="2"/>
        </w:numPr>
        <w:spacing w:after="40" w:before="40" w:line="280"/>
      </w:pPr>
      <w:r>
        <w:rPr>
          <w:rFonts w:ascii="Calibri" w:cs="Calibri" w:eastAsia="Calibri" w:hAnsi="Calibri"/>
          <w:color w:val="222222"/>
          <w:sz w:val="22"/>
          <w:szCs w:val="22"/>
        </w:rPr>
        <w:t xml:space="preserve">"Upcoming Renewals" — contracts approaching renewal within configurable windows</w:t>
      </w:r>
    </w:p>
    <w:p>
      <w:pPr>
        <w:pStyle w:val="ListParagraph"/>
        <w:numPr>
          <w:ilvl w:val="0"/>
          <w:numId w:val="2"/>
        </w:numPr>
        <w:spacing w:after="40" w:before="40" w:line="280"/>
      </w:pPr>
      <w:r>
        <w:rPr>
          <w:rFonts w:ascii="Calibri" w:cs="Calibri" w:eastAsia="Calibri" w:hAnsi="Calibri"/>
          <w:color w:val="222222"/>
          <w:sz w:val="22"/>
          <w:szCs w:val="22"/>
        </w:rPr>
        <w:t xml:space="preserve">"Reviews Due Today" — items requiring review within the current business day</w:t>
      </w:r>
    </w:p>
    <w:p>
      <w:pPr>
        <w:pStyle w:val="ListParagraph"/>
        <w:numPr>
          <w:ilvl w:val="0"/>
          <w:numId w:val="2"/>
        </w:numPr>
        <w:spacing w:after="40" w:before="40" w:line="280"/>
      </w:pPr>
      <w:r>
        <w:rPr>
          <w:rFonts w:ascii="Calibri" w:cs="Calibri" w:eastAsia="Calibri" w:hAnsi="Calibri"/>
          <w:color w:val="222222"/>
          <w:sz w:val="22"/>
          <w:szCs w:val="22"/>
        </w:rPr>
        <w:t xml:space="preserve">"My Approvals" — pending approval decisions queued for the user</w:t>
      </w:r>
    </w:p>
    <w:p>
      <w:pPr>
        <w:pStyle w:val="ListParagraph"/>
        <w:numPr>
          <w:ilvl w:val="0"/>
          <w:numId w:val="2"/>
        </w:numPr>
        <w:spacing w:after="40" w:before="40" w:line="280"/>
      </w:pPr>
      <w:r>
        <w:rPr>
          <w:rFonts w:ascii="Calibri" w:cs="Calibri" w:eastAsia="Calibri" w:hAnsi="Calibri"/>
          <w:color w:val="222222"/>
          <w:sz w:val="22"/>
          <w:szCs w:val="22"/>
        </w:rPr>
        <w:t xml:space="preserve">"Recently Viewed" — quick access to recently accessed contracts</w:t>
      </w:r>
    </w:p>
    <w:p>
      <w:pPr>
        <w:pStyle w:val="Heading2"/>
        <w:spacing w:after="120" w:before="240"/>
      </w:pPr>
      <w:r>
        <w:rPr>
          <w:rFonts w:ascii="Calibri" w:cs="Calibri" w:eastAsia="Calibri" w:hAnsi="Calibri"/>
          <w:b/>
          <w:bCs/>
          <w:color w:val="4A1E66"/>
          <w:sz w:val="26"/>
          <w:szCs w:val="26"/>
        </w:rPr>
        <w:t xml:space="preserve">7.2 Guided Actions</w:t>
      </w:r>
    </w:p>
    <w:p>
      <w:pPr>
        <w:pStyle w:val="ListParagraph"/>
        <w:numPr>
          <w:ilvl w:val="0"/>
          <w:numId w:val="2"/>
        </w:numPr>
        <w:spacing w:after="40" w:before="40" w:line="280"/>
      </w:pPr>
      <w:r>
        <w:rPr>
          <w:rFonts w:ascii="Calibri" w:cs="Calibri" w:eastAsia="Calibri" w:hAnsi="Calibri"/>
          <w:color w:val="222222"/>
          <w:sz w:val="22"/>
          <w:szCs w:val="22"/>
        </w:rPr>
        <w:t xml:space="preserve">Next-best-action prompts displayed contextually based on contract stage and user role</w:t>
      </w:r>
    </w:p>
    <w:p>
      <w:pPr>
        <w:pStyle w:val="ListParagraph"/>
        <w:numPr>
          <w:ilvl w:val="0"/>
          <w:numId w:val="2"/>
        </w:numPr>
        <w:spacing w:after="40" w:before="40" w:line="280"/>
      </w:pPr>
      <w:r>
        <w:rPr>
          <w:rFonts w:ascii="Calibri" w:cs="Calibri" w:eastAsia="Calibri" w:hAnsi="Calibri"/>
          <w:color w:val="222222"/>
          <w:sz w:val="22"/>
          <w:szCs w:val="22"/>
        </w:rPr>
        <w:t xml:space="preserve">Hover-based tooltips and field-level help across all data entry forms</w:t>
      </w:r>
    </w:p>
    <w:p>
      <w:pPr>
        <w:pStyle w:val="ListParagraph"/>
        <w:numPr>
          <w:ilvl w:val="0"/>
          <w:numId w:val="2"/>
        </w:numPr>
        <w:spacing w:after="40" w:before="40" w:line="280"/>
      </w:pPr>
      <w:r>
        <w:rPr>
          <w:rFonts w:ascii="Calibri" w:cs="Calibri" w:eastAsia="Calibri" w:hAnsi="Calibri"/>
          <w:color w:val="222222"/>
          <w:sz w:val="22"/>
          <w:szCs w:val="22"/>
        </w:rPr>
        <w:t xml:space="preserve">Smart wizards for complex flows (e.g. amendment creation, renewal initiation)</w:t>
      </w:r>
    </w:p>
    <w:p>
      <w:pPr>
        <w:pStyle w:val="ListParagraph"/>
        <w:numPr>
          <w:ilvl w:val="0"/>
          <w:numId w:val="2"/>
        </w:numPr>
        <w:spacing w:after="40" w:before="40" w:line="280"/>
      </w:pPr>
      <w:r>
        <w:rPr>
          <w:rFonts w:ascii="Calibri" w:cs="Calibri" w:eastAsia="Calibri" w:hAnsi="Calibri"/>
          <w:color w:val="222222"/>
          <w:sz w:val="22"/>
          <w:szCs w:val="22"/>
        </w:rPr>
        <w:t xml:space="preserve">Embedded validation with clear, actionable error messages</w:t>
      </w:r>
    </w:p>
    <w:p>
      <w:pPr>
        <w:pStyle w:val="Heading2"/>
        <w:spacing w:after="120" w:before="240"/>
      </w:pPr>
      <w:r>
        <w:rPr>
          <w:rFonts w:ascii="Calibri" w:cs="Calibri" w:eastAsia="Calibri" w:hAnsi="Calibri"/>
          <w:b/>
          <w:bCs/>
          <w:color w:val="4A1E66"/>
          <w:sz w:val="26"/>
          <w:szCs w:val="26"/>
        </w:rPr>
        <w:t xml:space="preserve">7.3 Pre-Filled Metadata</w:t>
      </w:r>
    </w:p>
    <w:p>
      <w:pPr>
        <w:spacing w:after="60" w:before="60" w:line="300"/>
        <w:jc w:val="both"/>
      </w:pPr>
      <w:r>
        <w:rPr>
          <w:rFonts w:ascii="Calibri" w:cs="Calibri" w:eastAsia="Calibri" w:hAnsi="Calibri"/>
          <w:b w:val="false"/>
          <w:bCs w:val="false"/>
          <w:i w:val="false"/>
          <w:iCs w:val="false"/>
          <w:color w:val="222222"/>
          <w:sz w:val="22"/>
          <w:szCs w:val="22"/>
        </w:rPr>
        <w:t xml:space="preserve">To reduce manual data entry burden, the platform supports:</w:t>
      </w:r>
    </w:p>
    <w:p>
      <w:pPr>
        <w:pStyle w:val="ListParagraph"/>
        <w:numPr>
          <w:ilvl w:val="0"/>
          <w:numId w:val="2"/>
        </w:numPr>
        <w:spacing w:after="40" w:before="40" w:line="280"/>
      </w:pPr>
      <w:r>
        <w:rPr>
          <w:rFonts w:ascii="Calibri" w:cs="Calibri" w:eastAsia="Calibri" w:hAnsi="Calibri"/>
          <w:color w:val="222222"/>
          <w:sz w:val="22"/>
          <w:szCs w:val="22"/>
        </w:rPr>
        <w:t xml:space="preserve">Automatic metadata extraction from uploaded documents via OCR and AI</w:t>
      </w:r>
    </w:p>
    <w:p>
      <w:pPr>
        <w:pStyle w:val="ListParagraph"/>
        <w:numPr>
          <w:ilvl w:val="0"/>
          <w:numId w:val="2"/>
        </w:numPr>
        <w:spacing w:after="40" w:before="40" w:line="280"/>
      </w:pPr>
      <w:r>
        <w:rPr>
          <w:rFonts w:ascii="Calibri" w:cs="Calibri" w:eastAsia="Calibri" w:hAnsi="Calibri"/>
          <w:color w:val="222222"/>
          <w:sz w:val="22"/>
          <w:szCs w:val="22"/>
        </w:rPr>
        <w:t xml:space="preserve">Pre-population of fields based on counterparty profile and historical contracts</w:t>
      </w:r>
    </w:p>
    <w:p>
      <w:pPr>
        <w:pStyle w:val="ListParagraph"/>
        <w:numPr>
          <w:ilvl w:val="0"/>
          <w:numId w:val="2"/>
        </w:numPr>
        <w:spacing w:after="40" w:before="40" w:line="280"/>
      </w:pPr>
      <w:r>
        <w:rPr>
          <w:rFonts w:ascii="Calibri" w:cs="Calibri" w:eastAsia="Calibri" w:hAnsi="Calibri"/>
          <w:color w:val="222222"/>
          <w:sz w:val="22"/>
          <w:szCs w:val="22"/>
        </w:rPr>
        <w:t xml:space="preserve">Template-driven default values per contract type</w:t>
      </w:r>
    </w:p>
    <w:p>
      <w:pPr>
        <w:pStyle w:val="ListParagraph"/>
        <w:numPr>
          <w:ilvl w:val="0"/>
          <w:numId w:val="2"/>
        </w:numPr>
        <w:spacing w:after="40" w:before="40" w:line="280"/>
      </w:pPr>
      <w:r>
        <w:rPr>
          <w:rFonts w:ascii="Calibri" w:cs="Calibri" w:eastAsia="Calibri" w:hAnsi="Calibri"/>
          <w:color w:val="222222"/>
          <w:sz w:val="22"/>
          <w:szCs w:val="22"/>
        </w:rPr>
        <w:t xml:space="preserve">Integration-based pre-fill from upstream systems (ERP, CRM, vendor master)</w:t>
      </w:r>
    </w:p>
    <w:p>
      <w:pPr>
        <w:pStyle w:val="Heading2"/>
        <w:spacing w:after="120" w:before="240"/>
      </w:pPr>
      <w:r>
        <w:rPr>
          <w:rFonts w:ascii="Calibri" w:cs="Calibri" w:eastAsia="Calibri" w:hAnsi="Calibri"/>
          <w:b/>
          <w:bCs/>
          <w:color w:val="4A1E66"/>
          <w:sz w:val="26"/>
          <w:szCs w:val="26"/>
        </w:rPr>
        <w:t xml:space="preserve">7.4 Progress Tracker</w:t>
      </w:r>
    </w:p>
    <w:p>
      <w:pPr>
        <w:spacing w:after="60" w:before="60" w:line="300"/>
        <w:jc w:val="both"/>
      </w:pPr>
      <w:r>
        <w:rPr>
          <w:rFonts w:ascii="Calibri" w:cs="Calibri" w:eastAsia="Calibri" w:hAnsi="Calibri"/>
          <w:b w:val="false"/>
          <w:bCs w:val="false"/>
          <w:i w:val="false"/>
          <w:iCs w:val="false"/>
          <w:color w:val="222222"/>
          <w:sz w:val="22"/>
          <w:szCs w:val="22"/>
        </w:rPr>
        <w:t xml:space="preserve">Every contract displays a clear, visual stage indicator showing its position in the lifecycle:</w:t>
      </w:r>
    </w:p>
    <w:p>
      <w:pPr>
        <w:spacing w:after="60" w:before="60" w:line="300"/>
        <w:jc w:val="center"/>
      </w:pPr>
      <w:r>
        <w:rPr>
          <w:rFonts w:ascii="Calibri" w:cs="Calibri" w:eastAsia="Calibri" w:hAnsi="Calibri"/>
          <w:b/>
          <w:bCs/>
          <w:i w:val="false"/>
          <w:iCs w:val="false"/>
          <w:color w:val="222222"/>
          <w:sz w:val="22"/>
          <w:szCs w:val="22"/>
        </w:rPr>
        <w:t xml:space="preserve">Intake  →  Drafting  →  Review  →  Approval  →  Sign  →  Active  →  Renewal/Expiry</w:t>
      </w:r>
    </w:p>
    <w:p>
      <w:pPr>
        <w:spacing w:after="60" w:before="60" w:line="300"/>
        <w:jc w:val="both"/>
      </w:pPr>
      <w:r>
        <w:rPr>
          <w:rFonts w:ascii="Calibri" w:cs="Calibri" w:eastAsia="Calibri" w:hAnsi="Calibri"/>
          <w:b w:val="false"/>
          <w:bCs w:val="false"/>
          <w:i w:val="false"/>
          <w:iCs w:val="false"/>
          <w:color w:val="222222"/>
          <w:sz w:val="22"/>
          <w:szCs w:val="22"/>
        </w:rPr>
        <w:t xml:space="preserve">The progress tracker is interactive, allowing authorised users to view stage details, history, and pending actions directly from the timeline view.</w:t>
      </w:r>
    </w:p>
    <w:p>
      <w:pPr>
        <w:pStyle w:val="Heading2"/>
        <w:spacing w:after="120" w:before="240"/>
      </w:pPr>
      <w:r>
        <w:rPr>
          <w:rFonts w:ascii="Calibri" w:cs="Calibri" w:eastAsia="Calibri" w:hAnsi="Calibri"/>
          <w:b/>
          <w:bCs/>
          <w:color w:val="4A1E66"/>
          <w:sz w:val="26"/>
          <w:szCs w:val="26"/>
        </w:rPr>
        <w:t xml:space="preserve">7.5 Accessibility</w:t>
      </w:r>
    </w:p>
    <w:p>
      <w:pPr>
        <w:spacing w:after="60" w:before="60" w:line="300"/>
        <w:jc w:val="both"/>
      </w:pPr>
      <w:r>
        <w:rPr>
          <w:rFonts w:ascii="Calibri" w:cs="Calibri" w:eastAsia="Calibri" w:hAnsi="Calibri"/>
          <w:b w:val="false"/>
          <w:bCs w:val="false"/>
          <w:i w:val="false"/>
          <w:iCs w:val="false"/>
          <w:color w:val="222222"/>
          <w:sz w:val="22"/>
          <w:szCs w:val="22"/>
        </w:rPr>
        <w:t xml:space="preserve">The platform is designed to comply with WCAG 2.1 AA accessibility standards, including:</w:t>
      </w:r>
    </w:p>
    <w:p>
      <w:pPr>
        <w:pStyle w:val="ListParagraph"/>
        <w:numPr>
          <w:ilvl w:val="0"/>
          <w:numId w:val="2"/>
        </w:numPr>
        <w:spacing w:after="40" w:before="40" w:line="280"/>
      </w:pPr>
      <w:r>
        <w:rPr>
          <w:rFonts w:ascii="Calibri" w:cs="Calibri" w:eastAsia="Calibri" w:hAnsi="Calibri"/>
          <w:color w:val="222222"/>
          <w:sz w:val="22"/>
          <w:szCs w:val="22"/>
        </w:rPr>
        <w:t xml:space="preserve">Full keyboard navigation support across all interfaces</w:t>
      </w:r>
    </w:p>
    <w:p>
      <w:pPr>
        <w:pStyle w:val="ListParagraph"/>
        <w:numPr>
          <w:ilvl w:val="0"/>
          <w:numId w:val="2"/>
        </w:numPr>
        <w:spacing w:after="40" w:before="40" w:line="280"/>
      </w:pPr>
      <w:r>
        <w:rPr>
          <w:rFonts w:ascii="Calibri" w:cs="Calibri" w:eastAsia="Calibri" w:hAnsi="Calibri"/>
          <w:color w:val="222222"/>
          <w:sz w:val="22"/>
          <w:szCs w:val="22"/>
        </w:rPr>
        <w:t xml:space="preserve">Sufficient colour contrast ratios meeting WCAG AA requirements</w:t>
      </w:r>
    </w:p>
    <w:p>
      <w:pPr>
        <w:pStyle w:val="ListParagraph"/>
        <w:numPr>
          <w:ilvl w:val="0"/>
          <w:numId w:val="2"/>
        </w:numPr>
        <w:spacing w:after="40" w:before="40" w:line="280"/>
      </w:pPr>
      <w:r>
        <w:rPr>
          <w:rFonts w:ascii="Calibri" w:cs="Calibri" w:eastAsia="Calibri" w:hAnsi="Calibri"/>
          <w:color w:val="222222"/>
          <w:sz w:val="22"/>
          <w:szCs w:val="22"/>
        </w:rPr>
        <w:t xml:space="preserve">Screen reader support with ARIA labels and semantic HTML</w:t>
      </w:r>
    </w:p>
    <w:p>
      <w:pPr>
        <w:pStyle w:val="ListParagraph"/>
        <w:numPr>
          <w:ilvl w:val="0"/>
          <w:numId w:val="2"/>
        </w:numPr>
        <w:spacing w:after="40" w:before="40" w:line="280"/>
      </w:pPr>
      <w:r>
        <w:rPr>
          <w:rFonts w:ascii="Calibri" w:cs="Calibri" w:eastAsia="Calibri" w:hAnsi="Calibri"/>
          <w:color w:val="222222"/>
          <w:sz w:val="22"/>
          <w:szCs w:val="22"/>
        </w:rPr>
        <w:t xml:space="preserve">Resizable text and zoom support without loss of functionality</w:t>
      </w:r>
    </w:p>
    <w:p>
      <w:pPr>
        <w:pStyle w:val="ListParagraph"/>
        <w:numPr>
          <w:ilvl w:val="0"/>
          <w:numId w:val="2"/>
        </w:numPr>
        <w:spacing w:after="40" w:before="40" w:line="280"/>
      </w:pPr>
      <w:r>
        <w:rPr>
          <w:rFonts w:ascii="Calibri" w:cs="Calibri" w:eastAsia="Calibri" w:hAnsi="Calibri"/>
          <w:color w:val="222222"/>
          <w:sz w:val="22"/>
          <w:szCs w:val="22"/>
        </w:rPr>
        <w:t xml:space="preserve">Focus indicators and skip-navigation links</w:t>
      </w:r>
    </w:p>
    <w:p>
      <w:pPr>
        <w:pStyle w:val="ListParagraph"/>
        <w:numPr>
          <w:ilvl w:val="0"/>
          <w:numId w:val="2"/>
        </w:numPr>
        <w:spacing w:after="40" w:before="40" w:line="280"/>
      </w:pPr>
      <w:r>
        <w:rPr>
          <w:rFonts w:ascii="Calibri" w:cs="Calibri" w:eastAsia="Calibri" w:hAnsi="Calibri"/>
          <w:color w:val="222222"/>
          <w:sz w:val="22"/>
          <w:szCs w:val="22"/>
        </w:rPr>
        <w:t xml:space="preserve">Alternative text for all meaningful images and icons</w:t>
      </w:r>
    </w:p>
    <w:p>
      <w:pPr>
        <w:pStyle w:val="Heading2"/>
        <w:spacing w:after="120" w:before="240"/>
      </w:pPr>
      <w:r>
        <w:rPr>
          <w:rFonts w:ascii="Calibri" w:cs="Calibri" w:eastAsia="Calibri" w:hAnsi="Calibri"/>
          <w:b/>
          <w:bCs/>
          <w:color w:val="4A1E66"/>
          <w:sz w:val="26"/>
          <w:szCs w:val="26"/>
        </w:rPr>
        <w:t xml:space="preserve">7.6 Localization</w:t>
      </w:r>
    </w:p>
    <w:p>
      <w:pPr>
        <w:spacing w:after="60" w:before="60" w:line="300"/>
        <w:jc w:val="both"/>
      </w:pPr>
      <w:r>
        <w:rPr>
          <w:rFonts w:ascii="Calibri" w:cs="Calibri" w:eastAsia="Calibri" w:hAnsi="Calibri"/>
          <w:b w:val="false"/>
          <w:bCs w:val="false"/>
          <w:i w:val="false"/>
          <w:iCs w:val="false"/>
          <w:color w:val="222222"/>
          <w:sz w:val="22"/>
          <w:szCs w:val="22"/>
        </w:rPr>
        <w:t xml:space="preserve">Terminology and user interface elements can be localised to align with internal organisational policy and local legal context:</w:t>
      </w:r>
    </w:p>
    <w:p>
      <w:pPr>
        <w:pStyle w:val="ListParagraph"/>
        <w:numPr>
          <w:ilvl w:val="0"/>
          <w:numId w:val="2"/>
        </w:numPr>
        <w:spacing w:after="40" w:before="40" w:line="280"/>
      </w:pPr>
      <w:r>
        <w:rPr>
          <w:rFonts w:ascii="Calibri" w:cs="Calibri" w:eastAsia="Calibri" w:hAnsi="Calibri"/>
          <w:color w:val="222222"/>
          <w:sz w:val="22"/>
          <w:szCs w:val="22"/>
        </w:rPr>
        <w:t xml:space="preserve">Multi-language support with English as primary language</w:t>
      </w:r>
    </w:p>
    <w:p>
      <w:pPr>
        <w:pStyle w:val="ListParagraph"/>
        <w:numPr>
          <w:ilvl w:val="0"/>
          <w:numId w:val="2"/>
        </w:numPr>
        <w:spacing w:after="40" w:before="40" w:line="280"/>
      </w:pPr>
      <w:r>
        <w:rPr>
          <w:rFonts w:ascii="Calibri" w:cs="Calibri" w:eastAsia="Calibri" w:hAnsi="Calibri"/>
          <w:color w:val="222222"/>
          <w:sz w:val="22"/>
          <w:szCs w:val="22"/>
        </w:rPr>
        <w:t xml:space="preserve">Urdu language support available for the Pakistan market</w:t>
      </w:r>
    </w:p>
    <w:p>
      <w:pPr>
        <w:pStyle w:val="ListParagraph"/>
        <w:numPr>
          <w:ilvl w:val="0"/>
          <w:numId w:val="2"/>
        </w:numPr>
        <w:spacing w:after="40" w:before="40" w:line="280"/>
      </w:pPr>
      <w:r>
        <w:rPr>
          <w:rFonts w:ascii="Calibri" w:cs="Calibri" w:eastAsia="Calibri" w:hAnsi="Calibri"/>
          <w:color w:val="222222"/>
          <w:sz w:val="22"/>
          <w:szCs w:val="22"/>
        </w:rPr>
        <w:t xml:space="preserve">Configurable terminology dictionaries per organisation</w:t>
      </w:r>
    </w:p>
    <w:p>
      <w:pPr>
        <w:pStyle w:val="ListParagraph"/>
        <w:numPr>
          <w:ilvl w:val="0"/>
          <w:numId w:val="2"/>
        </w:numPr>
        <w:spacing w:after="40" w:before="40" w:line="280"/>
      </w:pPr>
      <w:r>
        <w:rPr>
          <w:rFonts w:ascii="Calibri" w:cs="Calibri" w:eastAsia="Calibri" w:hAnsi="Calibri"/>
          <w:color w:val="222222"/>
          <w:sz w:val="22"/>
          <w:szCs w:val="22"/>
        </w:rPr>
        <w:t xml:space="preserve">Date, currency, and number formatting aligned with regional conventions</w:t>
      </w:r>
    </w:p>
    <w:p>
      <w:pPr>
        <w:pStyle w:val="ListParagraph"/>
        <w:numPr>
          <w:ilvl w:val="0"/>
          <w:numId w:val="2"/>
        </w:numPr>
        <w:spacing w:after="40" w:before="40" w:line="280"/>
      </w:pPr>
      <w:r>
        <w:rPr>
          <w:rFonts w:ascii="Calibri" w:cs="Calibri" w:eastAsia="Calibri" w:hAnsi="Calibri"/>
          <w:color w:val="222222"/>
          <w:sz w:val="22"/>
          <w:szCs w:val="22"/>
        </w:rPr>
        <w:t xml:space="preserve">Right-to-left (RTL) layout support where required</w:t>
      </w:r>
    </w:p>
    <w:p>
      <w:pPr>
        <w:pStyle w:val="ListParagraph"/>
        <w:numPr>
          <w:ilvl w:val="0"/>
          <w:numId w:val="2"/>
        </w:numPr>
        <w:spacing w:after="40" w:before="40" w:line="280"/>
      </w:pPr>
      <w:r>
        <w:rPr>
          <w:rFonts w:ascii="Calibri" w:cs="Calibri" w:eastAsia="Calibri" w:hAnsi="Calibri"/>
          <w:color w:val="222222"/>
          <w:sz w:val="22"/>
          <w:szCs w:val="22"/>
        </w:rPr>
        <w:t xml:space="preserve">Locale-specific legal terminology mapping</w:t>
      </w:r>
    </w:p>
    <w:p>
      <w:pPr>
        <w:pStyle w:val="Heading1"/>
        <w:pBdr>
          <w:bottom w:val="single" w:color="6B2C91" w:sz="12" w:space="6"/>
        </w:pBdr>
        <w:spacing w:after="180" w:before="360"/>
      </w:pPr>
      <w:r>
        <w:rPr>
          <w:rFonts w:ascii="Calibri" w:cs="Calibri" w:eastAsia="Calibri" w:hAnsi="Calibri"/>
          <w:b/>
          <w:bCs/>
          <w:color w:val="6B2C91"/>
          <w:sz w:val="30"/>
          <w:szCs w:val="30"/>
        </w:rPr>
        <w:t xml:space="preserve">8. KPIs &amp; Governance Framework</w:t>
      </w:r>
    </w:p>
    <w:p>
      <w:pPr>
        <w:spacing w:after="60" w:before="60" w:line="300"/>
        <w:jc w:val="both"/>
      </w:pPr>
      <w:r>
        <w:rPr>
          <w:rFonts w:ascii="Calibri" w:cs="Calibri" w:eastAsia="Calibri" w:hAnsi="Calibri"/>
          <w:b w:val="false"/>
          <w:bCs w:val="false"/>
          <w:i w:val="false"/>
          <w:iCs w:val="false"/>
          <w:color w:val="222222"/>
          <w:sz w:val="22"/>
          <w:szCs w:val="22"/>
        </w:rPr>
        <w:t xml:space="preserve">In direct alignment with RFI Section 3b (KPIs &amp; Governance), the platform delivers the following measurable KPIs across operational and compliance dimensions.</w:t>
      </w:r>
    </w:p>
    <w:p>
      <w:pPr>
        <w:pStyle w:val="Heading2"/>
        <w:spacing w:after="120" w:before="240"/>
      </w:pPr>
      <w:r>
        <w:rPr>
          <w:rFonts w:ascii="Calibri" w:cs="Calibri" w:eastAsia="Calibri" w:hAnsi="Calibri"/>
          <w:b/>
          <w:bCs/>
          <w:color w:val="4A1E66"/>
          <w:sz w:val="26"/>
          <w:szCs w:val="26"/>
        </w:rPr>
        <w:t xml:space="preserve">8.1 Operational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KPI</w:t>
            </w:r>
          </w:p>
        </w:tc>
        <w:tc>
          <w:tcPr>
            <w:tcW w:type="dxa" w:w="58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Measurement Approach</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Average cycle time per contract type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Measured from intake submission to signature completion, segmented by contract type (NDA, MSA, SLA, Stand Alone)</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 SLA adherence by stage</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Percentage of contracts meeting SLA at each lifecycle stage (Drafting, Review, Approval, Signature)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Escalations per month</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Count of contracts breaching SLA and triggering escalation, by stage and severity</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Mean time to resolve escalations</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Average duration from escalation trigger to resolution, by escalation type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Top bottleneck stages (heatmap)</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Visual heatmap identifying stages and departments with the highest delays</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Reduction in deviations from playbook</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Trend of clause deviations over time vs baseline, showing playbook compliance improvement</w:t>
            </w:r>
          </w:p>
        </w:tc>
      </w:tr>
    </w:tbl>
    <w:p>
      <w:pPr>
        <w:pStyle w:val="Heading2"/>
        <w:spacing w:after="120" w:before="240"/>
      </w:pPr>
      <w:r>
        <w:rPr>
          <w:rFonts w:ascii="Calibri" w:cs="Calibri" w:eastAsia="Calibri" w:hAnsi="Calibri"/>
          <w:b/>
          <w:bCs/>
          <w:color w:val="4A1E66"/>
          <w:sz w:val="26"/>
          <w:szCs w:val="26"/>
        </w:rPr>
        <w:t xml:space="preserve">8.2 Compliance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KPI</w:t>
            </w:r>
          </w:p>
        </w:tc>
        <w:tc>
          <w:tcPr>
            <w:tcW w:type="dxa" w:w="58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Measurement Approach</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 contracts with mandatory clauses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Percentage of executed contracts containing all required mandatory clauses (anti-corruption, data privacy, IP, etc.)</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 renewals processed on time</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Percentage of renewals completed before contract expiry vs after, with trend analysis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Audit findings &amp; remediation rate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Count of audit findings raised and percentage remediated within agreed SLA timelines</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9. Technical Architecture &amp; Design</w:t>
      </w:r>
    </w:p>
    <w:p>
      <w:pPr>
        <w:spacing w:after="60" w:before="60" w:line="300"/>
        <w:jc w:val="both"/>
      </w:pPr>
      <w:r>
        <w:rPr>
          <w:rFonts w:ascii="Calibri" w:cs="Calibri" w:eastAsia="Calibri" w:hAnsi="Calibri"/>
          <w:b w:val="false"/>
          <w:bCs w:val="false"/>
          <w:i w:val="false"/>
          <w:iCs w:val="false"/>
          <w:color w:val="222222"/>
          <w:sz w:val="22"/>
          <w:szCs w:val="22"/>
        </w:rPr>
        <w:t xml:space="preserve">The proposed platform follows enterprise architecture principles aligned with RFI Section 3c (Technical Evaluation — Architecture).</w:t>
      </w:r>
    </w:p>
    <w:p>
      <w:pPr>
        <w:pStyle w:val="Heading2"/>
        <w:spacing w:after="120" w:before="240"/>
      </w:pPr>
      <w:r>
        <w:rPr>
          <w:rFonts w:ascii="Calibri" w:cs="Calibri" w:eastAsia="Calibri" w:hAnsi="Calibri"/>
          <w:b/>
          <w:bCs/>
          <w:color w:val="4A1E66"/>
          <w:sz w:val="26"/>
          <w:szCs w:val="26"/>
        </w:rPr>
        <w:t xml:space="preserve">9.1 Architecture Principles</w:t>
      </w:r>
    </w:p>
    <w:p>
      <w:pPr>
        <w:pStyle w:val="ListParagraph"/>
        <w:numPr>
          <w:ilvl w:val="0"/>
          <w:numId w:val="2"/>
        </w:numPr>
        <w:spacing w:after="40" w:before="40" w:line="280"/>
      </w:pPr>
      <w:r>
        <w:rPr>
          <w:rFonts w:ascii="Calibri" w:cs="Calibri" w:eastAsia="Calibri" w:hAnsi="Calibri"/>
          <w:color w:val="222222"/>
          <w:sz w:val="22"/>
          <w:szCs w:val="22"/>
        </w:rPr>
        <w:t xml:space="preserve">Multi-tier, web-based architecture with clear separation of presentation, application, integration, and data layers</w:t>
      </w:r>
    </w:p>
    <w:p>
      <w:pPr>
        <w:pStyle w:val="ListParagraph"/>
        <w:numPr>
          <w:ilvl w:val="0"/>
          <w:numId w:val="2"/>
        </w:numPr>
        <w:spacing w:after="40" w:before="40" w:line="280"/>
      </w:pPr>
      <w:r>
        <w:rPr>
          <w:rFonts w:ascii="Calibri" w:cs="Calibri" w:eastAsia="Calibri" w:hAnsi="Calibri"/>
          <w:color w:val="222222"/>
          <w:sz w:val="22"/>
          <w:szCs w:val="22"/>
        </w:rPr>
        <w:t xml:space="preserve">Modular, API-driven, and scalable for future enhancements and integrations</w:t>
      </w:r>
    </w:p>
    <w:p>
      <w:pPr>
        <w:pStyle w:val="ListParagraph"/>
        <w:numPr>
          <w:ilvl w:val="0"/>
          <w:numId w:val="2"/>
        </w:numPr>
        <w:spacing w:after="40" w:before="40" w:line="280"/>
      </w:pPr>
      <w:r>
        <w:rPr>
          <w:rFonts w:ascii="Calibri" w:cs="Calibri" w:eastAsia="Calibri" w:hAnsi="Calibri"/>
          <w:color w:val="222222"/>
          <w:sz w:val="22"/>
          <w:szCs w:val="22"/>
        </w:rPr>
        <w:t xml:space="preserve">High Availability (HA) setup across web, application, queue, and database layers via load balancing and orchestration</w:t>
      </w:r>
    </w:p>
    <w:p>
      <w:pPr>
        <w:pStyle w:val="ListParagraph"/>
        <w:numPr>
          <w:ilvl w:val="0"/>
          <w:numId w:val="2"/>
        </w:numPr>
        <w:spacing w:after="40" w:before="40" w:line="280"/>
      </w:pPr>
      <w:r>
        <w:rPr>
          <w:rFonts w:ascii="Calibri" w:cs="Calibri" w:eastAsia="Calibri" w:hAnsi="Calibri"/>
          <w:color w:val="222222"/>
          <w:sz w:val="22"/>
          <w:szCs w:val="22"/>
        </w:rPr>
        <w:t xml:space="preserve">Microservices-ready architecture, compatible with Oracle Kubernetes Engine (OKE) and other Kubernetes-based platforms</w:t>
      </w:r>
    </w:p>
    <w:p>
      <w:pPr>
        <w:pStyle w:val="ListParagraph"/>
        <w:numPr>
          <w:ilvl w:val="0"/>
          <w:numId w:val="2"/>
        </w:numPr>
        <w:spacing w:after="40" w:before="40" w:line="280"/>
      </w:pPr>
      <w:r>
        <w:rPr>
          <w:rFonts w:ascii="Calibri" w:cs="Calibri" w:eastAsia="Calibri" w:hAnsi="Calibri"/>
          <w:color w:val="222222"/>
          <w:sz w:val="22"/>
          <w:szCs w:val="22"/>
        </w:rPr>
        <w:t xml:space="preserve">Stateless application services to enable horizontal scaling</w:t>
      </w:r>
    </w:p>
    <w:p>
      <w:pPr>
        <w:pStyle w:val="ListParagraph"/>
        <w:numPr>
          <w:ilvl w:val="0"/>
          <w:numId w:val="2"/>
        </w:numPr>
        <w:spacing w:after="40" w:before="40" w:line="280"/>
      </w:pPr>
      <w:r>
        <w:rPr>
          <w:rFonts w:ascii="Calibri" w:cs="Calibri" w:eastAsia="Calibri" w:hAnsi="Calibri"/>
          <w:color w:val="222222"/>
          <w:sz w:val="22"/>
          <w:szCs w:val="22"/>
        </w:rPr>
        <w:t xml:space="preserve">Event-driven processing for OCR, AI, and notification workloads</w:t>
      </w:r>
    </w:p>
    <w:p>
      <w:pPr>
        <w:pStyle w:val="ListParagraph"/>
        <w:numPr>
          <w:ilvl w:val="0"/>
          <w:numId w:val="2"/>
        </w:numPr>
        <w:spacing w:after="40" w:before="40" w:line="280"/>
      </w:pPr>
      <w:r>
        <w:rPr>
          <w:rFonts w:ascii="Calibri" w:cs="Calibri" w:eastAsia="Calibri" w:hAnsi="Calibri"/>
          <w:color w:val="222222"/>
          <w:sz w:val="22"/>
          <w:szCs w:val="22"/>
        </w:rPr>
        <w:t xml:space="preserve">Data purging and archiving aligned with retention policies</w:t>
      </w:r>
    </w:p>
    <w:p>
      <w:pPr>
        <w:pStyle w:val="Heading2"/>
        <w:spacing w:after="120" w:before="240"/>
      </w:pPr>
      <w:r>
        <w:rPr>
          <w:rFonts w:ascii="Calibri" w:cs="Calibri" w:eastAsia="Calibri" w:hAnsi="Calibri"/>
          <w:b/>
          <w:bCs/>
          <w:color w:val="4A1E66"/>
          <w:sz w:val="26"/>
          <w:szCs w:val="26"/>
        </w:rPr>
        <w:t xml:space="preserve">9.2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Layer</w:t>
            </w:r>
          </w:p>
        </w:tc>
        <w:tc>
          <w:tcPr>
            <w:tcW w:type="dxa" w:w="63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Recommended Technologies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Frontend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Next.js, React, TypeScript, Tailwind CSS</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Backend</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Python (FastAPI) — API-first, modular, async-capable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Database (Preferred)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PostgreSQL with Row-Level Security and JSONB</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Database (Alternate)</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Microsoft SQL Server or Oracle Database (subject to scope and licensing)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Caching &amp; Queues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Redis (cache), Redis + Celery (background processing)</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Search</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Elasticsearch / OpenSearch for full-text and OCR search</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Object Storage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S3-compatible storage (AWS S3, MinIO, or equivalent enterprise solution)</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Container Orchestration</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Docker + Kubernetes (OKE-compatible)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API Gateway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KONG (preferred), or equivalent enterprise API gateway</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Authentication</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OAuth 2.0 / OIDC with enterprise IAM and MFA integration</w:t>
            </w:r>
          </w:p>
        </w:tc>
      </w:tr>
    </w:tbl>
    <w:p>
      <w:pPr>
        <w:pStyle w:val="Heading2"/>
        <w:spacing w:after="120" w:before="240"/>
      </w:pPr>
      <w:r>
        <w:rPr>
          <w:rFonts w:ascii="Calibri" w:cs="Calibri" w:eastAsia="Calibri" w:hAnsi="Calibri"/>
          <w:b/>
          <w:bCs/>
          <w:color w:val="4A1E66"/>
          <w:sz w:val="26"/>
          <w:szCs w:val="26"/>
        </w:rPr>
        <w:t xml:space="preserve">9.3 Operating System Compatibility</w:t>
      </w:r>
    </w:p>
    <w:p>
      <w:pPr>
        <w:spacing w:after="60" w:before="60" w:line="300"/>
        <w:jc w:val="both"/>
      </w:pPr>
      <w:r>
        <w:rPr>
          <w:rFonts w:ascii="Calibri" w:cs="Calibri" w:eastAsia="Calibri" w:hAnsi="Calibri"/>
          <w:b w:val="false"/>
          <w:bCs w:val="false"/>
          <w:i w:val="false"/>
          <w:iCs w:val="false"/>
          <w:color w:val="222222"/>
          <w:sz w:val="22"/>
          <w:szCs w:val="22"/>
        </w:rPr>
        <w:t xml:space="preserve">The proposed platform can be deployed on the following enterprise-supported operating systems, fully aligned with RFI requirements:</w:t>
      </w:r>
    </w:p>
    <w:p>
      <w:pPr>
        <w:pStyle w:val="ListParagraph"/>
        <w:numPr>
          <w:ilvl w:val="0"/>
          <w:numId w:val="2"/>
        </w:numPr>
        <w:spacing w:after="40" w:before="40" w:line="280"/>
      </w:pPr>
      <w:r>
        <w:rPr>
          <w:rFonts w:ascii="Calibri" w:cs="Calibri" w:eastAsia="Calibri" w:hAnsi="Calibri"/>
          <w:color w:val="222222"/>
          <w:sz w:val="22"/>
          <w:szCs w:val="22"/>
        </w:rPr>
        <w:t xml:space="preserve">Oracle Linux 8.1 or above (RFI preferred)</w:t>
      </w:r>
    </w:p>
    <w:p>
      <w:pPr>
        <w:pStyle w:val="ListParagraph"/>
        <w:numPr>
          <w:ilvl w:val="0"/>
          <w:numId w:val="2"/>
        </w:numPr>
        <w:spacing w:after="40" w:before="40" w:line="280"/>
      </w:pPr>
      <w:r>
        <w:rPr>
          <w:rFonts w:ascii="Calibri" w:cs="Calibri" w:eastAsia="Calibri" w:hAnsi="Calibri"/>
          <w:color w:val="222222"/>
          <w:sz w:val="22"/>
          <w:szCs w:val="22"/>
        </w:rPr>
        <w:t xml:space="preserve">Red Hat Enterprise Linux 8 or above</w:t>
      </w:r>
    </w:p>
    <w:p>
      <w:pPr>
        <w:pStyle w:val="ListParagraph"/>
        <w:numPr>
          <w:ilvl w:val="0"/>
          <w:numId w:val="2"/>
        </w:numPr>
        <w:spacing w:after="40" w:before="40" w:line="280"/>
      </w:pPr>
      <w:r>
        <w:rPr>
          <w:rFonts w:ascii="Calibri" w:cs="Calibri" w:eastAsia="Calibri" w:hAnsi="Calibri"/>
          <w:color w:val="222222"/>
          <w:sz w:val="22"/>
          <w:szCs w:val="22"/>
        </w:rPr>
        <w:t xml:space="preserve">Ubuntu LTS 22.04 or above</w:t>
      </w:r>
    </w:p>
    <w:p>
      <w:pPr>
        <w:pStyle w:val="ListParagraph"/>
        <w:numPr>
          <w:ilvl w:val="0"/>
          <w:numId w:val="2"/>
        </w:numPr>
        <w:spacing w:after="40" w:before="40" w:line="280"/>
      </w:pPr>
      <w:r>
        <w:rPr>
          <w:rFonts w:ascii="Calibri" w:cs="Calibri" w:eastAsia="Calibri" w:hAnsi="Calibri"/>
          <w:color w:val="222222"/>
          <w:sz w:val="22"/>
          <w:szCs w:val="22"/>
        </w:rPr>
        <w:t xml:space="preserve">Windows Server 2022 or above (RFI preferred)</w:t>
      </w:r>
    </w:p>
    <w:p>
      <w:pPr>
        <w:pStyle w:val="Heading1"/>
        <w:pBdr>
          <w:bottom w:val="single" w:color="6B2C91" w:sz="12" w:space="6"/>
        </w:pBdr>
        <w:spacing w:after="180" w:before="360"/>
      </w:pPr>
      <w:r>
        <w:rPr>
          <w:rFonts w:ascii="Calibri" w:cs="Calibri" w:eastAsia="Calibri" w:hAnsi="Calibri"/>
          <w:b/>
          <w:bCs/>
          <w:color w:val="6B2C91"/>
          <w:sz w:val="30"/>
          <w:szCs w:val="30"/>
        </w:rPr>
        <w:t xml:space="preserve">10. Architecture Diagram</w:t>
      </w:r>
    </w:p>
    <w:p>
      <w:pPr>
        <w:spacing w:after="60" w:before="60" w:line="300"/>
        <w:jc w:val="both"/>
      </w:pPr>
      <w:r>
        <w:rPr>
          <w:rFonts w:ascii="Calibri" w:cs="Calibri" w:eastAsia="Calibri" w:hAnsi="Calibri"/>
          <w:b w:val="false"/>
          <w:bCs w:val="false"/>
          <w:i w:val="false"/>
          <w:iCs w:val="false"/>
          <w:color w:val="222222"/>
          <w:sz w:val="22"/>
          <w:szCs w:val="22"/>
        </w:rPr>
        <w:t xml:space="preserve">The high-level logical architecture of the proposed Digital Contract Management Platform is illustrated below. The architecture is multi-tier, modular, API-driven, and designed for enterprise-grade availability, security, and scalability.</w:t>
      </w:r>
    </w:p>
    <w:p>
      <w:pPr>
        <w:pStyle w:val="Heading2"/>
        <w:spacing w:after="120" w:before="240"/>
      </w:pPr>
      <w:r>
        <w:rPr>
          <w:rFonts w:ascii="Calibri" w:cs="Calibri" w:eastAsia="Calibri" w:hAnsi="Calibri"/>
          <w:b/>
          <w:bCs/>
          <w:color w:val="4A1E66"/>
          <w:sz w:val="26"/>
          <w:szCs w:val="26"/>
        </w:rPr>
        <w:t xml:space="preserve">10.1 Layered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Layer</w:t>
            </w:r>
          </w:p>
        </w:tc>
        <w:tc>
          <w:tcPr>
            <w:tcW w:type="dxa" w:w="65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Components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User Access Layer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Web Portal (Next.js), External Vendor Portal, Admin Portal, Mobile-Responsive Access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Security &amp; Access Layer</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WAF, API Gateway (KONG), IAM / SSO, MFA, RBAC</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Application Layer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Contract Management Services, Workflow Engine, Approval Services, E-Signature Service, OCR/AI Services, Notification Service, Reporting &amp; Analytics Service</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Data Layer</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PostgreSQL / MSSQL / Oracle Database, Redis Cache &amp; Queues, Secure Object Storage, Search Index</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Integration Layer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REST/SOAP APIs, Microsoft Teams, SharePoint, Outlook, NIFT Digital Signature, Enterprise IAM/SSO</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Operations Layer</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Centralised Monitoring, Centralised Logging (CLF/CEF), SIEM Integration, Backup &amp; Disaster Recovery, CI/CD Pipeline</w:t>
            </w:r>
          </w:p>
        </w:tc>
      </w:tr>
    </w:tbl>
    <w:p>
      <w:pPr>
        <w:pStyle w:val="Heading2"/>
        <w:spacing w:after="120" w:before="240"/>
      </w:pPr>
      <w:r>
        <w:rPr>
          <w:rFonts w:ascii="Calibri" w:cs="Calibri" w:eastAsia="Calibri" w:hAnsi="Calibri"/>
          <w:b/>
          <w:bCs/>
          <w:color w:val="4A1E66"/>
          <w:sz w:val="26"/>
          <w:szCs w:val="26"/>
        </w:rPr>
        <w:t xml:space="preserve">10.2 Flow Diagram (Mermaid)</w:t>
      </w:r>
    </w:p>
    <w:p>
      <w:pPr>
        <w:spacing w:after="60" w:before="60" w:line="300"/>
        <w:jc w:val="both"/>
      </w:pPr>
      <w:r>
        <w:rPr>
          <w:rFonts w:ascii="Calibri" w:cs="Calibri" w:eastAsia="Calibri" w:hAnsi="Calibri"/>
          <w:b w:val="false"/>
          <w:bCs w:val="false"/>
          <w:i w:val="false"/>
          <w:iCs w:val="false"/>
          <w:color w:val="222222"/>
          <w:sz w:val="22"/>
          <w:szCs w:val="22"/>
        </w:rPr>
        <w:t xml:space="preserve">The following Mermaid-format diagram illustrates the platform's component interaction. This diagram can be rendered in any Mermaid-compatible viewer.</w:t>
      </w:r>
    </w:p>
    <w:p>
      <w:pPr>
        <w:shd w:fill="E8DCF0" w:val="clear"/>
        <w:spacing w:after="120" w:before="120"/>
      </w:pPr>
      <w:r>
        <w:rPr>
          <w:rFonts w:ascii="Consolas" w:cs="Consolas" w:eastAsia="Consolas" w:hAnsi="Consolas"/>
          <w:color w:val="222222"/>
          <w:sz w:val="16"/>
          <w:szCs w:val="16"/>
        </w:rPr>
        <w:t xml:space="preserve">flowchart TD
    A[Users / Internal Teams / External Vendors] --&gt; B[Web Portal - Next.js]
    B --&gt; C[WAF / Load Balancer]
    C --&gt; D[API Gateway / KONG]
    D --&gt; E[FastAPI Backend Services]
    E --&gt; F[Auth &amp; RBAC Service]
    E --&gt; G[Contract Lifecycle Service]
    E --&gt; H[Workflow &amp; Approval Engine]
    E --&gt; I[OCR Processing Service]
    E --&gt; J[AI Analysis Service]
    E --&gt; K[E-Signature Integration Service]
    E --&gt; L[Notification Service]
    E --&gt; M[Reporting &amp; Analytics Service]
    I --&gt; N[Celery Workers]
    J --&gt; N
    L --&gt; N
    N --&gt; O[Redis Queue]
    E --&gt; P[(PostgreSQL / MSSQL / Oracle DB)]
    E --&gt; Q[Secure Object Storage]
    E --&gt; R[Search Index / Full Text Search]
    E --&gt; S[Microsoft Teams]
    E --&gt; T[SharePoint]
    E --&gt; U[Outlook]
    E --&gt; V[NIFT / Digital Signature Provider]
    E --&gt; W[IAM / SSO / MFA Provider]
    E --&gt; X[Centralised Logs]
    X --&gt; Y[SIEM]
    E --&gt; Z[Monitoring &amp; Alerts]</w:t>
      </w:r>
    </w:p>
    <w:p>
      <w:pPr>
        <w:pStyle w:val="Heading1"/>
        <w:pBdr>
          <w:bottom w:val="single" w:color="6B2C91" w:sz="12" w:space="6"/>
        </w:pBdr>
        <w:spacing w:after="180" w:before="360"/>
      </w:pPr>
      <w:r>
        <w:rPr>
          <w:rFonts w:ascii="Calibri" w:cs="Calibri" w:eastAsia="Calibri" w:hAnsi="Calibri"/>
          <w:b/>
          <w:bCs/>
          <w:color w:val="6B2C91"/>
          <w:sz w:val="30"/>
          <w:szCs w:val="30"/>
        </w:rPr>
        <w:t xml:space="preserve">11. Database Recommendation &amp; Flexibility</w:t>
      </w:r>
    </w:p>
    <w:p>
      <w:pPr>
        <w:pStyle w:val="Heading2"/>
        <w:spacing w:after="120" w:before="240"/>
      </w:pPr>
      <w:r>
        <w:rPr>
          <w:rFonts w:ascii="Calibri" w:cs="Calibri" w:eastAsia="Calibri" w:hAnsi="Calibri"/>
          <w:b/>
          <w:bCs/>
          <w:color w:val="4A1E66"/>
          <w:sz w:val="26"/>
          <w:szCs w:val="26"/>
        </w:rPr>
        <w:t xml:space="preserve">11.1 Preferred Database: PostgreSQL</w:t>
      </w:r>
    </w:p>
    <w:p>
      <w:pPr>
        <w:spacing w:after="60" w:before="60" w:line="300"/>
        <w:jc w:val="both"/>
      </w:pPr>
      <w:r>
        <w:rPr>
          <w:rFonts w:ascii="Calibri" w:cs="Calibri" w:eastAsia="Calibri" w:hAnsi="Calibri"/>
          <w:b w:val="false"/>
          <w:bCs w:val="false"/>
          <w:i w:val="false"/>
          <w:iCs w:val="false"/>
          <w:color w:val="222222"/>
          <w:sz w:val="22"/>
          <w:szCs w:val="22"/>
        </w:rPr>
        <w:t xml:space="preserve">THIQATECH recommends PostgreSQL as the preferred database for the proposed Digital Contract Management Platform. PostgreSQL provides strong enterprise capability with cost efficiency and excellent support for document-heavy and metadata-driven systems.</w:t>
      </w:r>
    </w:p>
    <w:p>
      <w:pPr>
        <w:spacing w:after="60" w:before="60" w:line="300"/>
        <w:jc w:val="both"/>
      </w:pPr>
      <w:r>
        <w:rPr>
          <w:rFonts w:ascii="Calibri" w:cs="Calibri" w:eastAsia="Calibri" w:hAnsi="Calibri"/>
          <w:b w:val="false"/>
          <w:bCs w:val="false"/>
          <w:i w:val="false"/>
          <w:iCs w:val="false"/>
          <w:color w:val="222222"/>
          <w:sz w:val="22"/>
          <w:szCs w:val="22"/>
        </w:rPr>
        <w:t xml:space="preserve">Key reasons for PostgreSQL preference:</w:t>
      </w:r>
    </w:p>
    <w:p>
      <w:pPr>
        <w:pStyle w:val="ListParagraph"/>
        <w:numPr>
          <w:ilvl w:val="0"/>
          <w:numId w:val="2"/>
        </w:numPr>
        <w:spacing w:after="40" w:before="40" w:line="280"/>
      </w:pPr>
      <w:r>
        <w:rPr>
          <w:rFonts w:ascii="Calibri" w:cs="Calibri" w:eastAsia="Calibri" w:hAnsi="Calibri"/>
          <w:color w:val="222222"/>
          <w:sz w:val="22"/>
          <w:szCs w:val="22"/>
        </w:rPr>
        <w:t xml:space="preserve">Enterprise-grade reliability and ACID compliance</w:t>
      </w:r>
    </w:p>
    <w:p>
      <w:pPr>
        <w:pStyle w:val="ListParagraph"/>
        <w:numPr>
          <w:ilvl w:val="0"/>
          <w:numId w:val="2"/>
        </w:numPr>
        <w:spacing w:after="40" w:before="40" w:line="280"/>
      </w:pPr>
      <w:r>
        <w:rPr>
          <w:rFonts w:ascii="Calibri" w:cs="Calibri" w:eastAsia="Calibri" w:hAnsi="Calibri"/>
          <w:color w:val="222222"/>
          <w:sz w:val="22"/>
          <w:szCs w:val="22"/>
        </w:rPr>
        <w:t xml:space="preserve">Strong transactional consistency for approval workflows and contract lifecycle records</w:t>
      </w:r>
    </w:p>
    <w:p>
      <w:pPr>
        <w:pStyle w:val="ListParagraph"/>
        <w:numPr>
          <w:ilvl w:val="0"/>
          <w:numId w:val="2"/>
        </w:numPr>
        <w:spacing w:after="40" w:before="40" w:line="280"/>
      </w:pPr>
      <w:r>
        <w:rPr>
          <w:rFonts w:ascii="Calibri" w:cs="Calibri" w:eastAsia="Calibri" w:hAnsi="Calibri"/>
          <w:color w:val="222222"/>
          <w:sz w:val="22"/>
          <w:szCs w:val="22"/>
        </w:rPr>
        <w:t xml:space="preserve">Advanced indexing (B-tree, GIN, GiST) for large contract repositories</w:t>
      </w:r>
    </w:p>
    <w:p>
      <w:pPr>
        <w:pStyle w:val="ListParagraph"/>
        <w:numPr>
          <w:ilvl w:val="0"/>
          <w:numId w:val="2"/>
        </w:numPr>
        <w:spacing w:after="40" w:before="40" w:line="280"/>
      </w:pPr>
      <w:r>
        <w:rPr>
          <w:rFonts w:ascii="Calibri" w:cs="Calibri" w:eastAsia="Calibri" w:hAnsi="Calibri"/>
          <w:color w:val="222222"/>
          <w:sz w:val="22"/>
          <w:szCs w:val="22"/>
        </w:rPr>
        <w:t xml:space="preserve">Native full-text search supporting contract and OCR search</w:t>
      </w:r>
    </w:p>
    <w:p>
      <w:pPr>
        <w:pStyle w:val="ListParagraph"/>
        <w:numPr>
          <w:ilvl w:val="0"/>
          <w:numId w:val="2"/>
        </w:numPr>
        <w:spacing w:after="40" w:before="40" w:line="280"/>
      </w:pPr>
      <w:r>
        <w:rPr>
          <w:rFonts w:ascii="Calibri" w:cs="Calibri" w:eastAsia="Calibri" w:hAnsi="Calibri"/>
          <w:color w:val="222222"/>
          <w:sz w:val="22"/>
          <w:szCs w:val="22"/>
        </w:rPr>
        <w:t xml:space="preserve">JSONB support for flexible OCR/AI metadata storage</w:t>
      </w:r>
    </w:p>
    <w:p>
      <w:pPr>
        <w:pStyle w:val="ListParagraph"/>
        <w:numPr>
          <w:ilvl w:val="0"/>
          <w:numId w:val="2"/>
        </w:numPr>
        <w:spacing w:after="40" w:before="40" w:line="280"/>
      </w:pPr>
      <w:r>
        <w:rPr>
          <w:rFonts w:ascii="Calibri" w:cs="Calibri" w:eastAsia="Calibri" w:hAnsi="Calibri"/>
          <w:color w:val="222222"/>
          <w:sz w:val="22"/>
          <w:szCs w:val="22"/>
        </w:rPr>
        <w:t xml:space="preserve">Excellent performance for analytics and reporting workloads</w:t>
      </w:r>
    </w:p>
    <w:p>
      <w:pPr>
        <w:pStyle w:val="ListParagraph"/>
        <w:numPr>
          <w:ilvl w:val="0"/>
          <w:numId w:val="2"/>
        </w:numPr>
        <w:spacing w:after="40" w:before="40" w:line="280"/>
      </w:pPr>
      <w:r>
        <w:rPr>
          <w:rFonts w:ascii="Calibri" w:cs="Calibri" w:eastAsia="Calibri" w:hAnsi="Calibri"/>
          <w:color w:val="222222"/>
          <w:sz w:val="22"/>
          <w:szCs w:val="22"/>
        </w:rPr>
        <w:t xml:space="preserve">Strong support for partitioning and long-term retention strategies</w:t>
      </w:r>
    </w:p>
    <w:p>
      <w:pPr>
        <w:pStyle w:val="ListParagraph"/>
        <w:numPr>
          <w:ilvl w:val="0"/>
          <w:numId w:val="2"/>
        </w:numPr>
        <w:spacing w:after="40" w:before="40" w:line="280"/>
      </w:pPr>
      <w:r>
        <w:rPr>
          <w:rFonts w:ascii="Calibri" w:cs="Calibri" w:eastAsia="Calibri" w:hAnsi="Calibri"/>
          <w:color w:val="222222"/>
          <w:sz w:val="22"/>
          <w:szCs w:val="22"/>
        </w:rPr>
        <w:t xml:space="preserve">Lower licensing cost compared to proprietary database platforms</w:t>
      </w:r>
    </w:p>
    <w:p>
      <w:pPr>
        <w:pStyle w:val="ListParagraph"/>
        <w:numPr>
          <w:ilvl w:val="0"/>
          <w:numId w:val="2"/>
        </w:numPr>
        <w:spacing w:after="40" w:before="40" w:line="280"/>
      </w:pPr>
      <w:r>
        <w:rPr>
          <w:rFonts w:ascii="Calibri" w:cs="Calibri" w:eastAsia="Calibri" w:hAnsi="Calibri"/>
          <w:color w:val="222222"/>
          <w:sz w:val="22"/>
          <w:szCs w:val="22"/>
        </w:rPr>
        <w:t xml:space="preserve">Mature ecosystem and strong cloud compatibility</w:t>
      </w:r>
    </w:p>
    <w:p>
      <w:pPr>
        <w:pStyle w:val="ListParagraph"/>
        <w:numPr>
          <w:ilvl w:val="0"/>
          <w:numId w:val="2"/>
        </w:numPr>
        <w:spacing w:after="40" w:before="40" w:line="280"/>
      </w:pPr>
      <w:r>
        <w:rPr>
          <w:rFonts w:ascii="Calibri" w:cs="Calibri" w:eastAsia="Calibri" w:hAnsi="Calibri"/>
          <w:color w:val="222222"/>
          <w:sz w:val="22"/>
          <w:szCs w:val="22"/>
        </w:rPr>
        <w:t xml:space="preserve">Row-Level Security (RLS) for multi-tenant data isolation</w:t>
      </w:r>
    </w:p>
    <w:p>
      <w:pPr>
        <w:pStyle w:val="Heading2"/>
        <w:spacing w:after="120" w:before="240"/>
      </w:pPr>
      <w:r>
        <w:rPr>
          <w:rFonts w:ascii="Calibri" w:cs="Calibri" w:eastAsia="Calibri" w:hAnsi="Calibri"/>
          <w:b/>
          <w:bCs/>
          <w:color w:val="4A1E66"/>
          <w:sz w:val="26"/>
          <w:szCs w:val="26"/>
        </w:rPr>
        <w:t xml:space="preserve">11.2 Alignment with RFI Database Preference</w:t>
      </w:r>
    </w:p>
    <w:p>
      <w:pPr>
        <w:spacing w:after="60" w:before="60" w:line="300"/>
        <w:jc w:val="both"/>
      </w:pPr>
      <w:r>
        <w:rPr>
          <w:rFonts w:ascii="Calibri" w:cs="Calibri" w:eastAsia="Calibri" w:hAnsi="Calibri"/>
          <w:b w:val="false"/>
          <w:bCs w:val="false"/>
          <w:i w:val="false"/>
          <w:iCs w:val="false"/>
          <w:color w:val="222222"/>
          <w:sz w:val="22"/>
          <w:szCs w:val="22"/>
        </w:rPr>
        <w:t xml:space="preserve">The RFI states that the preferred database is Oracle or MSSQL Server. THIQATECH confirms full flexibility to align with the client's preferred database platform. The application architecture incorporates a database abstraction layer that supports deployment on:</w:t>
      </w:r>
    </w:p>
    <w:p>
      <w:pPr>
        <w:pStyle w:val="ListParagraph"/>
        <w:numPr>
          <w:ilvl w:val="0"/>
          <w:numId w:val="2"/>
        </w:numPr>
        <w:spacing w:after="40" w:before="40" w:line="280"/>
      </w:pPr>
      <w:r>
        <w:rPr>
          <w:rFonts w:ascii="Calibri" w:cs="Calibri" w:eastAsia="Calibri" w:hAnsi="Calibri"/>
          <w:color w:val="222222"/>
          <w:sz w:val="22"/>
          <w:szCs w:val="22"/>
        </w:rPr>
        <w:t xml:space="preserve">Microsoft SQL Server — fully supported as the primary database where required by client policy</w:t>
      </w:r>
    </w:p>
    <w:p>
      <w:pPr>
        <w:pStyle w:val="ListParagraph"/>
        <w:numPr>
          <w:ilvl w:val="0"/>
          <w:numId w:val="2"/>
        </w:numPr>
        <w:spacing w:after="40" w:before="40" w:line="280"/>
      </w:pPr>
      <w:r>
        <w:rPr>
          <w:rFonts w:ascii="Calibri" w:cs="Calibri" w:eastAsia="Calibri" w:hAnsi="Calibri"/>
          <w:color w:val="222222"/>
          <w:sz w:val="22"/>
          <w:szCs w:val="22"/>
        </w:rPr>
        <w:t xml:space="preserve">Oracle Database — supported subject to final scope, licensing, and technical feasibility review</w:t>
      </w:r>
    </w:p>
    <w:p>
      <w:pPr>
        <w:pStyle w:val="ListParagraph"/>
        <w:numPr>
          <w:ilvl w:val="0"/>
          <w:numId w:val="2"/>
        </w:numPr>
        <w:spacing w:after="40" w:before="40" w:line="280"/>
      </w:pPr>
      <w:r>
        <w:rPr>
          <w:rFonts w:ascii="Calibri" w:cs="Calibri" w:eastAsia="Calibri" w:hAnsi="Calibri"/>
          <w:color w:val="222222"/>
          <w:sz w:val="22"/>
          <w:szCs w:val="22"/>
        </w:rPr>
        <w:t xml:space="preserve">PostgreSQL — recommended where flexibility is permitted, particularly for OCR/AI metadata workloads</w:t>
      </w:r>
    </w:p>
    <w:p>
      <w:pPr>
        <w:spacing w:after="60" w:before="60" w:line="300"/>
        <w:jc w:val="both"/>
      </w:pPr>
      <w:r>
        <w:rPr>
          <w:rFonts w:ascii="Calibri" w:cs="Calibri" w:eastAsia="Calibri" w:hAnsi="Calibri"/>
          <w:b w:val="false"/>
          <w:bCs w:val="false"/>
          <w:i w:val="false"/>
          <w:iCs w:val="false"/>
          <w:color w:val="222222"/>
          <w:sz w:val="22"/>
          <w:szCs w:val="22"/>
        </w:rPr>
        <w:t xml:space="preserve">Final database selection will be confirmed during the technical design phase in coordination with the client's IT department, infrastructure standards, and licensing strategy.</w:t>
      </w:r>
    </w:p>
    <w:p>
      <w:pPr>
        <w:pStyle w:val="Heading1"/>
        <w:pBdr>
          <w:bottom w:val="single" w:color="6B2C91" w:sz="12" w:space="6"/>
        </w:pBdr>
        <w:spacing w:after="180" w:before="360"/>
      </w:pPr>
      <w:r>
        <w:rPr>
          <w:rFonts w:ascii="Calibri" w:cs="Calibri" w:eastAsia="Calibri" w:hAnsi="Calibri"/>
          <w:b/>
          <w:bCs/>
          <w:color w:val="6B2C91"/>
          <w:sz w:val="30"/>
          <w:szCs w:val="30"/>
        </w:rPr>
        <w:t xml:space="preserve">12. Security &amp; Compliance Framework</w:t>
      </w:r>
    </w:p>
    <w:p>
      <w:pPr>
        <w:spacing w:after="60" w:before="60" w:line="300"/>
        <w:jc w:val="both"/>
      </w:pPr>
      <w:r>
        <w:rPr>
          <w:rFonts w:ascii="Calibri" w:cs="Calibri" w:eastAsia="Calibri" w:hAnsi="Calibri"/>
          <w:b w:val="false"/>
          <w:bCs w:val="false"/>
          <w:i w:val="false"/>
          <w:iCs w:val="false"/>
          <w:color w:val="222222"/>
          <w:sz w:val="22"/>
          <w:szCs w:val="22"/>
        </w:rPr>
        <w:t xml:space="preserve">THIQATECH follows enterprise-grade security standards aligned with RFI Section 3c (Security &amp; Compliance) and Section 3d (Information Security Requirements).</w:t>
      </w:r>
    </w:p>
    <w:p>
      <w:pPr>
        <w:pStyle w:val="Heading2"/>
        <w:spacing w:after="120" w:before="240"/>
      </w:pPr>
      <w:r>
        <w:rPr>
          <w:rFonts w:ascii="Calibri" w:cs="Calibri" w:eastAsia="Calibri" w:hAnsi="Calibri"/>
          <w:b/>
          <w:bCs/>
          <w:color w:val="4A1E66"/>
          <w:sz w:val="26"/>
          <w:szCs w:val="26"/>
        </w:rPr>
        <w:t xml:space="preserve">12.1 Security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Domain</w:t>
            </w:r>
          </w:p>
        </w:tc>
        <w:tc>
          <w:tcPr>
            <w:tcW w:type="dxa" w:w="65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Implementation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Access Control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RBAC with granular permissions; MFA via OTP, authenticator apps, or enterprise IAM</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Authentication</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OAuth 2.0 / OIDC, JWT tokens with rotation, SSO compatibility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Session Management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cookies, token expiry, refresh token rotation, idle timeout, session invalidation</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Encryption (In Transit)</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TLS 1.3+ for all external communication; TLS 1.2+ minimum for legacy integrations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Encryption (At Rest)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AES-256 for documents, database, and backups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Database Encryption</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Mandatory encryption at rest with secure key management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API Security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OAuth 2.0, rate limiting, input validation, output encoding, API key rotation</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Logging Standards</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CLF/CEF structured logs with severity levels, SIEM-integrable in near real-time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Audit Trail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Tamper-evident logging of all critical actions with actor, action, timestamp, and reference</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OWASP Alignment</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OWASP Top 10 and OWASP ASVS controls applied throughout development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Anti-Automation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Rate limiting, CAPTCHA, brute-force protection, credential stuffing detection</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Secure Headers</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HSTS, CSP, X-Frame-Options, X-Content-Type-Options, Referrer-Policy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Secrets Management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hardcoded credentials; secrets managed via secure vault or environment-based injection</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WAF Compatibility</w:t>
            </w:r>
          </w:p>
        </w:tc>
        <w:tc>
          <w:tcPr>
            <w:tcW w:type="dxa" w:w="6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 supports deployment behind enterprise WAF solutions</w:t>
            </w:r>
          </w:p>
        </w:tc>
      </w:tr>
    </w:tbl>
    <w:p>
      <w:pPr>
        <w:pStyle w:val="Heading2"/>
        <w:spacing w:after="120" w:before="240"/>
      </w:pPr>
      <w:r>
        <w:rPr>
          <w:rFonts w:ascii="Calibri" w:cs="Calibri" w:eastAsia="Calibri" w:hAnsi="Calibri"/>
          <w:b/>
          <w:bCs/>
          <w:color w:val="4A1E66"/>
          <w:sz w:val="26"/>
          <w:szCs w:val="26"/>
        </w:rPr>
        <w:t xml:space="preserve">12.2 Compliance Readiness</w:t>
      </w:r>
    </w:p>
    <w:p>
      <w:pPr>
        <w:pStyle w:val="ListParagraph"/>
        <w:numPr>
          <w:ilvl w:val="0"/>
          <w:numId w:val="2"/>
        </w:numPr>
        <w:spacing w:after="40" w:before="40" w:line="280"/>
      </w:pPr>
      <w:r>
        <w:rPr>
          <w:rFonts w:ascii="Calibri" w:cs="Calibri" w:eastAsia="Calibri" w:hAnsi="Calibri"/>
          <w:color w:val="222222"/>
          <w:sz w:val="22"/>
          <w:szCs w:val="22"/>
        </w:rPr>
        <w:t xml:space="preserve">ISO 27001 alignment — security controls mapped to ISO 27001 Annex A</w:t>
      </w:r>
    </w:p>
    <w:p>
      <w:pPr>
        <w:pStyle w:val="ListParagraph"/>
        <w:numPr>
          <w:ilvl w:val="0"/>
          <w:numId w:val="2"/>
        </w:numPr>
        <w:spacing w:after="40" w:before="40" w:line="280"/>
      </w:pPr>
      <w:r>
        <w:rPr>
          <w:rFonts w:ascii="Calibri" w:cs="Calibri" w:eastAsia="Calibri" w:hAnsi="Calibri"/>
          <w:color w:val="222222"/>
          <w:sz w:val="22"/>
          <w:szCs w:val="22"/>
        </w:rPr>
        <w:t xml:space="preserve">PCI DSS / SSF readiness — relevant controls supported where payment data is involved</w:t>
      </w:r>
    </w:p>
    <w:p>
      <w:pPr>
        <w:pStyle w:val="ListParagraph"/>
        <w:numPr>
          <w:ilvl w:val="0"/>
          <w:numId w:val="2"/>
        </w:numPr>
        <w:spacing w:after="40" w:before="40" w:line="280"/>
      </w:pPr>
      <w:r>
        <w:rPr>
          <w:rFonts w:ascii="Calibri" w:cs="Calibri" w:eastAsia="Calibri" w:hAnsi="Calibri"/>
          <w:color w:val="222222"/>
          <w:sz w:val="22"/>
          <w:szCs w:val="22"/>
        </w:rPr>
        <w:t xml:space="preserve">SOC 2 Type II readiness — monitoring, access control, audit logging, and operational controls support SOC 2 alignment</w:t>
      </w:r>
    </w:p>
    <w:p>
      <w:pPr>
        <w:pStyle w:val="ListParagraph"/>
        <w:numPr>
          <w:ilvl w:val="0"/>
          <w:numId w:val="2"/>
        </w:numPr>
        <w:spacing w:after="40" w:before="40" w:line="280"/>
      </w:pPr>
      <w:r>
        <w:rPr>
          <w:rFonts w:ascii="Calibri" w:cs="Calibri" w:eastAsia="Calibri" w:hAnsi="Calibri"/>
          <w:color w:val="222222"/>
          <w:sz w:val="22"/>
          <w:szCs w:val="22"/>
        </w:rPr>
        <w:t xml:space="preserve">OWASP Top 10 and OWASP ASVS compliance</w:t>
      </w:r>
    </w:p>
    <w:p>
      <w:pPr>
        <w:pStyle w:val="ListParagraph"/>
        <w:numPr>
          <w:ilvl w:val="0"/>
          <w:numId w:val="2"/>
        </w:numPr>
        <w:spacing w:after="40" w:before="40" w:line="280"/>
      </w:pPr>
      <w:r>
        <w:rPr>
          <w:rFonts w:ascii="Calibri" w:cs="Calibri" w:eastAsia="Calibri" w:hAnsi="Calibri"/>
          <w:color w:val="222222"/>
          <w:sz w:val="22"/>
          <w:szCs w:val="22"/>
        </w:rPr>
        <w:t xml:space="preserve">Disaster Recovery and Business Continuity Planning support</w:t>
      </w:r>
    </w:p>
    <w:p>
      <w:pPr>
        <w:pStyle w:val="ListParagraph"/>
        <w:numPr>
          <w:ilvl w:val="0"/>
          <w:numId w:val="2"/>
        </w:numPr>
        <w:spacing w:after="40" w:before="40" w:line="280"/>
      </w:pPr>
      <w:r>
        <w:rPr>
          <w:rFonts w:ascii="Calibri" w:cs="Calibri" w:eastAsia="Calibri" w:hAnsi="Calibri"/>
          <w:color w:val="222222"/>
          <w:sz w:val="22"/>
          <w:szCs w:val="22"/>
        </w:rPr>
        <w:t xml:space="preserve">Audit-ready logging and reporting</w:t>
      </w:r>
    </w:p>
    <w:p>
      <w:pPr>
        <w:pStyle w:val="Heading2"/>
        <w:spacing w:after="120" w:before="240"/>
      </w:pPr>
      <w:r>
        <w:rPr>
          <w:rFonts w:ascii="Calibri" w:cs="Calibri" w:eastAsia="Calibri" w:hAnsi="Calibri"/>
          <w:b/>
          <w:bCs/>
          <w:color w:val="4A1E66"/>
          <w:sz w:val="26"/>
          <w:szCs w:val="26"/>
        </w:rPr>
        <w:t xml:space="preserve">12.3 Data Residency, Privacy &amp; Retention</w:t>
      </w:r>
    </w:p>
    <w:p>
      <w:pPr>
        <w:pStyle w:val="ListParagraph"/>
        <w:numPr>
          <w:ilvl w:val="0"/>
          <w:numId w:val="2"/>
        </w:numPr>
        <w:spacing w:after="40" w:before="40" w:line="280"/>
      </w:pPr>
      <w:r>
        <w:rPr>
          <w:rFonts w:ascii="Calibri" w:cs="Calibri" w:eastAsia="Calibri" w:hAnsi="Calibri"/>
          <w:color w:val="222222"/>
          <w:sz w:val="22"/>
          <w:szCs w:val="22"/>
        </w:rPr>
        <w:t xml:space="preserve">Data residency: storage can be configured to comply with local laws and internal policy (in-country hosting supported)</w:t>
      </w:r>
    </w:p>
    <w:p>
      <w:pPr>
        <w:pStyle w:val="ListParagraph"/>
        <w:numPr>
          <w:ilvl w:val="0"/>
          <w:numId w:val="2"/>
        </w:numPr>
        <w:spacing w:after="40" w:before="40" w:line="280"/>
      </w:pPr>
      <w:r>
        <w:rPr>
          <w:rFonts w:ascii="Calibri" w:cs="Calibri" w:eastAsia="Calibri" w:hAnsi="Calibri"/>
          <w:color w:val="222222"/>
          <w:sz w:val="22"/>
          <w:szCs w:val="22"/>
        </w:rPr>
        <w:t xml:space="preserve">Need-to-know principle: confidential contracts restricted to authorised roles only</w:t>
      </w:r>
    </w:p>
    <w:p>
      <w:pPr>
        <w:pStyle w:val="ListParagraph"/>
        <w:numPr>
          <w:ilvl w:val="0"/>
          <w:numId w:val="2"/>
        </w:numPr>
        <w:spacing w:after="40" w:before="40" w:line="280"/>
      </w:pPr>
      <w:r>
        <w:rPr>
          <w:rFonts w:ascii="Calibri" w:cs="Calibri" w:eastAsia="Calibri" w:hAnsi="Calibri"/>
          <w:color w:val="222222"/>
          <w:sz w:val="22"/>
          <w:szCs w:val="22"/>
        </w:rPr>
        <w:t xml:space="preserve">Data segregation: logical and physical segregation between tenants and environments</w:t>
      </w:r>
    </w:p>
    <w:p>
      <w:pPr>
        <w:pStyle w:val="ListParagraph"/>
        <w:numPr>
          <w:ilvl w:val="0"/>
          <w:numId w:val="2"/>
        </w:numPr>
        <w:spacing w:after="40" w:before="40" w:line="280"/>
      </w:pPr>
      <w:r>
        <w:rPr>
          <w:rFonts w:ascii="Calibri" w:cs="Calibri" w:eastAsia="Calibri" w:hAnsi="Calibri"/>
          <w:color w:val="222222"/>
          <w:sz w:val="22"/>
          <w:szCs w:val="22"/>
        </w:rPr>
        <w:t xml:space="preserve">Data retention: configurable per contract type, aligned with regulatory and policy requirements</w:t>
      </w:r>
    </w:p>
    <w:p>
      <w:pPr>
        <w:pStyle w:val="ListParagraph"/>
        <w:numPr>
          <w:ilvl w:val="0"/>
          <w:numId w:val="2"/>
        </w:numPr>
        <w:spacing w:after="40" w:before="40" w:line="280"/>
      </w:pPr>
      <w:r>
        <w:rPr>
          <w:rFonts w:ascii="Calibri" w:cs="Calibri" w:eastAsia="Calibri" w:hAnsi="Calibri"/>
          <w:color w:val="222222"/>
          <w:sz w:val="22"/>
          <w:szCs w:val="22"/>
        </w:rPr>
        <w:t xml:space="preserve">Secure deletion: cryptographic erasure for sensitive data; documented data lifecycle management policy</w:t>
      </w:r>
    </w:p>
    <w:p>
      <w:pPr>
        <w:pStyle w:val="Heading1"/>
        <w:pBdr>
          <w:bottom w:val="single" w:color="6B2C91" w:sz="12" w:space="6"/>
        </w:pBdr>
        <w:spacing w:after="180" w:before="360"/>
      </w:pPr>
      <w:r>
        <w:rPr>
          <w:rFonts w:ascii="Calibri" w:cs="Calibri" w:eastAsia="Calibri" w:hAnsi="Calibri"/>
          <w:b/>
          <w:bCs/>
          <w:color w:val="6B2C91"/>
          <w:sz w:val="30"/>
          <w:szCs w:val="30"/>
        </w:rPr>
        <w:t xml:space="preserve">13. Integration Capabilities</w:t>
      </w:r>
    </w:p>
    <w:p>
      <w:pPr>
        <w:spacing w:after="60" w:before="60" w:line="300"/>
        <w:jc w:val="both"/>
      </w:pPr>
      <w:r>
        <w:rPr>
          <w:rFonts w:ascii="Calibri" w:cs="Calibri" w:eastAsia="Calibri" w:hAnsi="Calibri"/>
          <w:b w:val="false"/>
          <w:bCs w:val="false"/>
          <w:i w:val="false"/>
          <w:iCs w:val="false"/>
          <w:color w:val="222222"/>
          <w:sz w:val="22"/>
          <w:szCs w:val="22"/>
        </w:rPr>
        <w:t xml:space="preserve">The platform supports comprehensive integration aligned with RFI Section 3c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Integration Type</w:t>
            </w:r>
          </w:p>
        </w:tc>
        <w:tc>
          <w:tcPr>
            <w:tcW w:type="dxa" w:w="63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Capability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REST API</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 REST API support with OpenAPI / Swagger documentation</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SOAP API</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SOAP integrations supported via integration adapters for legacy systems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API Gateway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 with enterprise API gateway, KONG preferred</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Scheduling &amp; Monitoring</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Scheduled integration jobs with monitoring, retry logic, dead-letter queues, and alerting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Microsoft Teams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Notifications, approval prompts, and workflow updates</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SharePoint</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document synchronisation and storage workflows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Outlook / Exchange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Automated reminders, scheduling, and approval notifications</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IAM / SSO</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 with enterprise IAM and SSO providers (SAML, OIDC)</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MFA Providers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 with enterprise MFA solutions</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SIEM</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Real-time log streaming to enterprise SIEM platforms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WAF</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Compatibility with enterprise WAF solutions</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SOAR</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 support for security orchestration platforms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DAM / PAM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Compatibility with Database Activity Monitoring and Privileged Access Management</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NIFT Digital Signature</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Native integration with NIFT for digital signature services in Pakistan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Vulnerability Management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 with enterprise vulnerability management tools</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14. DevOps &amp; DevSecOps</w:t>
      </w:r>
    </w:p>
    <w:p>
      <w:pPr>
        <w:spacing w:after="60" w:before="60" w:line="300"/>
        <w:jc w:val="both"/>
      </w:pPr>
      <w:r>
        <w:rPr>
          <w:rFonts w:ascii="Calibri" w:cs="Calibri" w:eastAsia="Calibri" w:hAnsi="Calibri"/>
          <w:b w:val="false"/>
          <w:bCs w:val="false"/>
          <w:i w:val="false"/>
          <w:iCs w:val="false"/>
          <w:color w:val="222222"/>
          <w:sz w:val="22"/>
          <w:szCs w:val="22"/>
        </w:rPr>
        <w:t xml:space="preserve">THIQATECH supports secure software delivery through mature DevSecOps practices aligned with RFI Section 3c (Deployment Options - CI/CD).</w:t>
      </w:r>
    </w:p>
    <w:p>
      <w:pPr>
        <w:pStyle w:val="Heading2"/>
        <w:spacing w:after="120" w:before="240"/>
      </w:pPr>
      <w:r>
        <w:rPr>
          <w:rFonts w:ascii="Calibri" w:cs="Calibri" w:eastAsia="Calibri" w:hAnsi="Calibri"/>
          <w:b/>
          <w:bCs/>
          <w:color w:val="4A1E66"/>
          <w:sz w:val="26"/>
          <w:szCs w:val="26"/>
        </w:rPr>
        <w:t xml:space="preserve">14.1 Capabilities</w:t>
      </w:r>
    </w:p>
    <w:p>
      <w:pPr>
        <w:pStyle w:val="ListParagraph"/>
        <w:numPr>
          <w:ilvl w:val="0"/>
          <w:numId w:val="2"/>
        </w:numPr>
        <w:spacing w:after="40" w:before="40" w:line="280"/>
      </w:pPr>
      <w:r>
        <w:rPr>
          <w:rFonts w:ascii="Calibri" w:cs="Calibri" w:eastAsia="Calibri" w:hAnsi="Calibri"/>
          <w:color w:val="222222"/>
          <w:sz w:val="22"/>
          <w:szCs w:val="22"/>
        </w:rPr>
        <w:t xml:space="preserve">CI/CD pipelines for automated build, test, security scan, and deployment</w:t>
      </w:r>
    </w:p>
    <w:p>
      <w:pPr>
        <w:pStyle w:val="ListParagraph"/>
        <w:numPr>
          <w:ilvl w:val="0"/>
          <w:numId w:val="2"/>
        </w:numPr>
        <w:spacing w:after="40" w:before="40" w:line="280"/>
      </w:pPr>
      <w:r>
        <w:rPr>
          <w:rFonts w:ascii="Calibri" w:cs="Calibri" w:eastAsia="Calibri" w:hAnsi="Calibri"/>
          <w:color w:val="222222"/>
          <w:sz w:val="22"/>
          <w:szCs w:val="22"/>
        </w:rPr>
        <w:t xml:space="preserve">Test-driven development with comprehensive UAT scripts</w:t>
      </w:r>
    </w:p>
    <w:p>
      <w:pPr>
        <w:pStyle w:val="ListParagraph"/>
        <w:numPr>
          <w:ilvl w:val="0"/>
          <w:numId w:val="2"/>
        </w:numPr>
        <w:spacing w:after="40" w:before="40" w:line="280"/>
      </w:pPr>
      <w:r>
        <w:rPr>
          <w:rFonts w:ascii="Calibri" w:cs="Calibri" w:eastAsia="Calibri" w:hAnsi="Calibri"/>
          <w:color w:val="222222"/>
          <w:sz w:val="22"/>
          <w:szCs w:val="22"/>
        </w:rPr>
        <w:t xml:space="preserve">Secure coding standards and mandatory peer code reviews</w:t>
      </w:r>
    </w:p>
    <w:p>
      <w:pPr>
        <w:pStyle w:val="ListParagraph"/>
        <w:numPr>
          <w:ilvl w:val="0"/>
          <w:numId w:val="2"/>
        </w:numPr>
        <w:spacing w:after="40" w:before="40" w:line="280"/>
      </w:pPr>
      <w:r>
        <w:rPr>
          <w:rFonts w:ascii="Calibri" w:cs="Calibri" w:eastAsia="Calibri" w:hAnsi="Calibri"/>
          <w:color w:val="222222"/>
          <w:sz w:val="22"/>
          <w:szCs w:val="22"/>
        </w:rPr>
        <w:t xml:space="preserve">Dependency scanning (SCA) for third-party vulnerabilities</w:t>
      </w:r>
    </w:p>
    <w:p>
      <w:pPr>
        <w:pStyle w:val="ListParagraph"/>
        <w:numPr>
          <w:ilvl w:val="0"/>
          <w:numId w:val="2"/>
        </w:numPr>
        <w:spacing w:after="40" w:before="40" w:line="280"/>
      </w:pPr>
      <w:r>
        <w:rPr>
          <w:rFonts w:ascii="Calibri" w:cs="Calibri" w:eastAsia="Calibri" w:hAnsi="Calibri"/>
          <w:color w:val="222222"/>
          <w:sz w:val="22"/>
          <w:szCs w:val="22"/>
        </w:rPr>
        <w:t xml:space="preserve">Static Application Security Testing (SAST)</w:t>
      </w:r>
    </w:p>
    <w:p>
      <w:pPr>
        <w:pStyle w:val="ListParagraph"/>
        <w:numPr>
          <w:ilvl w:val="0"/>
          <w:numId w:val="2"/>
        </w:numPr>
        <w:spacing w:after="40" w:before="40" w:line="280"/>
      </w:pPr>
      <w:r>
        <w:rPr>
          <w:rFonts w:ascii="Calibri" w:cs="Calibri" w:eastAsia="Calibri" w:hAnsi="Calibri"/>
          <w:color w:val="222222"/>
          <w:sz w:val="22"/>
          <w:szCs w:val="22"/>
        </w:rPr>
        <w:t xml:space="preserve">Dynamic Application Security Testing (DAST)</w:t>
      </w:r>
    </w:p>
    <w:p>
      <w:pPr>
        <w:pStyle w:val="ListParagraph"/>
        <w:numPr>
          <w:ilvl w:val="0"/>
          <w:numId w:val="2"/>
        </w:numPr>
        <w:spacing w:after="40" w:before="40" w:line="280"/>
      </w:pPr>
      <w:r>
        <w:rPr>
          <w:rFonts w:ascii="Calibri" w:cs="Calibri" w:eastAsia="Calibri" w:hAnsi="Calibri"/>
          <w:color w:val="222222"/>
          <w:sz w:val="22"/>
          <w:szCs w:val="22"/>
        </w:rPr>
        <w:t xml:space="preserve">Vulnerability Assessment &amp; Penetration Testing (VAPT) support</w:t>
      </w:r>
    </w:p>
    <w:p>
      <w:pPr>
        <w:pStyle w:val="ListParagraph"/>
        <w:numPr>
          <w:ilvl w:val="0"/>
          <w:numId w:val="2"/>
        </w:numPr>
        <w:spacing w:after="40" w:before="40" w:line="280"/>
      </w:pPr>
      <w:r>
        <w:rPr>
          <w:rFonts w:ascii="Calibri" w:cs="Calibri" w:eastAsia="Calibri" w:hAnsi="Calibri"/>
          <w:color w:val="222222"/>
          <w:sz w:val="22"/>
          <w:szCs w:val="22"/>
        </w:rPr>
        <w:t xml:space="preserve">Patch management with regular security update cycles</w:t>
      </w:r>
    </w:p>
    <w:p>
      <w:pPr>
        <w:pStyle w:val="ListParagraph"/>
        <w:numPr>
          <w:ilvl w:val="0"/>
          <w:numId w:val="2"/>
        </w:numPr>
        <w:spacing w:after="40" w:before="40" w:line="280"/>
      </w:pPr>
      <w:r>
        <w:rPr>
          <w:rFonts w:ascii="Calibri" w:cs="Calibri" w:eastAsia="Calibri" w:hAnsi="Calibri"/>
          <w:color w:val="222222"/>
          <w:sz w:val="22"/>
          <w:szCs w:val="22"/>
        </w:rPr>
        <w:t xml:space="preserve">Release management with rollback capability</w:t>
      </w:r>
    </w:p>
    <w:p>
      <w:pPr>
        <w:pStyle w:val="ListParagraph"/>
        <w:numPr>
          <w:ilvl w:val="0"/>
          <w:numId w:val="2"/>
        </w:numPr>
        <w:spacing w:after="40" w:before="40" w:line="280"/>
      </w:pPr>
      <w:r>
        <w:rPr>
          <w:rFonts w:ascii="Calibri" w:cs="Calibri" w:eastAsia="Calibri" w:hAnsi="Calibri"/>
          <w:color w:val="222222"/>
          <w:sz w:val="22"/>
          <w:szCs w:val="22"/>
        </w:rPr>
        <w:t xml:space="preserve">Environment segregation (Dev / UAT / Production)</w:t>
      </w:r>
    </w:p>
    <w:p>
      <w:pPr>
        <w:pStyle w:val="ListParagraph"/>
        <w:numPr>
          <w:ilvl w:val="0"/>
          <w:numId w:val="2"/>
        </w:numPr>
        <w:spacing w:after="40" w:before="40" w:line="280"/>
      </w:pPr>
      <w:r>
        <w:rPr>
          <w:rFonts w:ascii="Calibri" w:cs="Calibri" w:eastAsia="Calibri" w:hAnsi="Calibri"/>
          <w:color w:val="222222"/>
          <w:sz w:val="22"/>
          <w:szCs w:val="22"/>
        </w:rPr>
        <w:t xml:space="preserve">Secrets management via secure vault</w:t>
      </w:r>
    </w:p>
    <w:p>
      <w:pPr>
        <w:pStyle w:val="ListParagraph"/>
        <w:numPr>
          <w:ilvl w:val="0"/>
          <w:numId w:val="2"/>
        </w:numPr>
        <w:spacing w:after="40" w:before="40" w:line="280"/>
      </w:pPr>
      <w:r>
        <w:rPr>
          <w:rFonts w:ascii="Calibri" w:cs="Calibri" w:eastAsia="Calibri" w:hAnsi="Calibri"/>
          <w:color w:val="222222"/>
          <w:sz w:val="22"/>
          <w:szCs w:val="22"/>
        </w:rPr>
        <w:t xml:space="preserve">Infrastructure-as-Code (Terraform / Ansible compatible)</w:t>
      </w:r>
    </w:p>
    <w:p>
      <w:pPr>
        <w:pStyle w:val="Heading2"/>
        <w:spacing w:after="120" w:before="240"/>
      </w:pPr>
      <w:r>
        <w:rPr>
          <w:rFonts w:ascii="Calibri" w:cs="Calibri" w:eastAsia="Calibri" w:hAnsi="Calibri"/>
          <w:b/>
          <w:bCs/>
          <w:color w:val="4A1E66"/>
          <w:sz w:val="26"/>
          <w:szCs w:val="26"/>
        </w:rPr>
        <w:t xml:space="preserve">14.2 Vulnerability Remediation SLA (per RFI 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Severity</w:t>
            </w:r>
          </w:p>
        </w:tc>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Remediation Timeline</w:t>
            </w:r>
          </w:p>
        </w:tc>
        <w:tc>
          <w:tcPr>
            <w:tcW w:type="dxa" w:w="45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Process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Critical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Within 48 hours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Immediate hotfix deployment with stakeholder notification</w:t>
            </w:r>
          </w:p>
        </w:tc>
      </w:tr>
      <w:tr>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High</w:t>
            </w:r>
          </w:p>
        </w:tc>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Within 6 days</w:t>
            </w:r>
          </w:p>
        </w:tc>
        <w:tc>
          <w:tcPr>
            <w:tcW w:type="dxa" w:w="4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Fast-track remediation cycle with regression testing</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Medium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Within 15 days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Standard remediation cycle with full release process</w:t>
            </w:r>
          </w:p>
        </w:tc>
      </w:tr>
      <w:tr>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Low</w:t>
            </w:r>
          </w:p>
        </w:tc>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Within 30 days</w:t>
            </w:r>
          </w:p>
        </w:tc>
        <w:tc>
          <w:tcPr>
            <w:tcW w:type="dxa" w:w="4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Scheduled remediation in next planned release</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15. Infrastructure, Deployment &amp; Sizing</w:t>
      </w:r>
    </w:p>
    <w:p>
      <w:pPr>
        <w:pStyle w:val="Heading2"/>
        <w:spacing w:after="120" w:before="240"/>
      </w:pPr>
      <w:r>
        <w:rPr>
          <w:rFonts w:ascii="Calibri" w:cs="Calibri" w:eastAsia="Calibri" w:hAnsi="Calibri"/>
          <w:b/>
          <w:bCs/>
          <w:color w:val="4A1E66"/>
          <w:sz w:val="26"/>
          <w:szCs w:val="26"/>
        </w:rPr>
        <w:t xml:space="preserve">15.1 Environment Segregation</w:t>
      </w:r>
    </w:p>
    <w:p>
      <w:pPr>
        <w:spacing w:after="60" w:before="60" w:line="300"/>
        <w:jc w:val="both"/>
      </w:pPr>
      <w:r>
        <w:rPr>
          <w:rFonts w:ascii="Calibri" w:cs="Calibri" w:eastAsia="Calibri" w:hAnsi="Calibri"/>
          <w:b w:val="false"/>
          <w:bCs w:val="false"/>
          <w:i w:val="false"/>
          <w:iCs w:val="false"/>
          <w:color w:val="222222"/>
          <w:sz w:val="22"/>
          <w:szCs w:val="22"/>
        </w:rPr>
        <w:t xml:space="preserve">The solution will be deployed with fully segregated environments, each maintaining separate application instances, databases, storage, credentials, and access policies:</w:t>
      </w:r>
    </w:p>
    <w:p>
      <w:pPr>
        <w:pStyle w:val="ListParagraph"/>
        <w:numPr>
          <w:ilvl w:val="0"/>
          <w:numId w:val="2"/>
        </w:numPr>
        <w:spacing w:after="40" w:before="40" w:line="280"/>
      </w:pPr>
      <w:r>
        <w:rPr>
          <w:rFonts w:ascii="Calibri" w:cs="Calibri" w:eastAsia="Calibri" w:hAnsi="Calibri"/>
          <w:color w:val="222222"/>
          <w:sz w:val="22"/>
          <w:szCs w:val="22"/>
        </w:rPr>
        <w:t xml:space="preserve">Development — for internal development, unit testing, and integration testing</w:t>
      </w:r>
    </w:p>
    <w:p>
      <w:pPr>
        <w:pStyle w:val="ListParagraph"/>
        <w:numPr>
          <w:ilvl w:val="0"/>
          <w:numId w:val="2"/>
        </w:numPr>
        <w:spacing w:after="40" w:before="40" w:line="280"/>
      </w:pPr>
      <w:r>
        <w:rPr>
          <w:rFonts w:ascii="Calibri" w:cs="Calibri" w:eastAsia="Calibri" w:hAnsi="Calibri"/>
          <w:color w:val="222222"/>
          <w:sz w:val="22"/>
          <w:szCs w:val="22"/>
        </w:rPr>
        <w:t xml:space="preserve">UAT — for user acceptance testing, integration validation, and pre-production verification</w:t>
      </w:r>
    </w:p>
    <w:p>
      <w:pPr>
        <w:pStyle w:val="ListParagraph"/>
        <w:numPr>
          <w:ilvl w:val="0"/>
          <w:numId w:val="2"/>
        </w:numPr>
        <w:spacing w:after="40" w:before="40" w:line="280"/>
      </w:pPr>
      <w:r>
        <w:rPr>
          <w:rFonts w:ascii="Calibri" w:cs="Calibri" w:eastAsia="Calibri" w:hAnsi="Calibri"/>
          <w:color w:val="222222"/>
          <w:sz w:val="22"/>
          <w:szCs w:val="22"/>
        </w:rPr>
        <w:t xml:space="preserve">Production — live operational environment with HA, monitoring, and backup</w:t>
      </w:r>
    </w:p>
    <w:p>
      <w:pPr>
        <w:pStyle w:val="Heading2"/>
        <w:spacing w:after="120" w:before="240"/>
      </w:pPr>
      <w:r>
        <w:rPr>
          <w:rFonts w:ascii="Calibri" w:cs="Calibri" w:eastAsia="Calibri" w:hAnsi="Calibri"/>
          <w:b/>
          <w:bCs/>
          <w:color w:val="4A1E66"/>
          <w:sz w:val="26"/>
          <w:szCs w:val="26"/>
        </w:rPr>
        <w:t xml:space="preserve">15.2 Suggested Infrastructure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2360"/>
        <w:gridCol w:w="2000"/>
      </w:tblGrid>
      <w:tr>
        <w:trPr>
          <w:tblHeader/>
        </w:trPr>
        <w:tc>
          <w:tcPr>
            <w:tcW w:type="dxa" w:w="24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Environment</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vCPU</w:t>
            </w:r>
          </w:p>
        </w:tc>
        <w:tc>
          <w:tcPr>
            <w:tcW w:type="dxa" w:w="15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RAM</w:t>
            </w:r>
          </w:p>
        </w:tc>
        <w:tc>
          <w:tcPr>
            <w:tcW w:type="dxa" w:w="23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Storage</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Development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4–8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16 GB</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300–500 GB</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Internal development &amp; unit testing</w:t>
            </w:r>
          </w:p>
        </w:tc>
      </w:tr>
      <w:tr>
        <w:tc>
          <w:tcPr>
            <w:tcW w:type="dxa" w:w="24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UAT</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8–16</w:t>
            </w:r>
          </w:p>
        </w:tc>
        <w:tc>
          <w:tcPr>
            <w:tcW w:type="dxa" w:w="1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32 GB</w:t>
            </w:r>
          </w:p>
        </w:tc>
        <w:tc>
          <w:tcPr>
            <w:tcW w:type="dxa" w:w="2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500 GB – 1 TB</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User acceptance &amp; integration validation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Production (App Tier)</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16–32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64–128 GB</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Application servers (HA)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HA-ready, autoscaling enabled</w:t>
            </w:r>
          </w:p>
        </w:tc>
      </w:tr>
      <w:tr>
        <w:tc>
          <w:tcPr>
            <w:tcW w:type="dxa" w:w="24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Production (DB Tier)</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16–32</w:t>
            </w:r>
          </w:p>
        </w:tc>
        <w:tc>
          <w:tcPr>
            <w:tcW w:type="dxa" w:w="1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64–128 GB</w:t>
            </w:r>
          </w:p>
        </w:tc>
        <w:tc>
          <w:tcPr>
            <w:tcW w:type="dxa" w:w="2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Based on document volume (multi-TB)</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Primary + standby for HA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Production (Storage)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10-year retention with growth buffer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1-year hot, 9-year cold/archive</w:t>
            </w:r>
          </w:p>
        </w:tc>
      </w:tr>
    </w:tbl>
    <w:p>
      <w:pPr>
        <w:spacing w:after="60" w:before="60" w:line="300"/>
        <w:jc w:val="both"/>
      </w:pPr>
      <w:r>
        <w:rPr>
          <w:rFonts w:ascii="Calibri" w:cs="Calibri" w:eastAsia="Calibri" w:hAnsi="Calibri"/>
          <w:b w:val="false"/>
          <w:bCs w:val="false"/>
          <w:i/>
          <w:iCs/>
          <w:color w:val="222222"/>
          <w:sz w:val="22"/>
          <w:szCs w:val="22"/>
        </w:rPr>
        <w:t xml:space="preserve">Final sizing will be confirmed after document volume, user count, OCR workload, integration frequency, and retention policy are finalised during the detailed design phase.</w:t>
      </w:r>
    </w:p>
    <w:p>
      <w:pPr>
        <w:pStyle w:val="Heading2"/>
        <w:spacing w:after="120" w:before="240"/>
      </w:pPr>
      <w:r>
        <w:rPr>
          <w:rFonts w:ascii="Calibri" w:cs="Calibri" w:eastAsia="Calibri" w:hAnsi="Calibri"/>
          <w:b/>
          <w:bCs/>
          <w:color w:val="4A1E66"/>
          <w:sz w:val="26"/>
          <w:szCs w:val="26"/>
        </w:rPr>
        <w:t xml:space="preserve">15.3 Deployment Capabilities</w:t>
      </w:r>
    </w:p>
    <w:p>
      <w:pPr>
        <w:pStyle w:val="ListParagraph"/>
        <w:numPr>
          <w:ilvl w:val="0"/>
          <w:numId w:val="2"/>
        </w:numPr>
        <w:spacing w:after="40" w:before="40" w:line="280"/>
      </w:pPr>
      <w:r>
        <w:rPr>
          <w:rFonts w:ascii="Calibri" w:cs="Calibri" w:eastAsia="Calibri" w:hAnsi="Calibri"/>
          <w:color w:val="222222"/>
          <w:sz w:val="22"/>
          <w:szCs w:val="22"/>
        </w:rPr>
        <w:t xml:space="preserve">Containerised deployment (Docker)</w:t>
      </w:r>
    </w:p>
    <w:p>
      <w:pPr>
        <w:pStyle w:val="ListParagraph"/>
        <w:numPr>
          <w:ilvl w:val="0"/>
          <w:numId w:val="2"/>
        </w:numPr>
        <w:spacing w:after="40" w:before="40" w:line="280"/>
      </w:pPr>
      <w:r>
        <w:rPr>
          <w:rFonts w:ascii="Calibri" w:cs="Calibri" w:eastAsia="Calibri" w:hAnsi="Calibri"/>
          <w:color w:val="222222"/>
          <w:sz w:val="22"/>
          <w:szCs w:val="22"/>
        </w:rPr>
        <w:t xml:space="preserve">Kubernetes-ready (OKE-compatible)</w:t>
      </w:r>
    </w:p>
    <w:p>
      <w:pPr>
        <w:pStyle w:val="ListParagraph"/>
        <w:numPr>
          <w:ilvl w:val="0"/>
          <w:numId w:val="2"/>
        </w:numPr>
        <w:spacing w:after="40" w:before="40" w:line="280"/>
      </w:pPr>
      <w:r>
        <w:rPr>
          <w:rFonts w:ascii="Calibri" w:cs="Calibri" w:eastAsia="Calibri" w:hAnsi="Calibri"/>
          <w:color w:val="222222"/>
          <w:sz w:val="22"/>
          <w:szCs w:val="22"/>
        </w:rPr>
        <w:t xml:space="preserve">On-premise, hybrid, or cloud deployment options</w:t>
      </w:r>
    </w:p>
    <w:p>
      <w:pPr>
        <w:pStyle w:val="ListParagraph"/>
        <w:numPr>
          <w:ilvl w:val="0"/>
          <w:numId w:val="2"/>
        </w:numPr>
        <w:spacing w:after="40" w:before="40" w:line="280"/>
      </w:pPr>
      <w:r>
        <w:rPr>
          <w:rFonts w:ascii="Calibri" w:cs="Calibri" w:eastAsia="Calibri" w:hAnsi="Calibri"/>
          <w:color w:val="222222"/>
          <w:sz w:val="22"/>
          <w:szCs w:val="22"/>
        </w:rPr>
        <w:t xml:space="preserve">CI/CD-enabled deployments with automated rollback</w:t>
      </w:r>
    </w:p>
    <w:p>
      <w:pPr>
        <w:pStyle w:val="ListParagraph"/>
        <w:numPr>
          <w:ilvl w:val="0"/>
          <w:numId w:val="2"/>
        </w:numPr>
        <w:spacing w:after="40" w:before="40" w:line="280"/>
      </w:pPr>
      <w:r>
        <w:rPr>
          <w:rFonts w:ascii="Calibri" w:cs="Calibri" w:eastAsia="Calibri" w:hAnsi="Calibri"/>
          <w:color w:val="222222"/>
          <w:sz w:val="22"/>
          <w:szCs w:val="22"/>
        </w:rPr>
        <w:t xml:space="preserve">Blue-green and canary deployment support</w:t>
      </w:r>
    </w:p>
    <w:p>
      <w:pPr>
        <w:pStyle w:val="ListParagraph"/>
        <w:numPr>
          <w:ilvl w:val="0"/>
          <w:numId w:val="2"/>
        </w:numPr>
        <w:spacing w:after="40" w:before="40" w:line="280"/>
      </w:pPr>
      <w:r>
        <w:rPr>
          <w:rFonts w:ascii="Calibri" w:cs="Calibri" w:eastAsia="Calibri" w:hAnsi="Calibri"/>
          <w:color w:val="222222"/>
          <w:sz w:val="22"/>
          <w:szCs w:val="22"/>
        </w:rPr>
        <w:t xml:space="preserve">Centralised monitoring and alerting from day one</w:t>
      </w:r>
    </w:p>
    <w:p>
      <w:pPr>
        <w:pStyle w:val="Heading1"/>
        <w:pBdr>
          <w:bottom w:val="single" w:color="6B2C91" w:sz="12" w:space="6"/>
        </w:pBdr>
        <w:spacing w:after="180" w:before="360"/>
      </w:pPr>
      <w:r>
        <w:rPr>
          <w:rFonts w:ascii="Calibri" w:cs="Calibri" w:eastAsia="Calibri" w:hAnsi="Calibri"/>
          <w:b/>
          <w:bCs/>
          <w:color w:val="6B2C91"/>
          <w:sz w:val="30"/>
          <w:szCs w:val="30"/>
        </w:rPr>
        <w:t xml:space="preserve">16. Storage, Backup &amp; Data Lifecycle</w:t>
      </w:r>
    </w:p>
    <w:p>
      <w:pPr>
        <w:spacing w:after="60" w:before="60" w:line="300"/>
        <w:jc w:val="both"/>
      </w:pPr>
      <w:r>
        <w:rPr>
          <w:rFonts w:ascii="Calibri" w:cs="Calibri" w:eastAsia="Calibri" w:hAnsi="Calibri"/>
          <w:b w:val="false"/>
          <w:bCs w:val="false"/>
          <w:i w:val="false"/>
          <w:iCs w:val="false"/>
          <w:color w:val="222222"/>
          <w:sz w:val="22"/>
          <w:szCs w:val="22"/>
        </w:rPr>
        <w:t xml:space="preserve">The platform's storage and data lifecycle strategy directly addresses RFI Section 3c (Infrastructure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58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Approach</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10-year storage retention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Tiered storage strategy with hot (active) and cold (archive) tiers</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1-year instantly searchable records</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Last 12 months indexed in primary search index for instant retrieval; older records moved to archive tier with on-demand retrieval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Offsite backup</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Daily incremental and weekly full backups stored offsite, encrypted at rest</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Disaster recovery</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Documented DR plan with defined RPO and RTO; periodic DR drills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Data purging</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Policy-driven purging for records beyond retention window with audit-logged execution</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Archiving</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Automated archival workflows with full audit trail and restoration procedures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Backup integrity</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Cryptographic verification of backup integrity; periodic restore testing</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17. Scalability &amp; High Availability</w:t>
      </w:r>
    </w:p>
    <w:p>
      <w:pPr>
        <w:pStyle w:val="ListParagraph"/>
        <w:numPr>
          <w:ilvl w:val="0"/>
          <w:numId w:val="2"/>
        </w:numPr>
        <w:spacing w:after="40" w:before="40" w:line="280"/>
      </w:pPr>
      <w:r>
        <w:rPr>
          <w:rFonts w:ascii="Calibri" w:cs="Calibri" w:eastAsia="Calibri" w:hAnsi="Calibri"/>
          <w:color w:val="222222"/>
          <w:sz w:val="22"/>
          <w:szCs w:val="22"/>
        </w:rPr>
        <w:t xml:space="preserve">High availability across web, application, queue, storage, and database layers</w:t>
      </w:r>
    </w:p>
    <w:p>
      <w:pPr>
        <w:pStyle w:val="ListParagraph"/>
        <w:numPr>
          <w:ilvl w:val="0"/>
          <w:numId w:val="2"/>
        </w:numPr>
        <w:spacing w:after="40" w:before="40" w:line="280"/>
      </w:pPr>
      <w:r>
        <w:rPr>
          <w:rFonts w:ascii="Calibri" w:cs="Calibri" w:eastAsia="Calibri" w:hAnsi="Calibri"/>
          <w:color w:val="222222"/>
          <w:sz w:val="22"/>
          <w:szCs w:val="22"/>
        </w:rPr>
        <w:t xml:space="preserve">Horizontal scaling of stateless application services via Kubernetes orchestration</w:t>
      </w:r>
    </w:p>
    <w:p>
      <w:pPr>
        <w:pStyle w:val="ListParagraph"/>
        <w:numPr>
          <w:ilvl w:val="0"/>
          <w:numId w:val="2"/>
        </w:numPr>
        <w:spacing w:after="40" w:before="40" w:line="280"/>
      </w:pPr>
      <w:r>
        <w:rPr>
          <w:rFonts w:ascii="Calibri" w:cs="Calibri" w:eastAsia="Calibri" w:hAnsi="Calibri"/>
          <w:color w:val="222222"/>
          <w:sz w:val="22"/>
          <w:szCs w:val="22"/>
        </w:rPr>
        <w:t xml:space="preserve">Load balancing across application instances</w:t>
      </w:r>
    </w:p>
    <w:p>
      <w:pPr>
        <w:pStyle w:val="ListParagraph"/>
        <w:numPr>
          <w:ilvl w:val="0"/>
          <w:numId w:val="2"/>
        </w:numPr>
        <w:spacing w:after="40" w:before="40" w:line="280"/>
      </w:pPr>
      <w:r>
        <w:rPr>
          <w:rFonts w:ascii="Calibri" w:cs="Calibri" w:eastAsia="Calibri" w:hAnsi="Calibri"/>
          <w:color w:val="222222"/>
          <w:sz w:val="22"/>
          <w:szCs w:val="22"/>
        </w:rPr>
        <w:t xml:space="preserve">Database replication with automatic failover (primary / standby)</w:t>
      </w:r>
    </w:p>
    <w:p>
      <w:pPr>
        <w:pStyle w:val="ListParagraph"/>
        <w:numPr>
          <w:ilvl w:val="0"/>
          <w:numId w:val="2"/>
        </w:numPr>
        <w:spacing w:after="40" w:before="40" w:line="280"/>
      </w:pPr>
      <w:r>
        <w:rPr>
          <w:rFonts w:ascii="Calibri" w:cs="Calibri" w:eastAsia="Calibri" w:hAnsi="Calibri"/>
          <w:color w:val="222222"/>
          <w:sz w:val="22"/>
          <w:szCs w:val="22"/>
        </w:rPr>
        <w:t xml:space="preserve">Redis cluster for high-availability caching and queue processing</w:t>
      </w:r>
    </w:p>
    <w:p>
      <w:pPr>
        <w:pStyle w:val="ListParagraph"/>
        <w:numPr>
          <w:ilvl w:val="0"/>
          <w:numId w:val="2"/>
        </w:numPr>
        <w:spacing w:after="40" w:before="40" w:line="280"/>
      </w:pPr>
      <w:r>
        <w:rPr>
          <w:rFonts w:ascii="Calibri" w:cs="Calibri" w:eastAsia="Calibri" w:hAnsi="Calibri"/>
          <w:color w:val="222222"/>
          <w:sz w:val="22"/>
          <w:szCs w:val="22"/>
        </w:rPr>
        <w:t xml:space="preserve">Multi-tenant architecture support</w:t>
      </w:r>
    </w:p>
    <w:p>
      <w:pPr>
        <w:pStyle w:val="ListParagraph"/>
        <w:numPr>
          <w:ilvl w:val="0"/>
          <w:numId w:val="2"/>
        </w:numPr>
        <w:spacing w:after="40" w:before="40" w:line="280"/>
      </w:pPr>
      <w:r>
        <w:rPr>
          <w:rFonts w:ascii="Calibri" w:cs="Calibri" w:eastAsia="Calibri" w:hAnsi="Calibri"/>
          <w:color w:val="222222"/>
          <w:sz w:val="22"/>
          <w:szCs w:val="22"/>
        </w:rPr>
        <w:t xml:space="preserve">Large-scale document processing via distributed Celery workers</w:t>
      </w:r>
    </w:p>
    <w:p>
      <w:pPr>
        <w:pStyle w:val="ListParagraph"/>
        <w:numPr>
          <w:ilvl w:val="0"/>
          <w:numId w:val="2"/>
        </w:numPr>
        <w:spacing w:after="40" w:before="40" w:line="280"/>
      </w:pPr>
      <w:r>
        <w:rPr>
          <w:rFonts w:ascii="Calibri" w:cs="Calibri" w:eastAsia="Calibri" w:hAnsi="Calibri"/>
          <w:color w:val="222222"/>
          <w:sz w:val="22"/>
          <w:szCs w:val="22"/>
        </w:rPr>
        <w:t xml:space="preserve">Capacity planning for future integrations and enhancements</w:t>
      </w:r>
    </w:p>
    <w:p>
      <w:pPr>
        <w:pStyle w:val="ListParagraph"/>
        <w:numPr>
          <w:ilvl w:val="0"/>
          <w:numId w:val="2"/>
        </w:numPr>
        <w:spacing w:after="40" w:before="40" w:line="280"/>
      </w:pPr>
      <w:r>
        <w:rPr>
          <w:rFonts w:ascii="Calibri" w:cs="Calibri" w:eastAsia="Calibri" w:hAnsi="Calibri"/>
          <w:color w:val="222222"/>
          <w:sz w:val="22"/>
          <w:szCs w:val="22"/>
        </w:rPr>
        <w:t xml:space="preserve">Auto-scaling policies based on CPU, memory, and queue depth metrics</w:t>
      </w:r>
    </w:p>
    <w:p>
      <w:pPr>
        <w:pStyle w:val="Heading1"/>
        <w:pBdr>
          <w:bottom w:val="single" w:color="6B2C91" w:sz="12" w:space="6"/>
        </w:pBdr>
        <w:spacing w:after="180" w:before="360"/>
      </w:pPr>
      <w:r>
        <w:rPr>
          <w:rFonts w:ascii="Calibri" w:cs="Calibri" w:eastAsia="Calibri" w:hAnsi="Calibri"/>
          <w:b/>
          <w:bCs/>
          <w:color w:val="6B2C91"/>
          <w:sz w:val="30"/>
          <w:szCs w:val="30"/>
        </w:rPr>
        <w:t xml:space="preserve">18. Project Plan, Phasing &amp; Timelines</w:t>
      </w:r>
    </w:p>
    <w:p>
      <w:pPr>
        <w:spacing w:after="60" w:before="60" w:line="300"/>
        <w:jc w:val="both"/>
      </w:pPr>
      <w:r>
        <w:rPr>
          <w:rFonts w:ascii="Calibri" w:cs="Calibri" w:eastAsia="Calibri" w:hAnsi="Calibri"/>
          <w:b w:val="false"/>
          <w:bCs w:val="false"/>
          <w:i w:val="false"/>
          <w:iCs w:val="false"/>
          <w:color w:val="222222"/>
          <w:sz w:val="22"/>
          <w:szCs w:val="22"/>
        </w:rPr>
        <w:t xml:space="preserve">In direct response to RFI Section 3c (Project Plan and Timelines — 10% evaluation weight), THIQATECH proposes the following indicative phased delivery approach. Final timelines will be confirmed during the detailed design phase based on confirmed scope, integrations, and resource availability.</w:t>
      </w:r>
    </w:p>
    <w:p>
      <w:pPr>
        <w:pStyle w:val="Heading2"/>
        <w:spacing w:after="120" w:before="240"/>
      </w:pPr>
      <w:r>
        <w:rPr>
          <w:rFonts w:ascii="Calibri" w:cs="Calibri" w:eastAsia="Calibri" w:hAnsi="Calibri"/>
          <w:b/>
          <w:bCs/>
          <w:color w:val="4A1E66"/>
          <w:sz w:val="26"/>
          <w:szCs w:val="26"/>
        </w:rPr>
        <w:t xml:space="preserve">18.1 Indicative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Phase</w:t>
            </w:r>
          </w:p>
        </w:tc>
        <w:tc>
          <w:tcPr>
            <w:tcW w:type="dxa" w:w="1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Duration</w:t>
            </w:r>
          </w:p>
        </w:tc>
        <w:tc>
          <w:tcPr>
            <w:tcW w:type="dxa" w:w="45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Key Deliverables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1 — Discovery &amp; Requirements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3–4 weeks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Stakeholder workshops, requirements finalisation, current-state assessment, integration discovery, Statement of Work</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2 — Solution Design</w:t>
            </w:r>
          </w:p>
        </w:tc>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4–5 weeks</w:t>
            </w:r>
          </w:p>
        </w:tc>
        <w:tc>
          <w:tcPr>
            <w:tcW w:type="dxa" w:w="4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Detailed technical design, data model, integration design, security architecture, infrastructure design, UI/UX wireframes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3 — Infrastructure Setup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2–3 weeks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Dev/UAT/Prod environment provisioning, CI/CD pipeline setup, security baseline configuration, monitoring setup</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4 — Core Development (Iteration 1)</w:t>
            </w:r>
          </w:p>
        </w:tc>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8–10 weeks</w:t>
            </w:r>
          </w:p>
        </w:tc>
        <w:tc>
          <w:tcPr>
            <w:tcW w:type="dxa" w:w="4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Core CLM modules: intake, drafting, template/clause library, repository, audit trail, RBAC, basic dashboards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5 — Advanced Development (Iteration 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8–10 weeks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Workflow engine, approvals, escalations, e-signature integration, OCR/AI services, advanced analytics</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6 — Integrations</w:t>
            </w:r>
          </w:p>
        </w:tc>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4–6 weeks</w:t>
            </w:r>
          </w:p>
        </w:tc>
        <w:tc>
          <w:tcPr>
            <w:tcW w:type="dxa" w:w="4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Microsoft Teams, SharePoint, Outlook, IAM/SSO, NIFT digital signature, SIEM, API gateway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7 — Security Testing &amp; VAPT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3–4 weeks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SAST, DAST, VAPT, remediation, security sign-off</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8 — UAT</w:t>
            </w:r>
          </w:p>
        </w:tc>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4–6 weeks</w:t>
            </w:r>
          </w:p>
        </w:tc>
        <w:tc>
          <w:tcPr>
            <w:tcW w:type="dxa" w:w="4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User acceptance testing, defect resolution, training material preparation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9 — Training &amp; Knowledge Transfer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2–3 weeks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End-user training, administrator training, train-the-trainer sessions, documentation handover</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Phase 10 — Go-Live &amp; Hypercare</w:t>
            </w:r>
          </w:p>
        </w:tc>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4 weeks</w:t>
            </w:r>
          </w:p>
        </w:tc>
        <w:tc>
          <w:tcPr>
            <w:tcW w:type="dxa" w:w="45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Production cutover, hypercare support, post-go-live optimisation, knowledge transition to support team</w:t>
            </w:r>
          </w:p>
        </w:tc>
      </w:tr>
    </w:tbl>
    <w:p>
      <w:pPr>
        <w:pStyle w:val="Heading2"/>
        <w:spacing w:after="120" w:before="240"/>
      </w:pPr>
      <w:r>
        <w:rPr>
          <w:rFonts w:ascii="Calibri" w:cs="Calibri" w:eastAsia="Calibri" w:hAnsi="Calibri"/>
          <w:b/>
          <w:bCs/>
          <w:color w:val="4A1E66"/>
          <w:sz w:val="26"/>
          <w:szCs w:val="26"/>
        </w:rPr>
        <w:t xml:space="preserve">18.2 Indicative Overall Duration</w:t>
      </w:r>
    </w:p>
    <w:p>
      <w:pPr>
        <w:spacing w:after="60" w:before="60" w:line="300"/>
        <w:jc w:val="both"/>
      </w:pPr>
      <w:r>
        <w:rPr>
          <w:rFonts w:ascii="Calibri" w:cs="Calibri" w:eastAsia="Calibri" w:hAnsi="Calibri"/>
          <w:b/>
          <w:bCs/>
          <w:i w:val="false"/>
          <w:iCs w:val="false"/>
          <w:color w:val="222222"/>
          <w:sz w:val="22"/>
          <w:szCs w:val="22"/>
        </w:rPr>
        <w:t xml:space="preserve">Based on the indicative phasing above, the total implementation duration is estimated at approximately 9 to 12 months from project kick-off to go-live, including hypercare. Phases may run in parallel where dependencies allow.</w:t>
      </w:r>
    </w:p>
    <w:p>
      <w:pPr>
        <w:pStyle w:val="Heading2"/>
        <w:spacing w:after="120" w:before="240"/>
      </w:pPr>
      <w:r>
        <w:rPr>
          <w:rFonts w:ascii="Calibri" w:cs="Calibri" w:eastAsia="Calibri" w:hAnsi="Calibri"/>
          <w:b/>
          <w:bCs/>
          <w:color w:val="4A1E66"/>
          <w:sz w:val="26"/>
          <w:szCs w:val="26"/>
        </w:rPr>
        <w:t xml:space="preserve">18.3 Indicative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Role</w:t>
            </w:r>
          </w:p>
        </w:tc>
        <w:tc>
          <w:tcPr>
            <w:tcW w:type="dxa" w:w="58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Allocation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Project Manager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 — full-time across all phases</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Solution Architect</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 — full-time during Discovery, Design, and Development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Backend Engineers (Senior)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2–3 during Development phases</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Frontend Engineers</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2 during Development phases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DevOps / Cloud Engineer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 — full-time</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Security Engineer</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 — part-time during Design and full-time during Security Testing</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QA / Test Engineers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2 during Development and UAT phases</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UI/UX Designer</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 during Discovery and Design phases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Integration Engineer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1–2 during Integration phase</w:t>
            </w:r>
          </w:p>
        </w:tc>
      </w:tr>
      <w:tr>
        <w:tc>
          <w:tcPr>
            <w:tcW w:type="dxa" w:w="3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Business Analyst</w:t>
            </w:r>
          </w:p>
        </w:tc>
        <w:tc>
          <w:tcPr>
            <w:tcW w:type="dxa" w:w="58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 during Discovery, Design, and UAT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Training Specialist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 during Training phase</w:t>
            </w:r>
          </w:p>
        </w:tc>
      </w:tr>
    </w:tbl>
    <w:p>
      <w:pPr>
        <w:pStyle w:val="Heading2"/>
        <w:spacing w:after="120" w:before="240"/>
      </w:pPr>
      <w:r>
        <w:rPr>
          <w:rFonts w:ascii="Calibri" w:cs="Calibri" w:eastAsia="Calibri" w:hAnsi="Calibri"/>
          <w:b/>
          <w:bCs/>
          <w:color w:val="4A1E66"/>
          <w:sz w:val="26"/>
          <w:szCs w:val="26"/>
        </w:rPr>
        <w:t xml:space="preserve">18.4 Project Governance</w:t>
      </w:r>
    </w:p>
    <w:p>
      <w:pPr>
        <w:pStyle w:val="ListParagraph"/>
        <w:numPr>
          <w:ilvl w:val="0"/>
          <w:numId w:val="2"/>
        </w:numPr>
        <w:spacing w:after="40" w:before="40" w:line="280"/>
      </w:pPr>
      <w:r>
        <w:rPr>
          <w:rFonts w:ascii="Calibri" w:cs="Calibri" w:eastAsia="Calibri" w:hAnsi="Calibri"/>
          <w:color w:val="222222"/>
          <w:sz w:val="22"/>
          <w:szCs w:val="22"/>
        </w:rPr>
        <w:t xml:space="preserve">Weekly status meetings with project sponsor and steering committee</w:t>
      </w:r>
    </w:p>
    <w:p>
      <w:pPr>
        <w:pStyle w:val="ListParagraph"/>
        <w:numPr>
          <w:ilvl w:val="0"/>
          <w:numId w:val="2"/>
        </w:numPr>
        <w:spacing w:after="40" w:before="40" w:line="280"/>
      </w:pPr>
      <w:r>
        <w:rPr>
          <w:rFonts w:ascii="Calibri" w:cs="Calibri" w:eastAsia="Calibri" w:hAnsi="Calibri"/>
          <w:color w:val="222222"/>
          <w:sz w:val="22"/>
          <w:szCs w:val="22"/>
        </w:rPr>
        <w:t xml:space="preserve">Bi-weekly technical reviews with client IT leadership</w:t>
      </w:r>
    </w:p>
    <w:p>
      <w:pPr>
        <w:pStyle w:val="ListParagraph"/>
        <w:numPr>
          <w:ilvl w:val="0"/>
          <w:numId w:val="2"/>
        </w:numPr>
        <w:spacing w:after="40" w:before="40" w:line="280"/>
      </w:pPr>
      <w:r>
        <w:rPr>
          <w:rFonts w:ascii="Calibri" w:cs="Calibri" w:eastAsia="Calibri" w:hAnsi="Calibri"/>
          <w:color w:val="222222"/>
          <w:sz w:val="22"/>
          <w:szCs w:val="22"/>
        </w:rPr>
        <w:t xml:space="preserve">Monthly executive steering committee meetings</w:t>
      </w:r>
    </w:p>
    <w:p>
      <w:pPr>
        <w:pStyle w:val="ListParagraph"/>
        <w:numPr>
          <w:ilvl w:val="0"/>
          <w:numId w:val="2"/>
        </w:numPr>
        <w:spacing w:after="40" w:before="40" w:line="280"/>
      </w:pPr>
      <w:r>
        <w:rPr>
          <w:rFonts w:ascii="Calibri" w:cs="Calibri" w:eastAsia="Calibri" w:hAnsi="Calibri"/>
          <w:color w:val="222222"/>
          <w:sz w:val="22"/>
          <w:szCs w:val="22"/>
        </w:rPr>
        <w:t xml:space="preserve">Documented RACI matrix for all key activities</w:t>
      </w:r>
    </w:p>
    <w:p>
      <w:pPr>
        <w:pStyle w:val="ListParagraph"/>
        <w:numPr>
          <w:ilvl w:val="0"/>
          <w:numId w:val="2"/>
        </w:numPr>
        <w:spacing w:after="40" w:before="40" w:line="280"/>
      </w:pPr>
      <w:r>
        <w:rPr>
          <w:rFonts w:ascii="Calibri" w:cs="Calibri" w:eastAsia="Calibri" w:hAnsi="Calibri"/>
          <w:color w:val="222222"/>
          <w:sz w:val="22"/>
          <w:szCs w:val="22"/>
        </w:rPr>
        <w:t xml:space="preserve">Risk and issue register maintained throughout the engagement</w:t>
      </w:r>
    </w:p>
    <w:p>
      <w:pPr>
        <w:pStyle w:val="ListParagraph"/>
        <w:numPr>
          <w:ilvl w:val="0"/>
          <w:numId w:val="2"/>
        </w:numPr>
        <w:spacing w:after="40" w:before="40" w:line="280"/>
      </w:pPr>
      <w:r>
        <w:rPr>
          <w:rFonts w:ascii="Calibri" w:cs="Calibri" w:eastAsia="Calibri" w:hAnsi="Calibri"/>
          <w:color w:val="222222"/>
          <w:sz w:val="22"/>
          <w:szCs w:val="22"/>
        </w:rPr>
        <w:t xml:space="preserve">Change request process for scope variations</w:t>
      </w:r>
    </w:p>
    <w:p>
      <w:pPr>
        <w:pStyle w:val="ListParagraph"/>
        <w:numPr>
          <w:ilvl w:val="0"/>
          <w:numId w:val="2"/>
        </w:numPr>
        <w:spacing w:after="40" w:before="40" w:line="280"/>
      </w:pPr>
      <w:r>
        <w:rPr>
          <w:rFonts w:ascii="Calibri" w:cs="Calibri" w:eastAsia="Calibri" w:hAnsi="Calibri"/>
          <w:color w:val="222222"/>
          <w:sz w:val="22"/>
          <w:szCs w:val="22"/>
        </w:rPr>
        <w:t xml:space="preserve">Quality gates at end of each phase with formal sign-off</w:t>
      </w:r>
    </w:p>
    <w:p>
      <w:pPr>
        <w:pStyle w:val="Heading1"/>
        <w:pBdr>
          <w:bottom w:val="single" w:color="6B2C91" w:sz="12" w:space="6"/>
        </w:pBdr>
        <w:spacing w:after="180" w:before="360"/>
      </w:pPr>
      <w:r>
        <w:rPr>
          <w:rFonts w:ascii="Calibri" w:cs="Calibri" w:eastAsia="Calibri" w:hAnsi="Calibri"/>
          <w:b/>
          <w:bCs/>
          <w:color w:val="6B2C91"/>
          <w:sz w:val="30"/>
          <w:szCs w:val="30"/>
        </w:rPr>
        <w:t xml:space="preserve">19. Software Licensing Details</w:t>
      </w:r>
    </w:p>
    <w:p>
      <w:pPr>
        <w:spacing w:after="60" w:before="60" w:line="300"/>
        <w:jc w:val="both"/>
      </w:pPr>
      <w:r>
        <w:rPr>
          <w:rFonts w:ascii="Calibri" w:cs="Calibri" w:eastAsia="Calibri" w:hAnsi="Calibri"/>
          <w:b w:val="false"/>
          <w:bCs w:val="false"/>
          <w:i w:val="false"/>
          <w:iCs w:val="false"/>
          <w:color w:val="222222"/>
          <w:sz w:val="22"/>
          <w:szCs w:val="22"/>
        </w:rPr>
        <w:t xml:space="preserve">In direct response to RFI Section 3c (Infrastructure &amp; Storage — Licensing details for software stack), the following table outlines the licensing model for each component in the proposed technology stack. Final licensing costs will be confirmed at the RFP stage based on user counts, environment sizing, and the client's preferred database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Component</w:t>
            </w:r>
          </w:p>
        </w:tc>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License Type</w:t>
            </w:r>
          </w:p>
        </w:tc>
        <w:tc>
          <w:tcPr>
            <w:tcW w:type="dxa" w:w="31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Cost Model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THIQATECH CLM Platform (Application)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Proprietary — Commercial License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Subscription / Perpetual — per user, per environment, or enterprise (to be finalised at RFP)</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Next.js (Frontend)</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MIT License — Open Source</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React / TypeScript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MIT License — Open Source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Tailwind CSS</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MIT License — Open Source</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FastAPI (Backend)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MIT License — Open Source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Python Runtime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PSF License — Open Source</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PostgreSQL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PostgreSQL License — Open Source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Microsoft SQL Server (if selected)</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Commercial — Microsoft</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Per core / per CAL (client procurement) — cost varies by edition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Oracle Database (if selected)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Commercial — Oracle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Per processor / Named User Plus (client procurement) — cost varies by edition</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Redis</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BSD / RSALv2 (Open Source)</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 for open-source edition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Elasticsearch / OpenSearch</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Elastic License / Apache 2.0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 for open-source edition; commercial tier optional</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Docker</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Apache 2.0 — Open Source</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license cost for Docker Engine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Kubernetes / OKE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Apache 2.0 — Open Source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OKE infrastructure costs apply if using Oracle Cloud</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KONG API Gateway</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Apache 2.0 (Community) / Commercial (Enterprise)</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Community: no cost; Enterprise: commercial subscription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NIFT Digital Signature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Third-party — NIFT</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Per-transaction or subscription (client procurement from NIFT)</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SIEM Integration</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Client's existing license</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additional cost from THIQATECH</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WAF</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Client's existing license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additional cost from THIQATECH</w:t>
            </w:r>
          </w:p>
        </w:tc>
      </w:tr>
      <w:tr>
        <w:tc>
          <w:tcPr>
            <w:tcW w:type="dxa" w:w="32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Object Storage (S3-compatible)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Cloud provider or open-source (MinIO)</w:t>
            </w:r>
          </w:p>
        </w:tc>
        <w:tc>
          <w:tcPr>
            <w:tcW w:type="dxa" w:w="31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Cloud: pay-as-you-go; MinIO: no license cost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Operating Systems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Vendor licenses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Oracle Linux / RHEL / Windows Server — client procurement</w:t>
            </w:r>
          </w:p>
        </w:tc>
      </w:tr>
    </w:tbl>
    <w:p>
      <w:pPr>
        <w:pStyle w:val="Heading2"/>
        <w:spacing w:after="120" w:before="240"/>
      </w:pPr>
      <w:r>
        <w:rPr>
          <w:rFonts w:ascii="Calibri" w:cs="Calibri" w:eastAsia="Calibri" w:hAnsi="Calibri"/>
          <w:b/>
          <w:bCs/>
          <w:color w:val="4A1E66"/>
          <w:sz w:val="26"/>
          <w:szCs w:val="26"/>
        </w:rPr>
        <w:t xml:space="preserve">19.1 Licensing Summary</w:t>
      </w:r>
    </w:p>
    <w:p>
      <w:pPr>
        <w:pStyle w:val="ListParagraph"/>
        <w:numPr>
          <w:ilvl w:val="0"/>
          <w:numId w:val="2"/>
        </w:numPr>
        <w:spacing w:after="40" w:before="40" w:line="280"/>
      </w:pPr>
      <w:r>
        <w:rPr>
          <w:rFonts w:ascii="Calibri" w:cs="Calibri" w:eastAsia="Calibri" w:hAnsi="Calibri"/>
          <w:color w:val="222222"/>
          <w:sz w:val="22"/>
          <w:szCs w:val="22"/>
        </w:rPr>
        <w:t xml:space="preserve">The THIQATECH CLM Platform is the only proprietary licensed component from THIQATECH.</w:t>
      </w:r>
    </w:p>
    <w:p>
      <w:pPr>
        <w:pStyle w:val="ListParagraph"/>
        <w:numPr>
          <w:ilvl w:val="0"/>
          <w:numId w:val="2"/>
        </w:numPr>
        <w:spacing w:after="40" w:before="40" w:line="280"/>
      </w:pPr>
      <w:r>
        <w:rPr>
          <w:rFonts w:ascii="Calibri" w:cs="Calibri" w:eastAsia="Calibri" w:hAnsi="Calibri"/>
          <w:color w:val="222222"/>
          <w:sz w:val="22"/>
          <w:szCs w:val="22"/>
        </w:rPr>
        <w:t xml:space="preserve">The majority of supporting technologies are open-source, minimising third-party licensing exposure.</w:t>
      </w:r>
    </w:p>
    <w:p>
      <w:pPr>
        <w:pStyle w:val="ListParagraph"/>
        <w:numPr>
          <w:ilvl w:val="0"/>
          <w:numId w:val="2"/>
        </w:numPr>
        <w:spacing w:after="40" w:before="40" w:line="280"/>
      </w:pPr>
      <w:r>
        <w:rPr>
          <w:rFonts w:ascii="Calibri" w:cs="Calibri" w:eastAsia="Calibri" w:hAnsi="Calibri"/>
          <w:color w:val="222222"/>
          <w:sz w:val="22"/>
          <w:szCs w:val="22"/>
        </w:rPr>
        <w:t xml:space="preserve">Database, operating system, and enterprise infrastructure licenses (where commercial) are procured by the client per their existing enterprise agreements.</w:t>
      </w:r>
    </w:p>
    <w:p>
      <w:pPr>
        <w:pStyle w:val="ListParagraph"/>
        <w:numPr>
          <w:ilvl w:val="0"/>
          <w:numId w:val="2"/>
        </w:numPr>
        <w:spacing w:after="40" w:before="40" w:line="280"/>
      </w:pPr>
      <w:r>
        <w:rPr>
          <w:rFonts w:ascii="Calibri" w:cs="Calibri" w:eastAsia="Calibri" w:hAnsi="Calibri"/>
          <w:color w:val="222222"/>
          <w:sz w:val="22"/>
          <w:szCs w:val="22"/>
        </w:rPr>
        <w:t xml:space="preserve">NIFT digital signature services are procured directly by the client from NIFT.</w:t>
      </w:r>
    </w:p>
    <w:p>
      <w:pPr>
        <w:pStyle w:val="ListParagraph"/>
        <w:numPr>
          <w:ilvl w:val="0"/>
          <w:numId w:val="2"/>
        </w:numPr>
        <w:spacing w:after="40" w:before="40" w:line="280"/>
      </w:pPr>
      <w:r>
        <w:rPr>
          <w:rFonts w:ascii="Calibri" w:cs="Calibri" w:eastAsia="Calibri" w:hAnsi="Calibri"/>
          <w:color w:val="222222"/>
          <w:sz w:val="22"/>
          <w:szCs w:val="22"/>
        </w:rPr>
        <w:t xml:space="preserve">A detailed Bill of Materials (BoM) with finalised licensing quantities and costs will be provided at the RFP stage.</w:t>
      </w:r>
    </w:p>
    <w:p>
      <w:pPr>
        <w:pStyle w:val="Heading1"/>
        <w:pBdr>
          <w:bottom w:val="single" w:color="6B2C91" w:sz="12" w:space="6"/>
        </w:pBdr>
        <w:spacing w:after="180" w:before="360"/>
      </w:pPr>
      <w:r>
        <w:rPr>
          <w:rFonts w:ascii="Calibri" w:cs="Calibri" w:eastAsia="Calibri" w:hAnsi="Calibri"/>
          <w:b/>
          <w:bCs/>
          <w:color w:val="6B2C91"/>
          <w:sz w:val="30"/>
          <w:szCs w:val="30"/>
        </w:rPr>
        <w:t xml:space="preserve">20. Support, Monitoring &amp; Managed Services</w:t>
      </w:r>
    </w:p>
    <w:p>
      <w:pPr>
        <w:spacing w:after="60" w:before="60" w:line="300"/>
        <w:jc w:val="both"/>
      </w:pPr>
      <w:r>
        <w:rPr>
          <w:rFonts w:ascii="Calibri" w:cs="Calibri" w:eastAsia="Calibri" w:hAnsi="Calibri"/>
          <w:b w:val="false"/>
          <w:bCs w:val="false"/>
          <w:i w:val="false"/>
          <w:iCs w:val="false"/>
          <w:color w:val="222222"/>
          <w:sz w:val="22"/>
          <w:szCs w:val="22"/>
        </w:rPr>
        <w:t xml:space="preserve">THIQATECH provides 24/7 production support aligned with RFI Section 3c (Support, Monitoring &amp; Maintenance).</w:t>
      </w:r>
    </w:p>
    <w:p>
      <w:pPr>
        <w:pStyle w:val="Heading2"/>
        <w:spacing w:after="120" w:before="240"/>
      </w:pPr>
      <w:r>
        <w:rPr>
          <w:rFonts w:ascii="Calibri" w:cs="Calibri" w:eastAsia="Calibri" w:hAnsi="Calibri"/>
          <w:b/>
          <w:bCs/>
          <w:color w:val="4A1E66"/>
          <w:sz w:val="26"/>
          <w:szCs w:val="26"/>
        </w:rPr>
        <w:t xml:space="preserve">20.1 Three-Tier Support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Tier</w:t>
            </w:r>
          </w:p>
        </w:tc>
        <w:tc>
          <w:tcPr>
            <w:tcW w:type="dxa" w:w="63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Scope</w:t>
            </w:r>
          </w:p>
        </w:tc>
        <w:tc>
          <w:tcPr>
            <w:tcW w:type="dxa" w:w="15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Coverage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Level 1 (L1)</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Basic user support, ticket handling, monitoring alerts, first-level troubleshooting, known-issue resolution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24/7</w:t>
            </w:r>
          </w:p>
        </w:tc>
      </w:tr>
      <w:tr>
        <w:tc>
          <w:tcPr>
            <w:tcW w:type="dxa" w:w="1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Level 2 (L2)</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Application issue investigation, workflow troubleshooting, integration issue handling, database/infrastructure coordination</w:t>
            </w:r>
          </w:p>
        </w:tc>
        <w:tc>
          <w:tcPr>
            <w:tcW w:type="dxa" w:w="15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24/7</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Level 3 (L3)</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Core engineering support, security issue remediation, performance optimisation, architecture-level troubleshooting, critical incident handling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24/7 on-call</w:t>
            </w:r>
          </w:p>
        </w:tc>
      </w:tr>
    </w:tbl>
    <w:p>
      <w:pPr>
        <w:pStyle w:val="Heading2"/>
        <w:spacing w:after="120" w:before="240"/>
      </w:pPr>
      <w:r>
        <w:rPr>
          <w:rFonts w:ascii="Calibri" w:cs="Calibri" w:eastAsia="Calibri" w:hAnsi="Calibri"/>
          <w:b/>
          <w:bCs/>
          <w:color w:val="4A1E66"/>
          <w:sz w:val="26"/>
          <w:szCs w:val="26"/>
        </w:rPr>
        <w:t xml:space="preserve">20.2 Monitoring Capabilities</w:t>
      </w:r>
    </w:p>
    <w:p>
      <w:pPr>
        <w:pStyle w:val="ListParagraph"/>
        <w:numPr>
          <w:ilvl w:val="0"/>
          <w:numId w:val="2"/>
        </w:numPr>
        <w:spacing w:after="40" w:before="40" w:line="280"/>
      </w:pPr>
      <w:r>
        <w:rPr>
          <w:rFonts w:ascii="Calibri" w:cs="Calibri" w:eastAsia="Calibri" w:hAnsi="Calibri"/>
          <w:color w:val="222222"/>
          <w:sz w:val="22"/>
          <w:szCs w:val="22"/>
        </w:rPr>
        <w:t xml:space="preserve">Application health monitoring (uptime, response time, error rates)</w:t>
      </w:r>
    </w:p>
    <w:p>
      <w:pPr>
        <w:pStyle w:val="ListParagraph"/>
        <w:numPr>
          <w:ilvl w:val="0"/>
          <w:numId w:val="2"/>
        </w:numPr>
        <w:spacing w:after="40" w:before="40" w:line="280"/>
      </w:pPr>
      <w:r>
        <w:rPr>
          <w:rFonts w:ascii="Calibri" w:cs="Calibri" w:eastAsia="Calibri" w:hAnsi="Calibri"/>
          <w:color w:val="222222"/>
          <w:sz w:val="22"/>
          <w:szCs w:val="22"/>
        </w:rPr>
        <w:t xml:space="preserve">Infrastructure monitoring (CPU, memory, disk, network)</w:t>
      </w:r>
    </w:p>
    <w:p>
      <w:pPr>
        <w:pStyle w:val="ListParagraph"/>
        <w:numPr>
          <w:ilvl w:val="0"/>
          <w:numId w:val="2"/>
        </w:numPr>
        <w:spacing w:after="40" w:before="40" w:line="280"/>
      </w:pPr>
      <w:r>
        <w:rPr>
          <w:rFonts w:ascii="Calibri" w:cs="Calibri" w:eastAsia="Calibri" w:hAnsi="Calibri"/>
          <w:color w:val="222222"/>
          <w:sz w:val="22"/>
          <w:szCs w:val="22"/>
        </w:rPr>
        <w:t xml:space="preserve">API monitoring with latency, throughput, and error tracking</w:t>
      </w:r>
    </w:p>
    <w:p>
      <w:pPr>
        <w:pStyle w:val="ListParagraph"/>
        <w:numPr>
          <w:ilvl w:val="0"/>
          <w:numId w:val="2"/>
        </w:numPr>
        <w:spacing w:after="40" w:before="40" w:line="280"/>
      </w:pPr>
      <w:r>
        <w:rPr>
          <w:rFonts w:ascii="Calibri" w:cs="Calibri" w:eastAsia="Calibri" w:hAnsi="Calibri"/>
          <w:color w:val="222222"/>
          <w:sz w:val="22"/>
          <w:szCs w:val="22"/>
        </w:rPr>
        <w:t xml:space="preserve">Queue and background job monitoring</w:t>
      </w:r>
    </w:p>
    <w:p>
      <w:pPr>
        <w:pStyle w:val="ListParagraph"/>
        <w:numPr>
          <w:ilvl w:val="0"/>
          <w:numId w:val="2"/>
        </w:numPr>
        <w:spacing w:after="40" w:before="40" w:line="280"/>
      </w:pPr>
      <w:r>
        <w:rPr>
          <w:rFonts w:ascii="Calibri" w:cs="Calibri" w:eastAsia="Calibri" w:hAnsi="Calibri"/>
          <w:color w:val="222222"/>
          <w:sz w:val="22"/>
          <w:szCs w:val="22"/>
        </w:rPr>
        <w:t xml:space="preserve">OCR and AI processing monitoring</w:t>
      </w:r>
    </w:p>
    <w:p>
      <w:pPr>
        <w:pStyle w:val="ListParagraph"/>
        <w:numPr>
          <w:ilvl w:val="0"/>
          <w:numId w:val="2"/>
        </w:numPr>
        <w:spacing w:after="40" w:before="40" w:line="280"/>
      </w:pPr>
      <w:r>
        <w:rPr>
          <w:rFonts w:ascii="Calibri" w:cs="Calibri" w:eastAsia="Calibri" w:hAnsi="Calibri"/>
          <w:color w:val="222222"/>
          <w:sz w:val="22"/>
          <w:szCs w:val="22"/>
        </w:rPr>
        <w:t xml:space="preserve">Database performance monitoring</w:t>
      </w:r>
    </w:p>
    <w:p>
      <w:pPr>
        <w:pStyle w:val="ListParagraph"/>
        <w:numPr>
          <w:ilvl w:val="0"/>
          <w:numId w:val="2"/>
        </w:numPr>
        <w:spacing w:after="40" w:before="40" w:line="280"/>
      </w:pPr>
      <w:r>
        <w:rPr>
          <w:rFonts w:ascii="Calibri" w:cs="Calibri" w:eastAsia="Calibri" w:hAnsi="Calibri"/>
          <w:color w:val="222222"/>
          <w:sz w:val="22"/>
          <w:szCs w:val="22"/>
        </w:rPr>
        <w:t xml:space="preserve">Security event monitoring with SIEM integration</w:t>
      </w:r>
    </w:p>
    <w:p>
      <w:pPr>
        <w:pStyle w:val="ListParagraph"/>
        <w:numPr>
          <w:ilvl w:val="0"/>
          <w:numId w:val="2"/>
        </w:numPr>
        <w:spacing w:after="40" w:before="40" w:line="280"/>
      </w:pPr>
      <w:r>
        <w:rPr>
          <w:rFonts w:ascii="Calibri" w:cs="Calibri" w:eastAsia="Calibri" w:hAnsi="Calibri"/>
          <w:color w:val="222222"/>
          <w:sz w:val="22"/>
          <w:szCs w:val="22"/>
        </w:rPr>
        <w:t xml:space="preserve">Centralised logging with CLF/CEF structured logs</w:t>
      </w:r>
    </w:p>
    <w:p>
      <w:pPr>
        <w:pStyle w:val="ListParagraph"/>
        <w:numPr>
          <w:ilvl w:val="0"/>
          <w:numId w:val="2"/>
        </w:numPr>
        <w:spacing w:after="40" w:before="40" w:line="280"/>
      </w:pPr>
      <w:r>
        <w:rPr>
          <w:rFonts w:ascii="Calibri" w:cs="Calibri" w:eastAsia="Calibri" w:hAnsi="Calibri"/>
          <w:color w:val="222222"/>
          <w:sz w:val="22"/>
          <w:szCs w:val="22"/>
        </w:rPr>
        <w:t xml:space="preserve">Alerting and escalation to defined on-call rotations</w:t>
      </w:r>
    </w:p>
    <w:p>
      <w:pPr>
        <w:pStyle w:val="ListParagraph"/>
        <w:numPr>
          <w:ilvl w:val="0"/>
          <w:numId w:val="2"/>
        </w:numPr>
        <w:spacing w:after="40" w:before="40" w:line="280"/>
      </w:pPr>
      <w:r>
        <w:rPr>
          <w:rFonts w:ascii="Calibri" w:cs="Calibri" w:eastAsia="Calibri" w:hAnsi="Calibri"/>
          <w:color w:val="222222"/>
          <w:sz w:val="22"/>
          <w:szCs w:val="22"/>
        </w:rPr>
        <w:t xml:space="preserve">Synthetic transaction monitoring for critical user journeys</w:t>
      </w:r>
    </w:p>
    <w:p>
      <w:pPr>
        <w:pStyle w:val="Heading2"/>
        <w:spacing w:after="120" w:before="240"/>
      </w:pPr>
      <w:r>
        <w:rPr>
          <w:rFonts w:ascii="Calibri" w:cs="Calibri" w:eastAsia="Calibri" w:hAnsi="Calibri"/>
          <w:b/>
          <w:bCs/>
          <w:color w:val="4A1E66"/>
          <w:sz w:val="26"/>
          <w:szCs w:val="26"/>
        </w:rPr>
        <w:t xml:space="preserve">20.3 Managed Services Scope</w:t>
      </w:r>
    </w:p>
    <w:p>
      <w:pPr>
        <w:pStyle w:val="ListParagraph"/>
        <w:numPr>
          <w:ilvl w:val="0"/>
          <w:numId w:val="2"/>
        </w:numPr>
        <w:spacing w:after="40" w:before="40" w:line="280"/>
      </w:pPr>
      <w:r>
        <w:rPr>
          <w:rFonts w:ascii="Calibri" w:cs="Calibri" w:eastAsia="Calibri" w:hAnsi="Calibri"/>
          <w:color w:val="222222"/>
          <w:sz w:val="22"/>
          <w:szCs w:val="22"/>
        </w:rPr>
        <w:t xml:space="preserve">End-to-end managed services covering both Production and UAT environments</w:t>
      </w:r>
    </w:p>
    <w:p>
      <w:pPr>
        <w:pStyle w:val="ListParagraph"/>
        <w:numPr>
          <w:ilvl w:val="0"/>
          <w:numId w:val="2"/>
        </w:numPr>
        <w:spacing w:after="40" w:before="40" w:line="280"/>
      </w:pPr>
      <w:r>
        <w:rPr>
          <w:rFonts w:ascii="Calibri" w:cs="Calibri" w:eastAsia="Calibri" w:hAnsi="Calibri"/>
          <w:color w:val="222222"/>
          <w:sz w:val="22"/>
          <w:szCs w:val="22"/>
        </w:rPr>
        <w:t xml:space="preserve">Quarterly patching aligned with VAPT findings</w:t>
      </w:r>
    </w:p>
    <w:p>
      <w:pPr>
        <w:pStyle w:val="ListParagraph"/>
        <w:numPr>
          <w:ilvl w:val="0"/>
          <w:numId w:val="2"/>
        </w:numPr>
        <w:spacing w:after="40" w:before="40" w:line="280"/>
      </w:pPr>
      <w:r>
        <w:rPr>
          <w:rFonts w:ascii="Calibri" w:cs="Calibri" w:eastAsia="Calibri" w:hAnsi="Calibri"/>
          <w:color w:val="222222"/>
          <w:sz w:val="22"/>
          <w:szCs w:val="22"/>
        </w:rPr>
        <w:t xml:space="preserve">Quarterly security review and posture assessment</w:t>
      </w:r>
    </w:p>
    <w:p>
      <w:pPr>
        <w:pStyle w:val="ListParagraph"/>
        <w:numPr>
          <w:ilvl w:val="0"/>
          <w:numId w:val="2"/>
        </w:numPr>
        <w:spacing w:after="40" w:before="40" w:line="280"/>
      </w:pPr>
      <w:r>
        <w:rPr>
          <w:rFonts w:ascii="Calibri" w:cs="Calibri" w:eastAsia="Calibri" w:hAnsi="Calibri"/>
          <w:color w:val="222222"/>
          <w:sz w:val="22"/>
          <w:szCs w:val="22"/>
        </w:rPr>
        <w:t xml:space="preserve">Regular release management and version upgrades</w:t>
      </w:r>
    </w:p>
    <w:p>
      <w:pPr>
        <w:pStyle w:val="ListParagraph"/>
        <w:numPr>
          <w:ilvl w:val="0"/>
          <w:numId w:val="2"/>
        </w:numPr>
        <w:spacing w:after="40" w:before="40" w:line="280"/>
      </w:pPr>
      <w:r>
        <w:rPr>
          <w:rFonts w:ascii="Calibri" w:cs="Calibri" w:eastAsia="Calibri" w:hAnsi="Calibri"/>
          <w:color w:val="222222"/>
          <w:sz w:val="22"/>
          <w:szCs w:val="22"/>
        </w:rPr>
        <w:t xml:space="preserve">Incident management with documented runbooks</w:t>
      </w:r>
    </w:p>
    <w:p>
      <w:pPr>
        <w:pStyle w:val="ListParagraph"/>
        <w:numPr>
          <w:ilvl w:val="0"/>
          <w:numId w:val="2"/>
        </w:numPr>
        <w:spacing w:after="40" w:before="40" w:line="280"/>
      </w:pPr>
      <w:r>
        <w:rPr>
          <w:rFonts w:ascii="Calibri" w:cs="Calibri" w:eastAsia="Calibri" w:hAnsi="Calibri"/>
          <w:color w:val="222222"/>
          <w:sz w:val="22"/>
          <w:szCs w:val="22"/>
        </w:rPr>
        <w:t xml:space="preserve">Capacity management and proactive scaling</w:t>
      </w:r>
    </w:p>
    <w:p>
      <w:pPr>
        <w:pStyle w:val="ListParagraph"/>
        <w:numPr>
          <w:ilvl w:val="0"/>
          <w:numId w:val="2"/>
        </w:numPr>
        <w:spacing w:after="40" w:before="40" w:line="280"/>
      </w:pPr>
      <w:r>
        <w:rPr>
          <w:rFonts w:ascii="Calibri" w:cs="Calibri" w:eastAsia="Calibri" w:hAnsi="Calibri"/>
          <w:color w:val="222222"/>
          <w:sz w:val="22"/>
          <w:szCs w:val="22"/>
        </w:rPr>
        <w:t xml:space="preserve">Audit support and compliance reporting</w:t>
      </w:r>
    </w:p>
    <w:p>
      <w:pPr>
        <w:pStyle w:val="ListParagraph"/>
        <w:numPr>
          <w:ilvl w:val="0"/>
          <w:numId w:val="2"/>
        </w:numPr>
        <w:spacing w:after="40" w:before="40" w:line="280"/>
      </w:pPr>
      <w:r>
        <w:rPr>
          <w:rFonts w:ascii="Calibri" w:cs="Calibri" w:eastAsia="Calibri" w:hAnsi="Calibri"/>
          <w:color w:val="222222"/>
          <w:sz w:val="22"/>
          <w:szCs w:val="22"/>
        </w:rPr>
        <w:t xml:space="preserve">Monthly service review meetings with client stakeholders</w:t>
      </w:r>
    </w:p>
    <w:p>
      <w:pPr>
        <w:pStyle w:val="Heading1"/>
        <w:pBdr>
          <w:bottom w:val="single" w:color="6B2C91" w:sz="12" w:space="6"/>
        </w:pBdr>
        <w:spacing w:after="180" w:before="360"/>
      </w:pPr>
      <w:r>
        <w:rPr>
          <w:rFonts w:ascii="Calibri" w:cs="Calibri" w:eastAsia="Calibri" w:hAnsi="Calibri"/>
          <w:b/>
          <w:bCs/>
          <w:color w:val="6B2C91"/>
          <w:sz w:val="30"/>
          <w:szCs w:val="30"/>
        </w:rPr>
        <w:t xml:space="preserve">21. Training &amp; Knowledge Enablement</w:t>
      </w:r>
    </w:p>
    <w:p>
      <w:pPr>
        <w:spacing w:after="60" w:before="60" w:line="300"/>
        <w:jc w:val="both"/>
      </w:pPr>
      <w:r>
        <w:rPr>
          <w:rFonts w:ascii="Calibri" w:cs="Calibri" w:eastAsia="Calibri" w:hAnsi="Calibri"/>
          <w:b w:val="false"/>
          <w:bCs w:val="false"/>
          <w:i w:val="false"/>
          <w:iCs w:val="false"/>
          <w:color w:val="222222"/>
          <w:sz w:val="22"/>
          <w:szCs w:val="22"/>
        </w:rPr>
        <w:t xml:space="preserve">THIQATECH delivers structured training programs to support user adoption and platform mastery.</w:t>
      </w:r>
    </w:p>
    <w:p>
      <w:pPr>
        <w:pStyle w:val="ListParagraph"/>
        <w:numPr>
          <w:ilvl w:val="0"/>
          <w:numId w:val="2"/>
        </w:numPr>
        <w:spacing w:after="40" w:before="40" w:line="280"/>
      </w:pPr>
      <w:r>
        <w:rPr>
          <w:rFonts w:ascii="Calibri" w:cs="Calibri" w:eastAsia="Calibri" w:hAnsi="Calibri"/>
          <w:color w:val="222222"/>
          <w:sz w:val="22"/>
          <w:szCs w:val="22"/>
        </w:rPr>
        <w:t xml:space="preserve">End-user training sessions (role-based)</w:t>
      </w:r>
    </w:p>
    <w:p>
      <w:pPr>
        <w:pStyle w:val="ListParagraph"/>
        <w:numPr>
          <w:ilvl w:val="0"/>
          <w:numId w:val="2"/>
        </w:numPr>
        <w:spacing w:after="40" w:before="40" w:line="280"/>
      </w:pPr>
      <w:r>
        <w:rPr>
          <w:rFonts w:ascii="Calibri" w:cs="Calibri" w:eastAsia="Calibri" w:hAnsi="Calibri"/>
          <w:color w:val="222222"/>
          <w:sz w:val="22"/>
          <w:szCs w:val="22"/>
        </w:rPr>
        <w:t xml:space="preserve">Administrator and super-user training</w:t>
      </w:r>
    </w:p>
    <w:p>
      <w:pPr>
        <w:pStyle w:val="ListParagraph"/>
        <w:numPr>
          <w:ilvl w:val="0"/>
          <w:numId w:val="2"/>
        </w:numPr>
        <w:spacing w:after="40" w:before="40" w:line="280"/>
      </w:pPr>
      <w:r>
        <w:rPr>
          <w:rFonts w:ascii="Calibri" w:cs="Calibri" w:eastAsia="Calibri" w:hAnsi="Calibri"/>
          <w:color w:val="222222"/>
          <w:sz w:val="22"/>
          <w:szCs w:val="22"/>
        </w:rPr>
        <w:t xml:space="preserve">Train-the-trainer programs for internal champions</w:t>
      </w:r>
    </w:p>
    <w:p>
      <w:pPr>
        <w:pStyle w:val="ListParagraph"/>
        <w:numPr>
          <w:ilvl w:val="0"/>
          <w:numId w:val="2"/>
        </w:numPr>
        <w:spacing w:after="40" w:before="40" w:line="280"/>
      </w:pPr>
      <w:r>
        <w:rPr>
          <w:rFonts w:ascii="Calibri" w:cs="Calibri" w:eastAsia="Calibri" w:hAnsi="Calibri"/>
          <w:color w:val="222222"/>
          <w:sz w:val="22"/>
          <w:szCs w:val="22"/>
        </w:rPr>
        <w:t xml:space="preserve">Live webinar sessions with Q&amp;A</w:t>
      </w:r>
    </w:p>
    <w:p>
      <w:pPr>
        <w:pStyle w:val="ListParagraph"/>
        <w:numPr>
          <w:ilvl w:val="0"/>
          <w:numId w:val="2"/>
        </w:numPr>
        <w:spacing w:after="40" w:before="40" w:line="280"/>
      </w:pPr>
      <w:r>
        <w:rPr>
          <w:rFonts w:ascii="Calibri" w:cs="Calibri" w:eastAsia="Calibri" w:hAnsi="Calibri"/>
          <w:color w:val="222222"/>
          <w:sz w:val="22"/>
          <w:szCs w:val="22"/>
        </w:rPr>
        <w:t xml:space="preserve">Recorded training materials and video tutorials</w:t>
      </w:r>
    </w:p>
    <w:p>
      <w:pPr>
        <w:pStyle w:val="ListParagraph"/>
        <w:numPr>
          <w:ilvl w:val="0"/>
          <w:numId w:val="2"/>
        </w:numPr>
        <w:spacing w:after="40" w:before="40" w:line="280"/>
      </w:pPr>
      <w:r>
        <w:rPr>
          <w:rFonts w:ascii="Calibri" w:cs="Calibri" w:eastAsia="Calibri" w:hAnsi="Calibri"/>
          <w:color w:val="222222"/>
          <w:sz w:val="22"/>
          <w:szCs w:val="22"/>
        </w:rPr>
        <w:t xml:space="preserve">Comprehensive user guides and administrator documentation</w:t>
      </w:r>
    </w:p>
    <w:p>
      <w:pPr>
        <w:pStyle w:val="ListParagraph"/>
        <w:numPr>
          <w:ilvl w:val="0"/>
          <w:numId w:val="2"/>
        </w:numPr>
        <w:spacing w:after="40" w:before="40" w:line="280"/>
      </w:pPr>
      <w:r>
        <w:rPr>
          <w:rFonts w:ascii="Calibri" w:cs="Calibri" w:eastAsia="Calibri" w:hAnsi="Calibri"/>
          <w:color w:val="222222"/>
          <w:sz w:val="22"/>
          <w:szCs w:val="22"/>
        </w:rPr>
        <w:t xml:space="preserve">API documentation (OpenAPI / Swagger) for integration teams</w:t>
      </w:r>
    </w:p>
    <w:p>
      <w:pPr>
        <w:pStyle w:val="ListParagraph"/>
        <w:numPr>
          <w:ilvl w:val="0"/>
          <w:numId w:val="2"/>
        </w:numPr>
        <w:spacing w:after="40" w:before="40" w:line="280"/>
      </w:pPr>
      <w:r>
        <w:rPr>
          <w:rFonts w:ascii="Calibri" w:cs="Calibri" w:eastAsia="Calibri" w:hAnsi="Calibri"/>
          <w:color w:val="222222"/>
          <w:sz w:val="22"/>
          <w:szCs w:val="22"/>
        </w:rPr>
        <w:t xml:space="preserve">Quick-start guides and embedded contextual help</w:t>
      </w:r>
    </w:p>
    <w:p>
      <w:pPr>
        <w:pStyle w:val="ListParagraph"/>
        <w:numPr>
          <w:ilvl w:val="0"/>
          <w:numId w:val="2"/>
        </w:numPr>
        <w:spacing w:after="40" w:before="40" w:line="280"/>
      </w:pPr>
      <w:r>
        <w:rPr>
          <w:rFonts w:ascii="Calibri" w:cs="Calibri" w:eastAsia="Calibri" w:hAnsi="Calibri"/>
          <w:color w:val="222222"/>
          <w:sz w:val="22"/>
          <w:szCs w:val="22"/>
        </w:rPr>
        <w:t xml:space="preserve">FAQ documentation and knowledge base</w:t>
      </w:r>
    </w:p>
    <w:p>
      <w:pPr>
        <w:pStyle w:val="ListParagraph"/>
        <w:numPr>
          <w:ilvl w:val="0"/>
          <w:numId w:val="2"/>
        </w:numPr>
        <w:spacing w:after="40" w:before="40" w:line="280"/>
      </w:pPr>
      <w:r>
        <w:rPr>
          <w:rFonts w:ascii="Calibri" w:cs="Calibri" w:eastAsia="Calibri" w:hAnsi="Calibri"/>
          <w:color w:val="222222"/>
          <w:sz w:val="22"/>
          <w:szCs w:val="22"/>
        </w:rPr>
        <w:t xml:space="preserve">User certification programs for power users</w:t>
      </w:r>
    </w:p>
    <w:p>
      <w:pPr>
        <w:pStyle w:val="ListParagraph"/>
        <w:numPr>
          <w:ilvl w:val="0"/>
          <w:numId w:val="2"/>
        </w:numPr>
        <w:spacing w:after="40" w:before="40" w:line="280"/>
      </w:pPr>
      <w:r>
        <w:rPr>
          <w:rFonts w:ascii="Calibri" w:cs="Calibri" w:eastAsia="Calibri" w:hAnsi="Calibri"/>
          <w:color w:val="222222"/>
          <w:sz w:val="22"/>
          <w:szCs w:val="22"/>
        </w:rPr>
        <w:t xml:space="preserve">Post-release update sessions following major releases</w:t>
      </w:r>
    </w:p>
    <w:p>
      <w:pPr>
        <w:pStyle w:val="ListParagraph"/>
        <w:numPr>
          <w:ilvl w:val="0"/>
          <w:numId w:val="2"/>
        </w:numPr>
        <w:spacing w:after="40" w:before="40" w:line="280"/>
      </w:pPr>
      <w:r>
        <w:rPr>
          <w:rFonts w:ascii="Calibri" w:cs="Calibri" w:eastAsia="Calibri" w:hAnsi="Calibri"/>
          <w:color w:val="222222"/>
          <w:sz w:val="22"/>
          <w:szCs w:val="22"/>
        </w:rPr>
        <w:t xml:space="preserve">Hands-on workshops during UAT phase</w:t>
      </w:r>
    </w:p>
    <w:p>
      <w:pPr>
        <w:pStyle w:val="Heading1"/>
        <w:pBdr>
          <w:bottom w:val="single" w:color="6B2C91" w:sz="12" w:space="6"/>
        </w:pBdr>
        <w:spacing w:after="180" w:before="360"/>
      </w:pPr>
      <w:r>
        <w:rPr>
          <w:rFonts w:ascii="Calibri" w:cs="Calibri" w:eastAsia="Calibri" w:hAnsi="Calibri"/>
          <w:b/>
          <w:bCs/>
          <w:color w:val="6B2C91"/>
          <w:sz w:val="30"/>
          <w:szCs w:val="30"/>
        </w:rPr>
        <w:t xml:space="preserve">22. Technical Compliance Matrix</w:t>
      </w:r>
    </w:p>
    <w:p>
      <w:pPr>
        <w:spacing w:after="60" w:before="60" w:line="300"/>
        <w:jc w:val="both"/>
      </w:pPr>
      <w:r>
        <w:rPr>
          <w:rFonts w:ascii="Calibri" w:cs="Calibri" w:eastAsia="Calibri" w:hAnsi="Calibri"/>
          <w:b w:val="false"/>
          <w:bCs w:val="false"/>
          <w:i w:val="false"/>
          <w:iCs w:val="false"/>
          <w:color w:val="222222"/>
          <w:sz w:val="22"/>
          <w:szCs w:val="22"/>
        </w:rPr>
        <w:t xml:space="preserve">The following matrix maps each technical requirement from RFI Section 3c to THIQATECH's compliance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100"/>
        <w:gridCol w:w="3460"/>
      </w:tblGrid>
      <w:tr>
        <w:trPr>
          <w:tblHeader/>
        </w:trPr>
        <w:tc>
          <w:tcPr>
            <w:tcW w:type="dxa" w:w="1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 Category</w:t>
            </w:r>
          </w:p>
        </w:tc>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Approach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Multi-tier web-based architecture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Scalable multi-tier architecture separating frontend, backend, database, OCR/AI processing, storage, and integration layers.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Modular and API-driven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Modular API-first architecture supporting future expansion and enterprise integrations.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High Availability (HA)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HA across web, application, queue, storage, and database layers using load balancing and orchestration.</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OS — Oracle Linux 8.1+ / Windows 2022+</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Both supported; deployment aligned with client infrastructure standards.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Database — Oracle or MSSQL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Both supported via database abstraction layer; PostgreSQL also recommended as alternative.</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Microservices (OKE infrastructure)</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Microservice-ready and containerised for OKE-compatible Kubernetes deployment.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Architecture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Data purging and archiving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Policy-driven purging and tiered archival with full audit trail.</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REST/SOAP API support</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Both supported with OpenAPI/Swagger documentation.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API Gateway integration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Compatible with enterprise API gateways.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Schedule &amp; monitor integrations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Scheduled integration jobs with monitoring, retry, dead-letter queues, and alerting.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KONG API Gateway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KONG compatibility natively supported.</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RBAC</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Granular RBAC for users, departments, contract types, and document-level permissions.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MFA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MFA via OTP, authenticator apps, or enterprise IAM providers.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End-to-end encryption (TLS 1.3+, AES-256)</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TLS 1.3+ for transit, AES-256 for data at rest.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API security per internal controls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OAuth 2.0, rate limiting, input validation, output encoding, key rotation.</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Database encryption (mandatory)</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Encryption at rest with secure key management.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PCI DSS / SSF compliance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Readiness for PCI DSS / SSF controls where payment data is involved.</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CLF/CEF structured logs with severity</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CLF/CEF logs with severity levels; SIEM-integrable.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Audit trails for critical activities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Tamper-evident logging of all critical actions.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Infrastructure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10-year retention, 1-year instantly searchable</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Tiered storage with hot (1-year) and cold (9-year archive) tiers.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Infrastructure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Offsite backup and DR</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Daily incremental, weekly full, encrypted offsite backup; documented DR plan.</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Infrastructure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Dev/UAT/Prod segregation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Fully segregated environments with separate credentials and access policies.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Infrastructure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Sizing details (RAM/CPU/storage)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Detailed sizing provided in Section 15.2.</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Infrastructure</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Licensing details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 licensing breakdown provided in Section 19.</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Deployment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CI/CD pipeline support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Automated build, test, security scan, and deployment pipelines.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Deployment</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Test-driven development with UAT scripts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TDD practices and comprehensive UAT scripts.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Deployment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Patch management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Regular patching with quarterly cycles plus emergency patches.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Deployment</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48-hour critical vulnerability remediation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Critical vulnerabilities remediated within 48 hours.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Deployment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API documentation &amp; user manuals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 OpenAPI/Swagger documentation and user manuals.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Support</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24/7 Production support (L1/L2/L3)</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Three-tier 24/7 support structure (see Section 20.1).</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Support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Training of resources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Comprehensive training programs (see Section 21).</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Support</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Monitoring mechanism</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Centralised monitoring across application, infrastructure, API, queue, OCR, and AI processing.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Support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Quarterly patching based on VAPT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Quarterly VAPT-driven patching cycles.</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Support</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Managed services (PR and UAT)</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End-to-end managed services covering both Production and UAT.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Support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VAPT TAT — Critical: 48h, High: 6d, Medium: 15d, Low: 30d</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 alignment with specified TAT (see Section 14.2).</w:t>
            </w:r>
          </w:p>
        </w:tc>
      </w:tr>
      <w:tr>
        <w:tc>
          <w:tcPr>
            <w:tcW w:type="dxa" w:w="1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Project Plan</w:t>
            </w:r>
          </w:p>
        </w:tc>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Project plan and timelines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Detailed phased delivery plan provided in Section 18.</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23. Information Security Requirements Matrix</w:t>
      </w:r>
    </w:p>
    <w:p>
      <w:pPr>
        <w:spacing w:after="60" w:before="60" w:line="300"/>
        <w:jc w:val="both"/>
      </w:pPr>
      <w:r>
        <w:rPr>
          <w:rFonts w:ascii="Calibri" w:cs="Calibri" w:eastAsia="Calibri" w:hAnsi="Calibri"/>
          <w:b w:val="false"/>
          <w:bCs w:val="false"/>
          <w:i w:val="false"/>
          <w:iCs w:val="false"/>
          <w:color w:val="222222"/>
          <w:sz w:val="22"/>
          <w:szCs w:val="22"/>
        </w:rPr>
        <w:t xml:space="preserve">This matrix directly addresses RFI Section 3d in the exact requested format, with a Yes/No/NA vendor response column for every requirement.</w:t>
      </w:r>
    </w:p>
    <w:p>
      <w:pPr>
        <w:pStyle w:val="Heading2"/>
        <w:spacing w:after="120" w:before="240"/>
      </w:pPr>
      <w:r>
        <w:rPr>
          <w:rFonts w:ascii="Calibri" w:cs="Calibri" w:eastAsia="Calibri" w:hAnsi="Calibri"/>
          <w:b/>
          <w:bCs/>
          <w:color w:val="4A1E66"/>
          <w:sz w:val="26"/>
          <w:szCs w:val="26"/>
        </w:rPr>
        <w:t xml:space="preserve">23.1 Compliance &amp;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Confirm alignment with applicable regulatory guidelines and risk management frameworks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Statement of compliance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Statement of compliance provided; alignment with applicable regulatory and risk frameworks confirmed.</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Provide third-party vulnerability assessment reports, if applicable</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Vulnerability assessment reports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VAPT reports can be provided upon NDA execution and at RFP stage.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Submit evidence of compliance with ISO 27001, PCI DSS, SOC 2 Type II</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Certification documentation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Readiness for ISO 27001, PCI DSS, and SOC 2 Type II; alignment documentation available; certification roadmap can be shared.</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Provide a comprehensive list of subcontractors and their compliance with security standards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Subcontractor compliance report</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Subcontractor list and security compliance status will be disclosed at RFP stage; only vetted partners are engaged.</w:t>
            </w:r>
          </w:p>
        </w:tc>
      </w:tr>
    </w:tbl>
    <w:p>
      <w:pPr>
        <w:pStyle w:val="Heading2"/>
        <w:spacing w:after="120" w:before="240"/>
      </w:pPr>
      <w:r>
        <w:rPr>
          <w:rFonts w:ascii="Calibri" w:cs="Calibri" w:eastAsia="Calibri" w:hAnsi="Calibri"/>
          <w:b/>
          <w:bCs/>
          <w:color w:val="4A1E66"/>
          <w:sz w:val="26"/>
          <w:szCs w:val="26"/>
        </w:rPr>
        <w:t xml:space="preserve">23.2 System &amp;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Guarantee timely provision of security patches and updates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Patch and update policy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Documented patch and update policy with severity-based SLAs.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Ensure compatibility with micro-segmented network architectures and firewalls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Network architecture compatibility</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Platform supports deployment in micro-segmented networks with firewall, WAF, and zero-trust architectures.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Confirm resilience against vulnerability assessments and penetration tests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Assessment and testing results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Platform regularly tested via SAST, DAST, and VAPT; remediation evidence available.</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Specify security frameworks and tools used for VAPT and incident detection/prevention</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Framework and tool details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Frameworks: OWASP, NIST, CIS. Tools: industry-standard SAST/DAST/VAPT and SIEM solutions (specific tools disclosed under NDA).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Acknowledge the right to conduct external posture scanning of the vendor environment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Acknowledgment of scanning rights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THIQATECH acknowledges the client's right to conduct external posture scanning, VAPT, and security audits.</w:t>
            </w:r>
          </w:p>
        </w:tc>
      </w:tr>
    </w:tbl>
    <w:p>
      <w:pPr>
        <w:pStyle w:val="Heading2"/>
        <w:spacing w:after="120" w:before="240"/>
      </w:pPr>
      <w:r>
        <w:rPr>
          <w:rFonts w:ascii="Calibri" w:cs="Calibri" w:eastAsia="Calibri" w:hAnsi="Calibri"/>
          <w:b/>
          <w:bCs/>
          <w:color w:val="4A1E66"/>
          <w:sz w:val="26"/>
          <w:szCs w:val="26"/>
        </w:rPr>
        <w:t xml:space="preserve">23.3 Data Protection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Outline data safeguarding measures including AES-256 and TLS 1.2+ encryption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Encryption protocols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AES-256 at rest, TLS 1.2+ minimum (TLS 1.3+ preferred) in transit.</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Confirm adherence to data segregation and protection requirements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Data segregation plan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Documented data segregation plan covering tenant isolation, environment isolation, and logical/physical segregation.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Provide a data retention and secure deletion plan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Data lifecycle management policy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Documented data lifecycle policy with configurable retention, secure deletion (cryptographic erasure), and archival workflows.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Confirm willingness to execute a Non-Disclosure Agreement (NDA)</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Signed NDA</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THIQATECH confirms willingness to execute NDA and related confidentiality, information security, and data handling agreements.</w:t>
            </w:r>
          </w:p>
        </w:tc>
      </w:tr>
    </w:tbl>
    <w:p>
      <w:pPr>
        <w:pStyle w:val="Heading2"/>
        <w:spacing w:after="120" w:before="240"/>
      </w:pPr>
      <w:r>
        <w:rPr>
          <w:rFonts w:ascii="Calibri" w:cs="Calibri" w:eastAsia="Calibri" w:hAnsi="Calibri"/>
          <w:b/>
          <w:bCs/>
          <w:color w:val="4A1E66"/>
          <w:sz w:val="26"/>
          <w:szCs w:val="26"/>
        </w:rPr>
        <w:t xml:space="preserve">23.4 Access Control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Describe RBAC and MFA access control mechanisms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Access control policies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Granular RBAC and MFA implemented; integration with enterprise IAM/SSO supported.</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Ensure logs adhere to CLF/CEF formats with defined severity levels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Logging standard compliance</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CLF/CEF structured logs with severity levels (DEBUG/INFO/WARN/ERROR/CRITICAL).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Logs must cover authentication, access control, application usage, security incidents, and audit trails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Log category coverage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All listed categories logged: authentication events, access control decisions, application usage, security incidents, and full audit trails.</w:t>
            </w:r>
          </w:p>
        </w:tc>
      </w:tr>
    </w:tbl>
    <w:p>
      <w:pPr>
        <w:pStyle w:val="Heading2"/>
        <w:spacing w:after="120" w:before="240"/>
      </w:pPr>
      <w:r>
        <w:rPr>
          <w:rFonts w:ascii="Calibri" w:cs="Calibri" w:eastAsia="Calibri" w:hAnsi="Calibri"/>
          <w:b/>
          <w:bCs/>
          <w:color w:val="4A1E66"/>
          <w:sz w:val="26"/>
          <w:szCs w:val="26"/>
        </w:rPr>
        <w:t xml:space="preserve">23.5 Compatibility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Confirm compatibility with IAM, MFA, SSO, WAF, and SOAR solutions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Compatibility documentation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Compatibility with enterprise IAM, MFA, SSO, WAF, and SOAR solutions; documentation available at RFP stage.</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Confirm integration support for SIEM, DAM, PAM, and Vulnerability Management tools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 plan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Integration support for SIEM, DAM, PAM, and Vulnerability Management; integration plan available at design phase.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Ensure compatibility with automated backup and restoration solutions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Backup/restore compatibility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Compatibility with enterprise automated backup and restoration solutions; integration with client tooling supported.</w:t>
            </w:r>
          </w:p>
        </w:tc>
      </w:tr>
    </w:tbl>
    <w:p>
      <w:pPr>
        <w:pStyle w:val="Heading2"/>
        <w:spacing w:after="120" w:before="240"/>
      </w:pPr>
      <w:r>
        <w:rPr>
          <w:rFonts w:ascii="Calibri" w:cs="Calibri" w:eastAsia="Calibri" w:hAnsi="Calibri"/>
          <w:b/>
          <w:bCs/>
          <w:color w:val="4A1E66"/>
          <w:sz w:val="26"/>
          <w:szCs w:val="26"/>
        </w:rPr>
        <w:t xml:space="preserve">23.6 Business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Provide an incident response plan with escalation procedures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Incident response plan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Documented IR plan with severity classification, escalation paths, and communication procedures.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Summarise the BCP and DRP applicable to the proposed solution</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BCP and DRP documentation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BCP and DRP documentation covering RPO/RTO targets, failover procedures, backup strategy, and recovery workflows.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Confirm readiness to support audits by authorised third-party entities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Audit support confirmation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 readiness to support audits by client-authorised third-party entities including code reviews, security audits, and compliance audits.</w:t>
            </w:r>
          </w:p>
        </w:tc>
      </w:tr>
    </w:tbl>
    <w:p>
      <w:pPr>
        <w:pStyle w:val="Heading2"/>
        <w:spacing w:after="120" w:before="240"/>
      </w:pPr>
      <w:r>
        <w:rPr>
          <w:rFonts w:ascii="Calibri" w:cs="Calibri" w:eastAsia="Calibri" w:hAnsi="Calibri"/>
          <w:b/>
          <w:bCs/>
          <w:color w:val="4A1E66"/>
          <w:sz w:val="26"/>
          <w:szCs w:val="26"/>
        </w:rPr>
        <w:t xml:space="preserve">23.7 Communications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Ensure all communications use authenticated mediums (SPF, DKIM, DMARC)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Communication security policies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SPF, DKIM, and DMARC configured for all outbound email; TLS-secured communications.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Acknowledge the right to reject unauthenticated email communications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Vendor acknowledgment</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THIQATECH acknowledges the client's right to reject any unauthenticated email communications.</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24. Portal / Web Application Security Matrix</w:t>
      </w:r>
    </w:p>
    <w:p>
      <w:pPr>
        <w:spacing w:after="60" w:before="60" w:line="300"/>
        <w:jc w:val="both"/>
      </w:pPr>
      <w:r>
        <w:rPr>
          <w:rFonts w:ascii="Calibri" w:cs="Calibri" w:eastAsia="Calibri" w:hAnsi="Calibri"/>
          <w:b w:val="false"/>
          <w:bCs w:val="false"/>
          <w:i w:val="false"/>
          <w:iCs w:val="false"/>
          <w:color w:val="222222"/>
          <w:sz w:val="22"/>
          <w:szCs w:val="22"/>
        </w:rPr>
        <w:t xml:space="preserve">This matrix directly addresses RFI Section 3d (Portal / Web Application Security) in the exact requested Yes/No/NA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100"/>
        <w:gridCol w:w="3460"/>
      </w:tblGrid>
      <w:tr>
        <w:trPr>
          <w:tblHeader/>
        </w:trPr>
        <w:tc>
          <w:tcPr>
            <w:tcW w:type="dxa" w:w="28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Requirement</w:t>
            </w:r>
          </w:p>
        </w:tc>
        <w:tc>
          <w:tcPr>
            <w:tcW w:type="dxa" w:w="2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Evaluation Parameter</w:t>
            </w:r>
          </w:p>
        </w:tc>
        <w:tc>
          <w:tcPr>
            <w:tcW w:type="dxa" w:w="11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Response</w:t>
            </w:r>
          </w:p>
        </w:tc>
        <w:tc>
          <w:tcPr>
            <w:tcW w:type="dxa" w:w="34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THIQATECH Note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Secure-by-design and secure-by-default development principles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design documentation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Secure-by-design and secure-by-default principles applied from architecture stage onwards.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Adherence to OWASP Top 10 and OWASP ASVS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coding standards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OWASP Top 10 and OWASP ASVS controls applied across development lifecycle.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Strong input validation, output encoding, protection against SQLi, XSS, CSRF</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Application security controls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Parameterised queries, ORM controls, input validation, output encoding, CSP, and CSRF tokens implemented.</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session management (timeout, secure cookies, session fixation protection)</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Session management controls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cookies, token expiry, refresh token rotation, idle timeout, and session fixation protection.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Strong authentication including MFA where applicable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Authentication design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OAuth 2.0 / OIDC with MFA support via OTP, authenticator apps, or enterprise IAM.</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RBAC to segregate user privileges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Authorization model</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Granular RBAC at user, role, department, and document level.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Sensitive data masking and least exposure principles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Data exposure controls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Data masking for sensitive fields; least-privilege exposure across UI and API layers.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HTTPS with TLS 1.2 or higher for all communications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Transport security configuration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TLS 1.3+ enforced; TLS 1.2+ minimum for legacy integrations.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Web Application Firewall (WAF) integration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WAF integration capability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Platform supports deployment behind enterprise WAF solutions.</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 headers (HSTS, CSP, X-Frame-Options, X-Content-Type-Options)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HTTP security headers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 set of security headers configured including HSTS, CSP, X-Frame-Options, X-Content-Type-Options, and Referrer-Policy.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Detailed application logs integrable with SIEM in near real-time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SIEM integration support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Near real-time log streaming to SIEM platforms with CLF/CEF formatting.</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Regular SAST, DAST, and/or VAPT before go-live and after major changes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Security testing reports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SAST, DAST, and VAPT performed before go-live and after every major release; reports available.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Timely vulnerability remediation per defined severity SLAs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Remediation SLAs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Critical: 48h, High: 6d, Medium: 15d, Low: 30d (see Section 14.2).</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Segregation of Dev, Testing, and Production environments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SDLC environment segregation</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Fully segregated Dev, UAT, and Production environments with separate credentials, data, and access policies.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Protection against bots, brute force, and credential stuffing (rate limiting, CAPTCHA)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Anti-automation controls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Rate limiting, CAPTCHA, brute-force protection, and credential stuffing detection implemented.</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error handling — no sensitive info in error messages or stack traces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Error handling controls</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Generic error messages to end users; detailed errors logged server-side only; no stack traces exposed.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No hardcoded credentials, keys, or secrets in the codebase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Secure secrets management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Zero hardcoded secrets; secrets managed via secure vault or environment-injected configuration.</w:t>
            </w:r>
          </w:p>
        </w:tc>
      </w:tr>
      <w:tr>
        <w:tc>
          <w:tcPr>
            <w:tcW w:type="dxa" w:w="28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Support for periodic security and code reviews by authorised third parties</w:t>
            </w:r>
          </w:p>
        </w:tc>
        <w:tc>
          <w:tcPr>
            <w:tcW w:type="dxa" w:w="2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Review and audit support</w:t>
            </w:r>
          </w:p>
        </w:tc>
        <w:tc>
          <w:tcPr>
            <w:tcW w:type="dxa" w:w="11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1E7C3A"/>
                <w:sz w:val="19"/>
                <w:szCs w:val="19"/>
              </w:rPr>
              <w:t xml:space="preserve">Yes</w:t>
            </w:r>
          </w:p>
        </w:tc>
        <w:tc>
          <w:tcPr>
            <w:tcW w:type="dxa" w:w="34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Full support for periodic security reviews, code reviews, and audits by client-authorised third parties.</w:t>
            </w:r>
          </w:p>
        </w:tc>
      </w:tr>
    </w:tbl>
    <w:p>
      <w:pPr>
        <w:pStyle w:val="Heading1"/>
        <w:pBdr>
          <w:bottom w:val="single" w:color="6B2C91" w:sz="12" w:space="6"/>
        </w:pBdr>
        <w:spacing w:after="180" w:before="360"/>
      </w:pPr>
      <w:r>
        <w:rPr>
          <w:rFonts w:ascii="Calibri" w:cs="Calibri" w:eastAsia="Calibri" w:hAnsi="Calibri"/>
          <w:b/>
          <w:bCs/>
          <w:color w:val="6B2C91"/>
          <w:sz w:val="30"/>
          <w:szCs w:val="30"/>
        </w:rPr>
        <w:t xml:space="preserve">25. Additional Enterprise &amp; Compliance Clarifications</w:t>
      </w:r>
    </w:p>
    <w:p>
      <w:pPr>
        <w:pStyle w:val="Heading2"/>
        <w:spacing w:after="120" w:before="240"/>
      </w:pPr>
      <w:r>
        <w:rPr>
          <w:rFonts w:ascii="Calibri" w:cs="Calibri" w:eastAsia="Calibri" w:hAnsi="Calibri"/>
          <w:b/>
          <w:bCs/>
          <w:color w:val="4A1E66"/>
          <w:sz w:val="26"/>
          <w:szCs w:val="26"/>
        </w:rPr>
        <w:t xml:space="preserve">25.1 NIFT Digital Signature Integration</w:t>
      </w:r>
    </w:p>
    <w:p>
      <w:pPr>
        <w:spacing w:after="60" w:before="60" w:line="300"/>
        <w:jc w:val="both"/>
      </w:pPr>
      <w:r>
        <w:rPr>
          <w:rFonts w:ascii="Calibri" w:cs="Calibri" w:eastAsia="Calibri" w:hAnsi="Calibri"/>
          <w:b w:val="false"/>
          <w:bCs w:val="false"/>
          <w:i w:val="false"/>
          <w:iCs w:val="false"/>
          <w:color w:val="222222"/>
          <w:sz w:val="22"/>
          <w:szCs w:val="22"/>
        </w:rPr>
        <w:t xml:space="preserve">THIQATECH confirms that the proposed platform architecture supports integration with NIFT digital signature services through secure API integration and certificate-based signing workflows. Supported capabilities include NIFT digital signature integration, certificate validation, execution tracking, signature verification, audit-ready signing workflows, and wet-signature scanning/attachment handling. Final integration approach will be aligned with the client's technical environment and NIFT integration specifications during implementation.</w:t>
      </w:r>
    </w:p>
    <w:p>
      <w:pPr>
        <w:pStyle w:val="Heading2"/>
        <w:spacing w:after="120" w:before="240"/>
      </w:pPr>
      <w:r>
        <w:rPr>
          <w:rFonts w:ascii="Calibri" w:cs="Calibri" w:eastAsia="Calibri" w:hAnsi="Calibri"/>
          <w:b/>
          <w:bCs/>
          <w:color w:val="4A1E66"/>
          <w:sz w:val="26"/>
          <w:szCs w:val="26"/>
        </w:rPr>
        <w:t xml:space="preserve">25.2 SBP / ETGRMF / ORM Alignment</w:t>
      </w:r>
    </w:p>
    <w:p>
      <w:pPr>
        <w:spacing w:after="60" w:before="60" w:line="300"/>
        <w:jc w:val="both"/>
      </w:pPr>
      <w:r>
        <w:rPr>
          <w:rFonts w:ascii="Calibri" w:cs="Calibri" w:eastAsia="Calibri" w:hAnsi="Calibri"/>
          <w:b w:val="false"/>
          <w:bCs w:val="false"/>
          <w:i w:val="false"/>
          <w:iCs w:val="false"/>
          <w:color w:val="222222"/>
          <w:sz w:val="22"/>
          <w:szCs w:val="22"/>
        </w:rPr>
        <w:t xml:space="preserve">The proposed solution architecture can support alignment with State Bank of Pakistan (SBP) regulatory requirements, Enterprise Technology Governance and Risk Management Framework (ETGRMF) requirements, Operational Risk Management (ORM) controls, enterprise governance controls, and audit and compliance workflows. Detailed compliance alignment will be finalised during detailed technical and governance workshops with the client's security and compliance stakeholders.</w:t>
      </w:r>
    </w:p>
    <w:p>
      <w:pPr>
        <w:pStyle w:val="Heading2"/>
        <w:spacing w:after="120" w:before="240"/>
      </w:pPr>
      <w:r>
        <w:rPr>
          <w:rFonts w:ascii="Calibri" w:cs="Calibri" w:eastAsia="Calibri" w:hAnsi="Calibri"/>
          <w:b/>
          <w:bCs/>
          <w:color w:val="4A1E66"/>
          <w:sz w:val="26"/>
          <w:szCs w:val="26"/>
        </w:rPr>
        <w:t xml:space="preserve">25.3 Regulatory &amp; Audit Support</w:t>
      </w:r>
    </w:p>
    <w:p>
      <w:pPr>
        <w:pStyle w:val="ListParagraph"/>
        <w:numPr>
          <w:ilvl w:val="0"/>
          <w:numId w:val="2"/>
        </w:numPr>
        <w:spacing w:after="40" w:before="40" w:line="280"/>
      </w:pPr>
      <w:r>
        <w:rPr>
          <w:rFonts w:ascii="Calibri" w:cs="Calibri" w:eastAsia="Calibri" w:hAnsi="Calibri"/>
          <w:color w:val="222222"/>
          <w:sz w:val="22"/>
          <w:szCs w:val="22"/>
        </w:rPr>
        <w:t xml:space="preserve">Regulatory inquiry coordination</w:t>
      </w:r>
    </w:p>
    <w:p>
      <w:pPr>
        <w:pStyle w:val="ListParagraph"/>
        <w:numPr>
          <w:ilvl w:val="0"/>
          <w:numId w:val="2"/>
        </w:numPr>
        <w:spacing w:after="40" w:before="40" w:line="280"/>
      </w:pPr>
      <w:r>
        <w:rPr>
          <w:rFonts w:ascii="Calibri" w:cs="Calibri" w:eastAsia="Calibri" w:hAnsi="Calibri"/>
          <w:color w:val="222222"/>
          <w:sz w:val="22"/>
          <w:szCs w:val="22"/>
        </w:rPr>
        <w:t xml:space="preserve">Audit support during the project lifecycle and post-go-live</w:t>
      </w:r>
    </w:p>
    <w:p>
      <w:pPr>
        <w:pStyle w:val="ListParagraph"/>
        <w:numPr>
          <w:ilvl w:val="0"/>
          <w:numId w:val="2"/>
        </w:numPr>
        <w:spacing w:after="40" w:before="40" w:line="280"/>
      </w:pPr>
      <w:r>
        <w:rPr>
          <w:rFonts w:ascii="Calibri" w:cs="Calibri" w:eastAsia="Calibri" w:hAnsi="Calibri"/>
          <w:color w:val="222222"/>
          <w:sz w:val="22"/>
          <w:szCs w:val="22"/>
        </w:rPr>
        <w:t xml:space="preserve">Security assessment support</w:t>
      </w:r>
    </w:p>
    <w:p>
      <w:pPr>
        <w:pStyle w:val="ListParagraph"/>
        <w:numPr>
          <w:ilvl w:val="0"/>
          <w:numId w:val="2"/>
        </w:numPr>
        <w:spacing w:after="40" w:before="40" w:line="280"/>
      </w:pPr>
      <w:r>
        <w:rPr>
          <w:rFonts w:ascii="Calibri" w:cs="Calibri" w:eastAsia="Calibri" w:hAnsi="Calibri"/>
          <w:color w:val="222222"/>
          <w:sz w:val="22"/>
          <w:szCs w:val="22"/>
        </w:rPr>
        <w:t xml:space="preserve">Compliance documentation support</w:t>
      </w:r>
    </w:p>
    <w:p>
      <w:pPr>
        <w:pStyle w:val="ListParagraph"/>
        <w:numPr>
          <w:ilvl w:val="0"/>
          <w:numId w:val="2"/>
        </w:numPr>
        <w:spacing w:after="40" w:before="40" w:line="280"/>
      </w:pPr>
      <w:r>
        <w:rPr>
          <w:rFonts w:ascii="Calibri" w:cs="Calibri" w:eastAsia="Calibri" w:hAnsi="Calibri"/>
          <w:color w:val="222222"/>
          <w:sz w:val="22"/>
          <w:szCs w:val="22"/>
        </w:rPr>
        <w:t xml:space="preserve">Technical clarification support for regulators and auditors</w:t>
      </w:r>
    </w:p>
    <w:p>
      <w:pPr>
        <w:pStyle w:val="ListParagraph"/>
        <w:numPr>
          <w:ilvl w:val="0"/>
          <w:numId w:val="2"/>
        </w:numPr>
        <w:spacing w:after="40" w:before="40" w:line="280"/>
      </w:pPr>
      <w:r>
        <w:rPr>
          <w:rFonts w:ascii="Calibri" w:cs="Calibri" w:eastAsia="Calibri" w:hAnsi="Calibri"/>
          <w:color w:val="222222"/>
          <w:sz w:val="22"/>
          <w:szCs w:val="22"/>
        </w:rPr>
        <w:t xml:space="preserve">Procurement and governance review support</w:t>
      </w:r>
    </w:p>
    <w:p>
      <w:pPr>
        <w:pStyle w:val="Heading2"/>
        <w:spacing w:after="120" w:before="240"/>
      </w:pPr>
      <w:r>
        <w:rPr>
          <w:rFonts w:ascii="Calibri" w:cs="Calibri" w:eastAsia="Calibri" w:hAnsi="Calibri"/>
          <w:b/>
          <w:bCs/>
          <w:color w:val="4A1E66"/>
          <w:sz w:val="26"/>
          <w:szCs w:val="26"/>
        </w:rPr>
        <w:t xml:space="preserve">25.4 External Security Assessment Acknowledgment</w:t>
      </w:r>
    </w:p>
    <w:p>
      <w:pPr>
        <w:spacing w:after="60" w:before="60" w:line="300"/>
        <w:jc w:val="both"/>
      </w:pPr>
      <w:r>
        <w:rPr>
          <w:rFonts w:ascii="Calibri" w:cs="Calibri" w:eastAsia="Calibri" w:hAnsi="Calibri"/>
          <w:b w:val="false"/>
          <w:bCs w:val="false"/>
          <w:i w:val="false"/>
          <w:iCs w:val="false"/>
          <w:color w:val="222222"/>
          <w:sz w:val="22"/>
          <w:szCs w:val="22"/>
        </w:rPr>
        <w:t xml:space="preserve">THIQATECH acknowledges the client's right to conduct external posture scanning, vulnerability assessments, penetration testing, security audits, and code review assessments where applicable. The platform architecture is designed to support enterprise security review and remediation workflows.</w:t>
      </w:r>
    </w:p>
    <w:p>
      <w:pPr>
        <w:pStyle w:val="Heading2"/>
        <w:spacing w:after="120" w:before="240"/>
      </w:pPr>
      <w:r>
        <w:rPr>
          <w:rFonts w:ascii="Calibri" w:cs="Calibri" w:eastAsia="Calibri" w:hAnsi="Calibri"/>
          <w:b/>
          <w:bCs/>
          <w:color w:val="4A1E66"/>
          <w:sz w:val="26"/>
          <w:szCs w:val="26"/>
        </w:rPr>
        <w:t xml:space="preserve">25.5 DAM &amp; PAM Compatibility</w:t>
      </w:r>
    </w:p>
    <w:p>
      <w:pPr>
        <w:spacing w:after="60" w:before="60" w:line="300"/>
        <w:jc w:val="both"/>
      </w:pPr>
      <w:r>
        <w:rPr>
          <w:rFonts w:ascii="Calibri" w:cs="Calibri" w:eastAsia="Calibri" w:hAnsi="Calibri"/>
          <w:b w:val="false"/>
          <w:bCs w:val="false"/>
          <w:i w:val="false"/>
          <w:iCs w:val="false"/>
          <w:color w:val="222222"/>
          <w:sz w:val="22"/>
          <w:szCs w:val="22"/>
        </w:rPr>
        <w:t xml:space="preserve">The proposed platform supports integration compatibility with Database Activity Monitoring (DAM), Privileged Access Management (PAM), SIEM platforms, IAM systems, and enterprise audit monitoring tools. Integration approaches will be aligned with the client's enterprise security architecture.</w:t>
      </w:r>
    </w:p>
    <w:p>
      <w:pPr>
        <w:pStyle w:val="Heading2"/>
        <w:spacing w:after="120" w:before="240"/>
      </w:pPr>
      <w:r>
        <w:rPr>
          <w:rFonts w:ascii="Calibri" w:cs="Calibri" w:eastAsia="Calibri" w:hAnsi="Calibri"/>
          <w:b/>
          <w:bCs/>
          <w:color w:val="4A1E66"/>
          <w:sz w:val="26"/>
          <w:szCs w:val="26"/>
        </w:rPr>
        <w:t xml:space="preserve">25.6 BCP &amp; DRP Support</w:t>
      </w:r>
    </w:p>
    <w:p>
      <w:pPr>
        <w:spacing w:after="60" w:before="60" w:line="300"/>
        <w:jc w:val="both"/>
      </w:pPr>
      <w:r>
        <w:rPr>
          <w:rFonts w:ascii="Calibri" w:cs="Calibri" w:eastAsia="Calibri" w:hAnsi="Calibri"/>
          <w:b w:val="false"/>
          <w:bCs w:val="false"/>
          <w:i w:val="false"/>
          <w:iCs w:val="false"/>
          <w:color w:val="222222"/>
          <w:sz w:val="22"/>
          <w:szCs w:val="22"/>
        </w:rPr>
        <w:t xml:space="preserve">THIQATECH supports implementation of Business Continuity Planning (BCP), Disaster Recovery Planning (DRP), backup and restoration procedures, recovery workflows, high availability deployment, and offsite backup strategies. Detailed DR/BCP architecture, RPO, and RTO planning will be finalised during infrastructure planning and deployment phases.</w:t>
      </w:r>
    </w:p>
    <w:p>
      <w:pPr>
        <w:pStyle w:val="Heading2"/>
        <w:spacing w:after="120" w:before="240"/>
      </w:pPr>
      <w:r>
        <w:rPr>
          <w:rFonts w:ascii="Calibri" w:cs="Calibri" w:eastAsia="Calibri" w:hAnsi="Calibri"/>
          <w:b/>
          <w:bCs/>
          <w:color w:val="4A1E66"/>
          <w:sz w:val="26"/>
          <w:szCs w:val="26"/>
        </w:rPr>
        <w:t xml:space="preserve">25.7 NDA &amp; Confidentiality Commitment</w:t>
      </w:r>
    </w:p>
    <w:p>
      <w:pPr>
        <w:spacing w:after="60" w:before="60" w:line="300"/>
        <w:jc w:val="both"/>
      </w:pPr>
      <w:r>
        <w:rPr>
          <w:rFonts w:ascii="Calibri" w:cs="Calibri" w:eastAsia="Calibri" w:hAnsi="Calibri"/>
          <w:b w:val="false"/>
          <w:bCs w:val="false"/>
          <w:i w:val="false"/>
          <w:iCs w:val="false"/>
          <w:color w:val="222222"/>
          <w:sz w:val="22"/>
          <w:szCs w:val="22"/>
        </w:rPr>
        <w:t xml:space="preserve">THIQATECH confirms willingness to execute Non-Disclosure Agreements (NDA), confidentiality agreements, information security agreements, and data handling agreements in accordance with the client's procurement and security policies.</w:t>
      </w:r>
    </w:p>
    <w:p>
      <w:pPr>
        <w:pStyle w:val="Heading1"/>
        <w:pBdr>
          <w:bottom w:val="single" w:color="6B2C91" w:sz="12" w:space="6"/>
        </w:pBdr>
        <w:spacing w:after="180" w:before="360"/>
      </w:pPr>
      <w:r>
        <w:rPr>
          <w:rFonts w:ascii="Calibri" w:cs="Calibri" w:eastAsia="Calibri" w:hAnsi="Calibri"/>
          <w:b/>
          <w:bCs/>
          <w:color w:val="6B2C91"/>
          <w:sz w:val="30"/>
          <w:szCs w:val="30"/>
        </w:rPr>
        <w:t xml:space="preserve">26. Value Proposition</w:t>
      </w:r>
    </w:p>
    <w:p>
      <w:pPr>
        <w:spacing w:after="60" w:before="60" w:line="300"/>
        <w:jc w:val="both"/>
      </w:pPr>
      <w:r>
        <w:rPr>
          <w:rFonts w:ascii="Calibri" w:cs="Calibri" w:eastAsia="Calibri" w:hAnsi="Calibri"/>
          <w:b w:val="false"/>
          <w:bCs w:val="false"/>
          <w:i w:val="false"/>
          <w:iCs w:val="false"/>
          <w:color w:val="222222"/>
          <w:sz w:val="22"/>
          <w:szCs w:val="22"/>
        </w:rPr>
        <w:t xml:space="preserve">THIQATECH's proposed Digital Contract Management Platform delivers compelling value across functional, technical, security, and operational dimensions:</w:t>
      </w:r>
    </w:p>
    <w:p>
      <w:pPr>
        <w:pStyle w:val="ListParagraph"/>
        <w:numPr>
          <w:ilvl w:val="0"/>
          <w:numId w:val="2"/>
        </w:numPr>
        <w:spacing w:after="40" w:before="40" w:line="280"/>
      </w:pPr>
      <w:r>
        <w:rPr>
          <w:rFonts w:ascii="Calibri" w:cs="Calibri" w:eastAsia="Calibri" w:hAnsi="Calibri"/>
          <w:color w:val="222222"/>
          <w:sz w:val="22"/>
          <w:szCs w:val="22"/>
        </w:rPr>
        <w:t xml:space="preserve">Modern, enterprise-grade architecture aligned with cloud-native and microservices best practices</w:t>
      </w:r>
    </w:p>
    <w:p>
      <w:pPr>
        <w:pStyle w:val="ListParagraph"/>
        <w:numPr>
          <w:ilvl w:val="0"/>
          <w:numId w:val="2"/>
        </w:numPr>
        <w:spacing w:after="40" w:before="40" w:line="280"/>
      </w:pPr>
      <w:r>
        <w:rPr>
          <w:rFonts w:ascii="Calibri" w:cs="Calibri" w:eastAsia="Calibri" w:hAnsi="Calibri"/>
          <w:color w:val="222222"/>
          <w:sz w:val="22"/>
          <w:szCs w:val="22"/>
        </w:rPr>
        <w:t xml:space="preserve">AI-powered OCR processing with bilingual (English/Urdu) support and intelligent clause extraction</w:t>
      </w:r>
    </w:p>
    <w:p>
      <w:pPr>
        <w:pStyle w:val="ListParagraph"/>
        <w:numPr>
          <w:ilvl w:val="0"/>
          <w:numId w:val="2"/>
        </w:numPr>
        <w:spacing w:after="40" w:before="40" w:line="280"/>
      </w:pPr>
      <w:r>
        <w:rPr>
          <w:rFonts w:ascii="Calibri" w:cs="Calibri" w:eastAsia="Calibri" w:hAnsi="Calibri"/>
          <w:color w:val="222222"/>
          <w:sz w:val="22"/>
          <w:szCs w:val="22"/>
        </w:rPr>
        <w:t xml:space="preserve">Scalable SaaS-ready foundation supporting growth in users, document volume, and integrations</w:t>
      </w:r>
    </w:p>
    <w:p>
      <w:pPr>
        <w:pStyle w:val="ListParagraph"/>
        <w:numPr>
          <w:ilvl w:val="0"/>
          <w:numId w:val="2"/>
        </w:numPr>
        <w:spacing w:after="40" w:before="40" w:line="280"/>
      </w:pPr>
      <w:r>
        <w:rPr>
          <w:rFonts w:ascii="Calibri" w:cs="Calibri" w:eastAsia="Calibri" w:hAnsi="Calibri"/>
          <w:color w:val="222222"/>
          <w:sz w:val="22"/>
          <w:szCs w:val="22"/>
        </w:rPr>
        <w:t xml:space="preserve">Strong security and compliance posture aligned with OWASP, ISO 27001, PCI DSS, and SOC 2 standards</w:t>
      </w:r>
    </w:p>
    <w:p>
      <w:pPr>
        <w:pStyle w:val="ListParagraph"/>
        <w:numPr>
          <w:ilvl w:val="0"/>
          <w:numId w:val="2"/>
        </w:numPr>
        <w:spacing w:after="40" w:before="40" w:line="280"/>
      </w:pPr>
      <w:r>
        <w:rPr>
          <w:rFonts w:ascii="Calibri" w:cs="Calibri" w:eastAsia="Calibri" w:hAnsi="Calibri"/>
          <w:color w:val="222222"/>
          <w:sz w:val="22"/>
          <w:szCs w:val="22"/>
        </w:rPr>
        <w:t xml:space="preserve">Modern, accessible user experience driving high adoption rates</w:t>
      </w:r>
    </w:p>
    <w:p>
      <w:pPr>
        <w:pStyle w:val="ListParagraph"/>
        <w:numPr>
          <w:ilvl w:val="0"/>
          <w:numId w:val="2"/>
        </w:numPr>
        <w:spacing w:after="40" w:before="40" w:line="280"/>
      </w:pPr>
      <w:r>
        <w:rPr>
          <w:rFonts w:ascii="Calibri" w:cs="Calibri" w:eastAsia="Calibri" w:hAnsi="Calibri"/>
          <w:color w:val="222222"/>
          <w:sz w:val="22"/>
          <w:szCs w:val="22"/>
        </w:rPr>
        <w:t xml:space="preserve">End-to-end workflow automation reducing manual effort and operational overhead</w:t>
      </w:r>
    </w:p>
    <w:p>
      <w:pPr>
        <w:pStyle w:val="ListParagraph"/>
        <w:numPr>
          <w:ilvl w:val="0"/>
          <w:numId w:val="2"/>
        </w:numPr>
        <w:spacing w:after="40" w:before="40" w:line="280"/>
      </w:pPr>
      <w:r>
        <w:rPr>
          <w:rFonts w:ascii="Calibri" w:cs="Calibri" w:eastAsia="Calibri" w:hAnsi="Calibri"/>
          <w:color w:val="222222"/>
          <w:sz w:val="22"/>
          <w:szCs w:val="22"/>
        </w:rPr>
        <w:t xml:space="preserve">Faster contract turnaround through parallel reviews, automated approvals, and AI-assisted drafting</w:t>
      </w:r>
    </w:p>
    <w:p>
      <w:pPr>
        <w:pStyle w:val="ListParagraph"/>
        <w:numPr>
          <w:ilvl w:val="0"/>
          <w:numId w:val="2"/>
        </w:numPr>
        <w:spacing w:after="40" w:before="40" w:line="280"/>
      </w:pPr>
      <w:r>
        <w:rPr>
          <w:rFonts w:ascii="Calibri" w:cs="Calibri" w:eastAsia="Calibri" w:hAnsi="Calibri"/>
          <w:color w:val="222222"/>
          <w:sz w:val="22"/>
          <w:szCs w:val="22"/>
        </w:rPr>
        <w:t xml:space="preserve">Centralised governance with full audit trails and compliance reporting</w:t>
      </w:r>
    </w:p>
    <w:p>
      <w:pPr>
        <w:pStyle w:val="ListParagraph"/>
        <w:numPr>
          <w:ilvl w:val="0"/>
          <w:numId w:val="2"/>
        </w:numPr>
        <w:spacing w:after="40" w:before="40" w:line="280"/>
      </w:pPr>
      <w:r>
        <w:rPr>
          <w:rFonts w:ascii="Calibri" w:cs="Calibri" w:eastAsia="Calibri" w:hAnsi="Calibri"/>
          <w:color w:val="222222"/>
          <w:sz w:val="22"/>
          <w:szCs w:val="22"/>
        </w:rPr>
        <w:t xml:space="preserve">Improved auditability and regulatory readiness</w:t>
      </w:r>
    </w:p>
    <w:p>
      <w:pPr>
        <w:pStyle w:val="ListParagraph"/>
        <w:numPr>
          <w:ilvl w:val="0"/>
          <w:numId w:val="2"/>
        </w:numPr>
        <w:spacing w:after="40" w:before="40" w:line="280"/>
      </w:pPr>
      <w:r>
        <w:rPr>
          <w:rFonts w:ascii="Calibri" w:cs="Calibri" w:eastAsia="Calibri" w:hAnsi="Calibri"/>
          <w:color w:val="222222"/>
          <w:sz w:val="22"/>
          <w:szCs w:val="22"/>
        </w:rPr>
        <w:t xml:space="preserve">Flexible database support (PostgreSQL, MSSQL, Oracle) aligning with client infrastructure preferences</w:t>
      </w:r>
    </w:p>
    <w:p>
      <w:pPr>
        <w:pStyle w:val="ListParagraph"/>
        <w:numPr>
          <w:ilvl w:val="0"/>
          <w:numId w:val="2"/>
        </w:numPr>
        <w:spacing w:after="40" w:before="40" w:line="280"/>
      </w:pPr>
      <w:r>
        <w:rPr>
          <w:rFonts w:ascii="Calibri" w:cs="Calibri" w:eastAsia="Calibri" w:hAnsi="Calibri"/>
          <w:color w:val="222222"/>
          <w:sz w:val="22"/>
          <w:szCs w:val="22"/>
        </w:rPr>
        <w:t xml:space="preserve">Comprehensive integration capabilities with enterprise systems (Teams, SharePoint, Outlook, IAM, NIFT)</w:t>
      </w:r>
    </w:p>
    <w:p>
      <w:pPr>
        <w:pStyle w:val="ListParagraph"/>
        <w:numPr>
          <w:ilvl w:val="0"/>
          <w:numId w:val="2"/>
        </w:numPr>
        <w:spacing w:after="40" w:before="40" w:line="280"/>
      </w:pPr>
      <w:r>
        <w:rPr>
          <w:rFonts w:ascii="Calibri" w:cs="Calibri" w:eastAsia="Calibri" w:hAnsi="Calibri"/>
          <w:color w:val="222222"/>
          <w:sz w:val="22"/>
          <w:szCs w:val="22"/>
        </w:rPr>
        <w:t xml:space="preserve">24/7 support with three-tier structure (L1/L2/L3) and managed services across UAT and Production</w:t>
      </w:r>
    </w:p>
    <w:p>
      <w:pPr>
        <w:pStyle w:val="ListParagraph"/>
        <w:numPr>
          <w:ilvl w:val="0"/>
          <w:numId w:val="2"/>
        </w:numPr>
        <w:spacing w:after="40" w:before="40" w:line="280"/>
      </w:pPr>
      <w:r>
        <w:rPr>
          <w:rFonts w:ascii="Calibri" w:cs="Calibri" w:eastAsia="Calibri" w:hAnsi="Calibri"/>
          <w:color w:val="222222"/>
          <w:sz w:val="22"/>
          <w:szCs w:val="22"/>
        </w:rPr>
        <w:t xml:space="preserve">Transparent licensing model with clear separation of proprietary and open-source components</w:t>
      </w:r>
    </w:p>
    <w:p>
      <w:pPr>
        <w:pStyle w:val="ListParagraph"/>
        <w:numPr>
          <w:ilvl w:val="0"/>
          <w:numId w:val="2"/>
        </w:numPr>
        <w:spacing w:after="40" w:before="40" w:line="280"/>
      </w:pPr>
      <w:r>
        <w:rPr>
          <w:rFonts w:ascii="Calibri" w:cs="Calibri" w:eastAsia="Calibri" w:hAnsi="Calibri"/>
          <w:color w:val="222222"/>
          <w:sz w:val="22"/>
          <w:szCs w:val="22"/>
        </w:rPr>
        <w:t xml:space="preserve">Phased delivery approach reducing implementation risk and ensuring business continuity</w:t>
      </w:r>
    </w:p>
    <w:p>
      <w:pPr>
        <w:pStyle w:val="Heading1"/>
        <w:pBdr>
          <w:bottom w:val="single" w:color="6B2C91" w:sz="12" w:space="6"/>
        </w:pBdr>
        <w:spacing w:after="180" w:before="360"/>
      </w:pPr>
      <w:r>
        <w:rPr>
          <w:rFonts w:ascii="Calibri" w:cs="Calibri" w:eastAsia="Calibri" w:hAnsi="Calibri"/>
          <w:b/>
          <w:bCs/>
          <w:color w:val="6B2C91"/>
          <w:sz w:val="30"/>
          <w:szCs w:val="30"/>
        </w:rPr>
        <w:t xml:space="preserve">27. Conclusion</w:t>
      </w:r>
    </w:p>
    <w:p>
      <w:pPr>
        <w:spacing w:after="60" w:before="60" w:line="300"/>
        <w:jc w:val="both"/>
      </w:pPr>
      <w:r>
        <w:rPr>
          <w:rFonts w:ascii="Calibri" w:cs="Calibri" w:eastAsia="Calibri" w:hAnsi="Calibri"/>
          <w:b w:val="false"/>
          <w:bCs w:val="false"/>
          <w:i w:val="false"/>
          <w:iCs w:val="false"/>
          <w:color w:val="222222"/>
          <w:sz w:val="22"/>
          <w:szCs w:val="22"/>
        </w:rPr>
        <w:t xml:space="preserve">THIQATECH appreciates the opportunity to respond to this Request for Information for the Contract Digitization Project. We believe our proposed Digital Contract Management Platform aligns strongly with the project objectives and technical requirements outlined in the RFI.</w:t>
      </w:r>
    </w:p>
    <w:p>
      <w:pPr>
        <w:spacing w:after="60" w:before="60" w:line="300"/>
        <w:jc w:val="both"/>
      </w:pPr>
      <w:r>
        <w:rPr>
          <w:rFonts w:ascii="Calibri" w:cs="Calibri" w:eastAsia="Calibri" w:hAnsi="Calibri"/>
          <w:b w:val="false"/>
          <w:bCs w:val="false"/>
          <w:i w:val="false"/>
          <w:iCs w:val="false"/>
          <w:color w:val="222222"/>
          <w:sz w:val="22"/>
          <w:szCs w:val="22"/>
        </w:rPr>
        <w:t xml:space="preserve">Our response covers every section of the RFI in full, including:</w:t>
      </w:r>
    </w:p>
    <w:p>
      <w:pPr>
        <w:pStyle w:val="ListParagraph"/>
        <w:numPr>
          <w:ilvl w:val="0"/>
          <w:numId w:val="2"/>
        </w:numPr>
        <w:spacing w:after="40" w:before="40" w:line="280"/>
      </w:pPr>
      <w:r>
        <w:rPr>
          <w:rFonts w:ascii="Calibri" w:cs="Calibri" w:eastAsia="Calibri" w:hAnsi="Calibri"/>
          <w:color w:val="222222"/>
          <w:sz w:val="22"/>
          <w:szCs w:val="22"/>
        </w:rPr>
        <w:t xml:space="preserve">Complete coverage of the Scope of Work (RFI Section 3a)</w:t>
      </w:r>
    </w:p>
    <w:p>
      <w:pPr>
        <w:pStyle w:val="ListParagraph"/>
        <w:numPr>
          <w:ilvl w:val="0"/>
          <w:numId w:val="2"/>
        </w:numPr>
        <w:spacing w:after="40" w:before="40" w:line="280"/>
      </w:pPr>
      <w:r>
        <w:rPr>
          <w:rFonts w:ascii="Calibri" w:cs="Calibri" w:eastAsia="Calibri" w:hAnsi="Calibri"/>
          <w:color w:val="222222"/>
          <w:sz w:val="22"/>
          <w:szCs w:val="22"/>
        </w:rPr>
        <w:t xml:space="preserve">Detailed Data Model, Adoption Enhancements, and KPI alignment (RFI Section 3b)</w:t>
      </w:r>
    </w:p>
    <w:p>
      <w:pPr>
        <w:pStyle w:val="ListParagraph"/>
        <w:numPr>
          <w:ilvl w:val="0"/>
          <w:numId w:val="2"/>
        </w:numPr>
        <w:spacing w:after="40" w:before="40" w:line="280"/>
      </w:pPr>
      <w:r>
        <w:rPr>
          <w:rFonts w:ascii="Calibri" w:cs="Calibri" w:eastAsia="Calibri" w:hAnsi="Calibri"/>
          <w:color w:val="222222"/>
          <w:sz w:val="22"/>
          <w:szCs w:val="22"/>
        </w:rPr>
        <w:t xml:space="preserve">Comprehensive Technical Architecture, Integration, Security, Infrastructure, Deployment, Support, and Project Plan responses (RFI Section 3c)</w:t>
      </w:r>
    </w:p>
    <w:p>
      <w:pPr>
        <w:pStyle w:val="ListParagraph"/>
        <w:numPr>
          <w:ilvl w:val="0"/>
          <w:numId w:val="2"/>
        </w:numPr>
        <w:spacing w:after="40" w:before="40" w:line="280"/>
      </w:pPr>
      <w:r>
        <w:rPr>
          <w:rFonts w:ascii="Calibri" w:cs="Calibri" w:eastAsia="Calibri" w:hAnsi="Calibri"/>
          <w:color w:val="222222"/>
          <w:sz w:val="22"/>
          <w:szCs w:val="22"/>
        </w:rPr>
        <w:t xml:space="preserve">Full Information Security Requirements Matrix with Yes/No/NA responses (RFI Section 3d)</w:t>
      </w:r>
    </w:p>
    <w:p>
      <w:pPr>
        <w:pStyle w:val="ListParagraph"/>
        <w:numPr>
          <w:ilvl w:val="0"/>
          <w:numId w:val="2"/>
        </w:numPr>
        <w:spacing w:after="40" w:before="40" w:line="280"/>
      </w:pPr>
      <w:r>
        <w:rPr>
          <w:rFonts w:ascii="Calibri" w:cs="Calibri" w:eastAsia="Calibri" w:hAnsi="Calibri"/>
          <w:color w:val="222222"/>
          <w:sz w:val="22"/>
          <w:szCs w:val="22"/>
        </w:rPr>
        <w:t xml:space="preserve">Software Licensing Details for the complete technology stack</w:t>
      </w:r>
    </w:p>
    <w:p>
      <w:pPr>
        <w:pStyle w:val="ListParagraph"/>
        <w:numPr>
          <w:ilvl w:val="0"/>
          <w:numId w:val="2"/>
        </w:numPr>
        <w:spacing w:after="40" w:before="40" w:line="280"/>
      </w:pPr>
      <w:r>
        <w:rPr>
          <w:rFonts w:ascii="Calibri" w:cs="Calibri" w:eastAsia="Calibri" w:hAnsi="Calibri"/>
          <w:color w:val="222222"/>
          <w:sz w:val="22"/>
          <w:szCs w:val="22"/>
        </w:rPr>
        <w:t xml:space="preserve">Indicative Project Plan with phasing, timelines, and resource allocation</w:t>
      </w:r>
    </w:p>
    <w:p>
      <w:pPr>
        <w:spacing w:after="60" w:before="60" w:line="300"/>
        <w:jc w:val="both"/>
      </w:pPr>
      <w:r>
        <w:rPr>
          <w:rFonts w:ascii="Calibri" w:cs="Calibri" w:eastAsia="Calibri" w:hAnsi="Calibri"/>
          <w:b w:val="false"/>
          <w:bCs w:val="false"/>
          <w:i w:val="false"/>
          <w:iCs w:val="false"/>
          <w:color w:val="222222"/>
          <w:sz w:val="22"/>
          <w:szCs w:val="22"/>
        </w:rPr>
        <w:t xml:space="preserve">Our team is confident in delivering a scalable, secure, modern, and enterprise-grade solution that supports the organisation's digital transformation goals. We look forward to further discussions and the opportunity to participate in the next stages of the procurement process.</w:t>
      </w:r>
    </w:p>
    <w:p>
      <w:pPr>
        <w:pStyle w:val="Heading1"/>
        <w:pBdr>
          <w:bottom w:val="single" w:color="6B2C91" w:sz="12" w:space="6"/>
        </w:pBdr>
        <w:spacing w:after="180" w:before="360"/>
      </w:pPr>
      <w:r>
        <w:rPr>
          <w:rFonts w:ascii="Calibri" w:cs="Calibri" w:eastAsia="Calibri" w:hAnsi="Calibri"/>
          <w:b/>
          <w:bCs/>
          <w:color w:val="6B2C91"/>
          <w:sz w:val="30"/>
          <w:szCs w:val="30"/>
        </w:rPr>
        <w:t xml:space="preserve">28.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Channel</w:t>
            </w:r>
          </w:p>
        </w:tc>
        <w:tc>
          <w:tcPr>
            <w:tcW w:type="dxa" w:w="6360"/>
            <w:tcBorders>
              <w:top w:val="single" w:color="BFBFBF" w:sz="4"/>
              <w:left w:val="single" w:color="BFBFBF" w:sz="4"/>
              <w:bottom w:val="single" w:color="BFBFBF" w:sz="4"/>
              <w:right w:val="single" w:color="BFBFBF" w:sz="4"/>
            </w:tcBorders>
            <w:shd w:fill="6B2C91" w:val="clear"/>
            <w:tcMar>
              <w:top w:type="dxa" w:w="100"/>
              <w:left w:type="dxa" w:w="140"/>
              <w:bottom w:type="dxa" w:w="100"/>
              <w:right w:type="dxa" w:w="140"/>
            </w:tcMar>
            <w:vAlign w:val="center"/>
          </w:tcPr>
          <w:p>
            <w:pPr>
              <w:spacing w:after="20" w:before="20" w:line="260"/>
              <w:jc w:val="center"/>
            </w:pPr>
            <w:r>
              <w:rPr>
                <w:rFonts w:ascii="Calibri" w:cs="Calibri" w:eastAsia="Calibri" w:hAnsi="Calibri"/>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Company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THIQATECH</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Website</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https://thiqatech.com/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Email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info@thiqatech.com</w:t>
            </w:r>
          </w:p>
        </w:tc>
      </w:tr>
      <w:tr>
        <w:tc>
          <w:tcPr>
            <w:tcW w:type="dxa" w:w="300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Primary Contact</w:t>
            </w:r>
          </w:p>
        </w:tc>
        <w:tc>
          <w:tcPr>
            <w:tcW w:type="dxa" w:w="6360"/>
            <w:tcBorders>
              <w:top w:val="single" w:color="BFBFBF" w:sz="4"/>
              <w:left w:val="single" w:color="BFBFBF" w:sz="4"/>
              <w:bottom w:val="single" w:color="BFBFBF" w:sz="4"/>
              <w:right w:val="single" w:color="BFBFBF" w:sz="4"/>
            </w:tcBorders>
            <w:shd w:fill="F5F0F8" w:val="clear"/>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To be confirmed at RFP stage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bCs/>
                <w:color w:val="222222"/>
                <w:sz w:val="19"/>
                <w:szCs w:val="19"/>
              </w:rPr>
              <w:t xml:space="preserve">Response 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line="260"/>
              <w:jc w:val="left"/>
            </w:pPr>
            <w:r>
              <w:rPr>
                <w:rFonts w:ascii="Calibri" w:cs="Calibri" w:eastAsia="Calibri" w:hAnsi="Calibri"/>
                <w:b w:val="false"/>
                <w:bCs w:val="false"/>
                <w:color w:val="222222"/>
                <w:sz w:val="19"/>
                <w:szCs w:val="19"/>
              </w:rPr>
              <w:t xml:space="preserve">16 May 2026</w:t>
            </w:r>
          </w:p>
        </w:tc>
      </w:tr>
    </w:tbl>
    <w:p>
      <w:pPr>
        <w:spacing w:after="200" w:before="200"/>
      </w:pPr>
      <w:r>
        <w:t xml:space="preserve"/>
      </w:r>
    </w:p>
    <w:p>
      <w:pPr>
        <w:spacing w:before="400"/>
        <w:jc w:val="center"/>
      </w:pPr>
      <w:r>
        <w:rPr>
          <w:rFonts w:ascii="Calibri" w:cs="Calibri" w:eastAsia="Calibri" w:hAnsi="Calibri"/>
          <w:i/>
          <w:iCs/>
          <w:color w:val="555555"/>
          <w:sz w:val="22"/>
          <w:szCs w:val="22"/>
        </w:rPr>
        <w:t xml:space="preserve">— End of RFI Response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2C91" w:sz="6" w:space="4"/>
      </w:pBdr>
      <w:tabs>
        <w:tab w:val="right" w:pos="10080"/>
      </w:tabs>
    </w:pPr>
    <w:r>
      <w:rPr>
        <w:rFonts w:ascii="Calibri" w:cs="Calibri" w:eastAsia="Calibri" w:hAnsi="Calibri"/>
        <w:color w:val="555555"/>
        <w:sz w:val="18"/>
        <w:szCs w:val="18"/>
      </w:rPr>
      <w:t xml:space="preserve">Confidential — THIQATECH</w:t>
    </w:r>
    <w:r>
      <w:rPr>
        <w:rFonts w:ascii="Calibri" w:cs="Calibri" w:eastAsia="Calibri" w:hAnsi="Calibri"/>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C91" w:sz="6" w:space="4"/>
      </w:pBdr>
      <w:tabs>
        <w:tab w:val="right" w:pos="10080"/>
      </w:tabs>
    </w:pPr>
    <w:r>
      <w:rPr>
        <w:rFonts w:ascii="Calibri" w:cs="Calibri" w:eastAsia="Calibri" w:hAnsi="Calibri"/>
        <w:b/>
        <w:bCs/>
        <w:color w:val="6B2C91"/>
        <w:sz w:val="20"/>
        <w:szCs w:val="20"/>
      </w:rPr>
      <w:t xml:space="preserve">THIQATECH</w:t>
    </w:r>
    <w:r>
      <w:rPr>
        <w:rFonts w:ascii="Calibri" w:cs="Calibri" w:eastAsia="Calibri" w:hAnsi="Calibri"/>
        <w:color w:val="555555"/>
        <w:sz w:val="18"/>
        <w:szCs w:val="18"/>
      </w:rPr>
      <w:t xml:space="preserve">	RFI Response — Contract Digitization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6B2C91"/>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4A1E6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 Response - Contract Digitization Project</dc:title>
  <dc:creator>THIQATECH</dc:creator>
  <dc:description>THIQATECH Response to Request for Information for Contract Digitization Project</dc:description>
  <cp:lastModifiedBy>Un-named</cp:lastModifiedBy>
  <cp:revision>1</cp:revision>
  <dcterms:created xsi:type="dcterms:W3CDTF">2026-05-16T13:57:10.623Z</dcterms:created>
  <dcterms:modified xsi:type="dcterms:W3CDTF">2026-05-16T13:57:10.625Z</dcterms:modified>
</cp:coreProperties>
</file>

<file path=docProps/custom.xml><?xml version="1.0" encoding="utf-8"?>
<Properties xmlns="http://schemas.openxmlformats.org/officeDocument/2006/custom-properties" xmlns:vt="http://schemas.openxmlformats.org/officeDocument/2006/docPropsVTypes"/>
</file>