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RFP §4D RESPONSE SHEET · MOBILINK MICROFINANCE BANK · CONTRACT LIFECYCLE MANAGEMENT</w:t>
      </w:r>
    </w:p>
    <w:p>
      <w:pPr>
        <w:spacing w:after="200"/>
      </w:pPr>
      <w:r>
        <w:rPr>
          <w:b/>
          <w:color w:val="151D19"/>
          <w:sz w:val="52"/>
        </w:rPr>
        <w:t>Information Security Response Sheet</w:t>
      </w:r>
    </w:p>
    <w:p>
      <w:pPr>
        <w:spacing w:after="320"/>
      </w:pPr>
      <w:r>
        <w:rPr>
          <w:i w:val="0"/>
          <w:color w:val="4A564F"/>
          <w:sz w:val="24"/>
        </w:rPr>
        <w:t>RFP §4d — Instructions, Category and guidelines from the Information Security Department</w:t>
      </w:r>
    </w:p>
    <w:p>
      <w:pPr>
        <w:spacing w:after="280"/>
      </w:pPr>
      <w:r>
        <w:rPr>
          <w:b w:val="0"/>
        </w:rPr>
        <w:t xml:space="preserve">The §4d vendor response, on its own. Every requirement is reproduced </w:t>
      </w:r>
      <w:r>
        <w:rPr>
          <w:b/>
        </w:rPr>
        <w:t>verbatim</w:t>
      </w:r>
      <w:r>
        <w:rPr>
          <w:b w:val="0"/>
        </w:rPr>
        <w:t>, in the order and grouping the RFP prints them, with the vendor response against each — so the sheet can be read and marked directly against the bank's own table.</w:t>
      </w:r>
    </w:p>
    <w:p>
      <w:r>
        <w:rPr>
          <w:b w:val="0"/>
        </w:rPr>
        <w:t xml:space="preserve">RFP §4d is scored as a </w:t>
      </w:r>
      <w:r>
        <w:rPr>
          <w:b/>
        </w:rPr>
        <w:t>vendor response sheet</w:t>
      </w:r>
      <w:r>
        <w:rPr>
          <w:b w:val="0"/>
        </w:rPr>
        <w:t>: Category, Requirement, Evaluation Parameter, and a Yes / No / NA read straight off the page. This document answers it in exactly that shape.</w:t>
      </w:r>
    </w:p>
    <w:p>
      <w:r>
        <w:rPr>
          <w:b w:val="0"/>
        </w:rPr>
        <w:t xml:space="preserve">Every §4d requirement is reproduced </w:t>
      </w:r>
      <w:r>
        <w:rPr>
          <w:b/>
        </w:rPr>
        <w:t>verbatim</w:t>
      </w:r>
      <w:r>
        <w:rPr>
          <w:b w:val="0"/>
        </w:rPr>
        <w:t>, in the order and grouping the RFP prints them, so the sheet can be read directly against the bank's own table.</w:t>
      </w:r>
    </w:p>
    <w:p>
      <w:r>
        <w:rPr>
          <w:b w:val="0"/>
        </w:rPr>
        <w:t>This is the response sheet on its own. The supporting detail behind each answer — the SBP framework mappings, the severity taxonomy, the incident targets and the portal control set — is in the Information Security Response annexure.</w:t>
      </w:r>
    </w:p>
    <w:p>
      <w:r>
        <w:rPr>
          <w:b w:val="0"/>
        </w:rPr>
        <w:t>Requirement wording below is reproduced verbatim from the RFP. The category is shown once per group, as it is printed.</w:t>
      </w:r>
    </w:p>
    <w:tbl>
      <w:tblPr>
        <w:tblStyle w:val="LightGrid-Accent1"/>
        <w:tblW w:type="auto" w:w="0"/>
        <w:jc w:val="left"/>
        <w:tblLook w:firstColumn="1" w:firstRow="1" w:lastColumn="0" w:lastRow="0" w:noHBand="0" w:noVBand="1" w:val="04A0"/>
      </w:tblPr>
      <w:tblGrid>
        <w:gridCol w:w="3276"/>
        <w:gridCol w:w="3276"/>
        <w:gridCol w:w="3276"/>
        <w:gridCol w:w="3276"/>
      </w:tblGrid>
      <w:tr>
        <w:tc>
          <w:tcPr>
            <w:tcW w:type="dxa" w:w="1656"/>
          </w:tcPr>
          <w:p>
            <w:r/>
            <w:r>
              <w:rPr>
                <w:b/>
                <w:sz w:val="17"/>
              </w:rPr>
              <w:t>Category</w:t>
            </w:r>
          </w:p>
        </w:tc>
        <w:tc>
          <w:tcPr>
            <w:tcW w:type="dxa" w:w="4392"/>
          </w:tcPr>
          <w:p>
            <w:r/>
            <w:r>
              <w:rPr>
                <w:b/>
                <w:sz w:val="17"/>
              </w:rPr>
              <w:t>Requirement</w:t>
            </w:r>
          </w:p>
        </w:tc>
        <w:tc>
          <w:tcPr>
            <w:tcW w:type="dxa" w:w="2088"/>
          </w:tcPr>
          <w:p>
            <w:r/>
            <w:r>
              <w:rPr>
                <w:b/>
                <w:sz w:val="17"/>
              </w:rPr>
              <w:t>Evaluation Parameter</w:t>
            </w:r>
          </w:p>
        </w:tc>
        <w:tc>
          <w:tcPr>
            <w:tcW w:type="dxa" w:w="5976"/>
          </w:tcPr>
          <w:p>
            <w:r/>
            <w:r>
              <w:rPr>
                <w:b/>
                <w:sz w:val="17"/>
              </w:rPr>
              <w:t>Vendor Response (Yes/No/NA)</w:t>
            </w:r>
          </w:p>
        </w:tc>
      </w:tr>
      <w:tr>
        <w:tc>
          <w:tcPr>
            <w:tcW w:type="dxa" w:w="1656"/>
          </w:tcPr>
          <w:p>
            <w:r/>
            <w:r>
              <w:rPr>
                <w:sz w:val="17"/>
              </w:rPr>
              <w:t>Compliance and Regulatory Requirements</w:t>
            </w:r>
          </w:p>
        </w:tc>
        <w:tc>
          <w:tcPr>
            <w:tcW w:type="dxa" w:w="4392"/>
          </w:tcPr>
          <w:p>
            <w:r/>
            <w:r>
              <w:rPr>
                <w:sz w:val="17"/>
              </w:rPr>
              <w:t>Confirm alignment with the State Bank of Pakistan (SBP) guidelines, including the Enterprise Technology Governance and Risk Management Framework and the Outsourcing Risk Management Framework.</w:t>
            </w:r>
          </w:p>
        </w:tc>
        <w:tc>
          <w:tcPr>
            <w:tcW w:type="dxa" w:w="2088"/>
          </w:tcPr>
          <w:p>
            <w:r/>
            <w:r>
              <w:rPr>
                <w:sz w:val="17"/>
              </w:rPr>
              <w:t>Statement of compliance</w:t>
            </w:r>
          </w:p>
        </w:tc>
        <w:tc>
          <w:tcPr>
            <w:tcW w:type="dxa" w:w="5976"/>
          </w:tcPr>
          <w:p>
            <w:r/>
            <w:r>
              <w:rPr>
                <w:sz w:val="17"/>
              </w:rPr>
              <w:t>Yes — control-by-control mapping against both frameworks supplied with this submission, and re-walked with MMBL's compliance function in the first two weeks of the engagement.</w:t>
            </w:r>
          </w:p>
        </w:tc>
      </w:tr>
      <w:tr>
        <w:tc>
          <w:tcPr>
            <w:tcW w:type="dxa" w:w="1656"/>
          </w:tcPr>
          <w:p>
            <w:r/>
            <w:r>
              <w:rPr>
                <w:sz w:val="17"/>
              </w:rPr>
            </w:r>
          </w:p>
        </w:tc>
        <w:tc>
          <w:tcPr>
            <w:tcW w:type="dxa" w:w="4392"/>
          </w:tcPr>
          <w:p>
            <w:r/>
            <w:r>
              <w:rPr>
                <w:sz w:val="17"/>
              </w:rPr>
              <w:t>Provide third-party vulnerability assessment reports for the product, if applicable and available.</w:t>
            </w:r>
          </w:p>
        </w:tc>
        <w:tc>
          <w:tcPr>
            <w:tcW w:type="dxa" w:w="2088"/>
          </w:tcPr>
          <w:p>
            <w:r/>
            <w:r>
              <w:rPr>
                <w:sz w:val="17"/>
              </w:rPr>
              <w:t>Submission of vulnerability assessment reports</w:t>
            </w:r>
          </w:p>
        </w:tc>
        <w:tc>
          <w:tcPr>
            <w:tcW w:type="dxa" w:w="5976"/>
          </w:tcPr>
          <w:p>
            <w:r/>
            <w:r>
              <w:rPr>
                <w:sz w:val="17"/>
              </w:rPr>
              <w:t>Yes — an independent assessment is commissioned at M5 by a vendor MMBL appoints, with the report supplied before go-live. Output from continuous automated assurance (static analysis, dynamic scanning, dependency audit, container and secret scanning) is available on request from award.</w:t>
            </w:r>
          </w:p>
        </w:tc>
      </w:tr>
      <w:tr>
        <w:tc>
          <w:tcPr>
            <w:tcW w:type="dxa" w:w="1656"/>
          </w:tcPr>
          <w:p>
            <w:r/>
            <w:r>
              <w:rPr>
                <w:sz w:val="17"/>
              </w:rPr>
            </w:r>
          </w:p>
        </w:tc>
        <w:tc>
          <w:tcPr>
            <w:tcW w:type="dxa" w:w="4392"/>
          </w:tcPr>
          <w:p>
            <w:r/>
            <w:r>
              <w:rPr>
                <w:sz w:val="17"/>
              </w:rPr>
              <w:t>Submit evidence of compliance with relevant security certifications such as ISO 27001, PCI DSS, SOC 2 Type II, etc.</w:t>
            </w:r>
          </w:p>
        </w:tc>
        <w:tc>
          <w:tcPr>
            <w:tcW w:type="dxa" w:w="2088"/>
          </w:tcPr>
          <w:p>
            <w:r/>
            <w:r>
              <w:rPr>
                <w:sz w:val="17"/>
              </w:rPr>
              <w:t>Certification documentation</w:t>
            </w:r>
          </w:p>
        </w:tc>
        <w:tc>
          <w:tcPr>
            <w:tcW w:type="dxa" w:w="5976"/>
          </w:tcPr>
          <w:p>
            <w:r/>
            <w:r>
              <w:rPr>
                <w:sz w:val="17"/>
              </w:rPr>
              <w:t>To be completed by the bidding entity. Certifications are held by an organisation, not by a product. Control-level evidence mapped to ISO 27001:2022 Annex A and the SOC 2 Trust Services Criteria is supplied regardless, so the solution can be absorbed into MMBL's certified control environment without a gap.</w:t>
            </w:r>
          </w:p>
        </w:tc>
      </w:tr>
      <w:tr>
        <w:tc>
          <w:tcPr>
            <w:tcW w:type="dxa" w:w="1656"/>
          </w:tcPr>
          <w:p>
            <w:r/>
            <w:r>
              <w:rPr>
                <w:sz w:val="17"/>
              </w:rPr>
            </w:r>
          </w:p>
        </w:tc>
        <w:tc>
          <w:tcPr>
            <w:tcW w:type="dxa" w:w="4392"/>
          </w:tcPr>
          <w:p>
            <w:r/>
            <w:r>
              <w:rPr>
                <w:sz w:val="17"/>
              </w:rPr>
              <w:t>Confirm the ability to support SBP-related inquiries and provide compliance reports throughout the project lifecycle.</w:t>
            </w:r>
          </w:p>
        </w:tc>
        <w:tc>
          <w:tcPr>
            <w:tcW w:type="dxa" w:w="2088"/>
          </w:tcPr>
          <w:p>
            <w:r/>
            <w:r>
              <w:rPr>
                <w:sz w:val="17"/>
              </w:rPr>
              <w:t>Confirmation of regulatory support</w:t>
            </w:r>
          </w:p>
        </w:tc>
        <w:tc>
          <w:tcPr>
            <w:tcW w:type="dxa" w:w="5976"/>
          </w:tcPr>
          <w:p>
            <w:r/>
            <w:r>
              <w:rPr>
                <w:sz w:val="17"/>
              </w:rPr>
              <w:t>Yes — tamper-evident audit trail with an independent verification tool delivered to MMBL, the control evidence pack, and reporting commitments in the Service Level Agreement.</w:t>
            </w:r>
          </w:p>
        </w:tc>
      </w:tr>
      <w:tr>
        <w:tc>
          <w:tcPr>
            <w:tcW w:type="dxa" w:w="1656"/>
          </w:tcPr>
          <w:p>
            <w:r/>
            <w:r>
              <w:rPr>
                <w:sz w:val="17"/>
              </w:rPr>
            </w:r>
          </w:p>
        </w:tc>
        <w:tc>
          <w:tcPr>
            <w:tcW w:type="dxa" w:w="4392"/>
          </w:tcPr>
          <w:p>
            <w:r/>
            <w:r>
              <w:rPr>
                <w:sz w:val="17"/>
              </w:rPr>
              <w:t>Provide a comprehensive list of subcontractors involved in the solution delivery, confirming their adherence to SBP and organizational security standards.</w:t>
            </w:r>
          </w:p>
        </w:tc>
        <w:tc>
          <w:tcPr>
            <w:tcW w:type="dxa" w:w="2088"/>
          </w:tcPr>
          <w:p>
            <w:r/>
            <w:r>
              <w:rPr>
                <w:sz w:val="17"/>
              </w:rPr>
              <w:t>Subcontractor compliance report</w:t>
            </w:r>
          </w:p>
        </w:tc>
        <w:tc>
          <w:tcPr>
            <w:tcW w:type="dxa" w:w="5976"/>
          </w:tcPr>
          <w:p>
            <w:r/>
            <w:r>
              <w:rPr>
                <w:sz w:val="17"/>
              </w:rPr>
              <w:t>To be completed by the bidding entity. The software supply chain is answered in full: a signed bill of materials accompanies every release and every third-party component is inventoried with its licence.</w:t>
            </w:r>
          </w:p>
        </w:tc>
      </w:tr>
      <w:tr>
        <w:tc>
          <w:tcPr>
            <w:tcW w:type="dxa" w:w="1656"/>
          </w:tcPr>
          <w:p>
            <w:r/>
            <w:r>
              <w:rPr>
                <w:sz w:val="17"/>
              </w:rPr>
              <w:t>System and Network Security Requirements</w:t>
            </w:r>
          </w:p>
        </w:tc>
        <w:tc>
          <w:tcPr>
            <w:tcW w:type="dxa" w:w="4392"/>
          </w:tcPr>
          <w:p>
            <w:r/>
            <w:r>
              <w:rPr>
                <w:sz w:val="17"/>
              </w:rPr>
              <w:t>Guarantee the timely provision of security patches and updates throughout the lifecycle of the proposed solution.</w:t>
            </w:r>
          </w:p>
        </w:tc>
        <w:tc>
          <w:tcPr>
            <w:tcW w:type="dxa" w:w="2088"/>
          </w:tcPr>
          <w:p>
            <w:r/>
            <w:r>
              <w:rPr>
                <w:sz w:val="17"/>
              </w:rPr>
              <w:t>Patch and update policy documentation</w:t>
            </w:r>
          </w:p>
        </w:tc>
        <w:tc>
          <w:tcPr>
            <w:tcW w:type="dxa" w:w="5976"/>
          </w:tcPr>
          <w:p>
            <w:r/>
            <w:r>
              <w:rPr>
                <w:sz w:val="17"/>
              </w:rPr>
              <w:t>Yes — 48 hours for critical, committed in the Service Level Agreement. Dependency and container scanning on every build surfaces a new advisory without waiting for a scheduled review.</w:t>
            </w:r>
          </w:p>
        </w:tc>
      </w:tr>
      <w:tr>
        <w:tc>
          <w:tcPr>
            <w:tcW w:type="dxa" w:w="1656"/>
          </w:tcPr>
          <w:p>
            <w:r/>
            <w:r>
              <w:rPr>
                <w:sz w:val="17"/>
              </w:rPr>
            </w:r>
          </w:p>
        </w:tc>
        <w:tc>
          <w:tcPr>
            <w:tcW w:type="dxa" w:w="4392"/>
          </w:tcPr>
          <w:p>
            <w:r/>
            <w:r>
              <w:rPr>
                <w:sz w:val="17"/>
              </w:rPr>
              <w:t>Ensure compatibility with micro-segmented network architectures, including support for network and host-based firewalls.</w:t>
            </w:r>
          </w:p>
        </w:tc>
        <w:tc>
          <w:tcPr>
            <w:tcW w:type="dxa" w:w="2088"/>
          </w:tcPr>
          <w:p>
            <w:r/>
            <w:r>
              <w:rPr>
                <w:sz w:val="17"/>
              </w:rPr>
              <w:t>Network architecture compatibility</w:t>
            </w:r>
          </w:p>
        </w:tc>
        <w:tc>
          <w:tcPr>
            <w:tcW w:type="dxa" w:w="5976"/>
          </w:tcPr>
          <w:p>
            <w:r/>
            <w:r>
              <w:rPr>
                <w:sz w:val="17"/>
              </w:rPr>
              <w:t>Yes — every component declares its required ports and destinations, and default-deny network policy is supplied with the deployment manifests. Each tier is separately addressable, so application, worker, database and storage can sit in distinct segments.</w:t>
            </w:r>
          </w:p>
        </w:tc>
      </w:tr>
      <w:tr>
        <w:tc>
          <w:tcPr>
            <w:tcW w:type="dxa" w:w="1656"/>
          </w:tcPr>
          <w:p>
            <w:r/>
            <w:r>
              <w:rPr>
                <w:sz w:val="17"/>
              </w:rPr>
            </w:r>
          </w:p>
        </w:tc>
        <w:tc>
          <w:tcPr>
            <w:tcW w:type="dxa" w:w="4392"/>
          </w:tcPr>
          <w:p>
            <w:r/>
            <w:r>
              <w:rPr>
                <w:sz w:val="17"/>
              </w:rPr>
              <w:t>Confirm the resilience of the solution against rigorous vulnerability assessments and penetration tests using automated and manual methodologies.</w:t>
            </w:r>
          </w:p>
        </w:tc>
        <w:tc>
          <w:tcPr>
            <w:tcW w:type="dxa" w:w="2088"/>
          </w:tcPr>
          <w:p>
            <w:r/>
            <w:r>
              <w:rPr>
                <w:sz w:val="17"/>
              </w:rPr>
              <w:t>Assessment and testing results</w:t>
            </w:r>
          </w:p>
        </w:tc>
        <w:tc>
          <w:tcPr>
            <w:tcW w:type="dxa" w:w="5976"/>
          </w:tcPr>
          <w:p>
            <w:r/>
            <w:r>
              <w:rPr>
                <w:sz w:val="17"/>
              </w:rPr>
              <w:t>Yes — automated assessment gates every build; manual testing is performed by the independent assessor at M5 and after each major change, with results and remediation evidence shared.</w:t>
            </w:r>
          </w:p>
        </w:tc>
      </w:tr>
      <w:tr>
        <w:tc>
          <w:tcPr>
            <w:tcW w:type="dxa" w:w="1656"/>
          </w:tcPr>
          <w:p>
            <w:r/>
            <w:r>
              <w:rPr>
                <w:sz w:val="17"/>
              </w:rPr>
            </w:r>
          </w:p>
        </w:tc>
        <w:tc>
          <w:tcPr>
            <w:tcW w:type="dxa" w:w="4392"/>
          </w:tcPr>
          <w:p>
            <w:r/>
            <w:r>
              <w:rPr>
                <w:sz w:val="17"/>
              </w:rPr>
              <w:t>Specify the security frameworks and tools utilized for vulnerability assessments, penetration testing, and incident detection/prevention.</w:t>
            </w:r>
          </w:p>
        </w:tc>
        <w:tc>
          <w:tcPr>
            <w:tcW w:type="dxa" w:w="2088"/>
          </w:tcPr>
          <w:p>
            <w:r/>
            <w:r>
              <w:rPr>
                <w:sz w:val="17"/>
              </w:rPr>
              <w:t>Comprehensive framework and tool details</w:t>
            </w:r>
          </w:p>
        </w:tc>
        <w:tc>
          <w:tcPr>
            <w:tcW w:type="dxa" w:w="5976"/>
          </w:tcPr>
          <w:p>
            <w:r/>
            <w:r>
              <w:rPr>
                <w:sz w:val="17"/>
              </w:rPr>
              <w:t>Yes — OWASP Top 10 and ASVS Level 2 as the assessment frameworks; Bandit and Semgrep for static analysis, OWASP ZAP for dynamic scanning, Trivy for container and OS packages, pip-audit and npm audit for dependencies, Gitleaks for secrets, and a CycloneDX bill of materials per build. Detection and prevention are delivered into MMBL's own SIEM and gateway rather than duplicated.</w:t>
            </w:r>
          </w:p>
        </w:tc>
      </w:tr>
      <w:tr>
        <w:tc>
          <w:tcPr>
            <w:tcW w:type="dxa" w:w="1656"/>
          </w:tcPr>
          <w:p>
            <w:r/>
            <w:r>
              <w:rPr>
                <w:sz w:val="17"/>
              </w:rPr>
            </w:r>
          </w:p>
        </w:tc>
        <w:tc>
          <w:tcPr>
            <w:tcW w:type="dxa" w:w="4392"/>
          </w:tcPr>
          <w:p>
            <w:r/>
            <w:r>
              <w:rPr>
                <w:sz w:val="17"/>
              </w:rPr>
              <w:t>Acknowledge that MMBL may conduct external posture scanning (e.g., internet-facing infrastructure scans) of the vendor environment as part of due diligence and security monitoring activities.</w:t>
            </w:r>
          </w:p>
        </w:tc>
        <w:tc>
          <w:tcPr>
            <w:tcW w:type="dxa" w:w="2088"/>
          </w:tcPr>
          <w:p>
            <w:r/>
            <w:r>
              <w:rPr>
                <w:sz w:val="17"/>
              </w:rPr>
              <w:t>Acknowledgment of external scanning rights and scope</w:t>
            </w:r>
          </w:p>
        </w:tc>
        <w:tc>
          <w:tcPr>
            <w:tcW w:type="dxa" w:w="5976"/>
          </w:tcPr>
          <w:p>
            <w:r/>
            <w:r>
              <w:rPr>
                <w:sz w:val="17"/>
              </w:rPr>
              <w:t>Yes — acknowledged and accepted, with scope and windows agreed in writing. Note that the solution is deployed entirely on MMBL premises, so the internet-facing surface being scanned is the bank's own.</w:t>
            </w:r>
          </w:p>
        </w:tc>
      </w:tr>
      <w:tr>
        <w:tc>
          <w:tcPr>
            <w:tcW w:type="dxa" w:w="1656"/>
          </w:tcPr>
          <w:p>
            <w:r/>
            <w:r>
              <w:rPr>
                <w:sz w:val="17"/>
              </w:rPr>
              <w:t>Data Protection and Privacy</w:t>
            </w:r>
          </w:p>
        </w:tc>
        <w:tc>
          <w:tcPr>
            <w:tcW w:type="dxa" w:w="4392"/>
          </w:tcPr>
          <w:p>
            <w:r/>
            <w:r>
              <w:rPr>
                <w:sz w:val="17"/>
              </w:rPr>
              <w:t>Outline measures for safeguarding sensitive data, including encryption standards for data at rest and in transit (e.g., AES-256, TLS 1.2+).</w:t>
            </w:r>
          </w:p>
        </w:tc>
        <w:tc>
          <w:tcPr>
            <w:tcW w:type="dxa" w:w="2088"/>
          </w:tcPr>
          <w:p>
            <w:r/>
            <w:r>
              <w:rPr>
                <w:sz w:val="17"/>
              </w:rPr>
              <w:t>Encryption protocols and methodologies</w:t>
            </w:r>
          </w:p>
        </w:tc>
        <w:tc>
          <w:tcPr>
            <w:tcW w:type="dxa" w:w="5976"/>
          </w:tcPr>
          <w:p>
            <w:r/>
            <w:r>
              <w:rPr>
                <w:sz w:val="17"/>
              </w:rPr>
              <w:t>Yes — Oracle Transparent Data Encryption at the tablespace, with AES-256 column-level encryption additionally applied to secrets so a database export alone yields nothing usable. TLS 1.2 or higher enforced in transit, with the configuration checked at start-up rather than assumed.</w:t>
            </w:r>
          </w:p>
        </w:tc>
      </w:tr>
      <w:tr>
        <w:tc>
          <w:tcPr>
            <w:tcW w:type="dxa" w:w="1656"/>
          </w:tcPr>
          <w:p>
            <w:r/>
            <w:r>
              <w:rPr>
                <w:sz w:val="17"/>
              </w:rPr>
            </w:r>
          </w:p>
        </w:tc>
        <w:tc>
          <w:tcPr>
            <w:tcW w:type="dxa" w:w="4392"/>
          </w:tcPr>
          <w:p>
            <w:r/>
            <w:r>
              <w:rPr>
                <w:sz w:val="17"/>
              </w:rPr>
              <w:t>Confirm adherence to SBP's data segregation and protection requirements.</w:t>
            </w:r>
          </w:p>
        </w:tc>
        <w:tc>
          <w:tcPr>
            <w:tcW w:type="dxa" w:w="2088"/>
          </w:tcPr>
          <w:p>
            <w:r/>
            <w:r>
              <w:rPr>
                <w:sz w:val="17"/>
              </w:rPr>
              <w:t>Data segregation and protection plan</w:t>
            </w:r>
          </w:p>
        </w:tc>
        <w:tc>
          <w:tcPr>
            <w:tcW w:type="dxa" w:w="5976"/>
          </w:tcPr>
          <w:p>
            <w:r/>
            <w:r>
              <w:rPr>
                <w:sz w:val="17"/>
              </w:rPr>
              <w:t>Yes — segregation is enforced by the database, not only by application code: Oracle Virtual Private Database is applied to every workspace-scoped table, so a defect in application logic still cannot read across the boundary. Repository code filters independently as a second layer.</w:t>
            </w:r>
          </w:p>
        </w:tc>
      </w:tr>
      <w:tr>
        <w:tc>
          <w:tcPr>
            <w:tcW w:type="dxa" w:w="1656"/>
          </w:tcPr>
          <w:p>
            <w:r/>
            <w:r>
              <w:rPr>
                <w:sz w:val="17"/>
              </w:rPr>
            </w:r>
          </w:p>
        </w:tc>
        <w:tc>
          <w:tcPr>
            <w:tcW w:type="dxa" w:w="4392"/>
          </w:tcPr>
          <w:p>
            <w:r/>
            <w:r>
              <w:rPr>
                <w:sz w:val="17"/>
              </w:rPr>
              <w:t>Provide a robust plan for data retention and secure deletion in compliance with SBP and organizational requirements.</w:t>
            </w:r>
          </w:p>
        </w:tc>
        <w:tc>
          <w:tcPr>
            <w:tcW w:type="dxa" w:w="2088"/>
          </w:tcPr>
          <w:p>
            <w:r/>
            <w:r>
              <w:rPr>
                <w:sz w:val="17"/>
              </w:rPr>
              <w:t>Data lifecycle management policy</w:t>
            </w:r>
          </w:p>
        </w:tc>
        <w:tc>
          <w:tcPr>
            <w:tcW w:type="dxa" w:w="5976"/>
          </w:tcPr>
          <w:p>
            <w:r/>
            <w:r>
              <w:rPr>
                <w:sz w:val="17"/>
              </w:rPr>
              <w:t>Yes — retention tiers with scheduled archival and purge, exercised from day one rather than first attempted in year three. Legal hold overrides deletion unconditionally and is scoped per matter, so releasing one matter cannot expose records another still protects.</w:t>
            </w:r>
          </w:p>
        </w:tc>
      </w:tr>
      <w:tr>
        <w:tc>
          <w:tcPr>
            <w:tcW w:type="dxa" w:w="1656"/>
          </w:tcPr>
          <w:p>
            <w:r/>
            <w:r>
              <w:rPr>
                <w:sz w:val="17"/>
              </w:rPr>
            </w:r>
          </w:p>
        </w:tc>
        <w:tc>
          <w:tcPr>
            <w:tcW w:type="dxa" w:w="4392"/>
          </w:tcPr>
          <w:p>
            <w:r/>
            <w:r>
              <w:rPr>
                <w:sz w:val="17"/>
              </w:rPr>
              <w:t>Confirm willingness to execute a Non-Disclosure Agreement (NDA) to protect confidential information.</w:t>
            </w:r>
          </w:p>
        </w:tc>
        <w:tc>
          <w:tcPr>
            <w:tcW w:type="dxa" w:w="2088"/>
          </w:tcPr>
          <w:p>
            <w:r/>
            <w:r>
              <w:rPr>
                <w:sz w:val="17"/>
              </w:rPr>
              <w:t>Signed NDA</w:t>
            </w:r>
          </w:p>
        </w:tc>
        <w:tc>
          <w:tcPr>
            <w:tcW w:type="dxa" w:w="5976"/>
          </w:tcPr>
          <w:p>
            <w:r/>
            <w:r>
              <w:rPr>
                <w:sz w:val="17"/>
              </w:rPr>
              <w:t>Yes — willing to execute MMBL's standard NDA.</w:t>
            </w:r>
          </w:p>
        </w:tc>
      </w:tr>
      <w:tr>
        <w:tc>
          <w:tcPr>
            <w:tcW w:type="dxa" w:w="1656"/>
          </w:tcPr>
          <w:p>
            <w:r/>
            <w:r>
              <w:rPr>
                <w:sz w:val="17"/>
              </w:rPr>
              <w:t>Access Control and Logging</w:t>
            </w:r>
          </w:p>
        </w:tc>
        <w:tc>
          <w:tcPr>
            <w:tcW w:type="dxa" w:w="4392"/>
          </w:tcPr>
          <w:p>
            <w:r/>
            <w:r>
              <w:rPr>
                <w:sz w:val="17"/>
              </w:rPr>
              <w:t>Describe the access control mechanisms, including Role-Based Access Control (RBAC) and Multi-Factor Authentication (MFA).</w:t>
            </w:r>
          </w:p>
        </w:tc>
        <w:tc>
          <w:tcPr>
            <w:tcW w:type="dxa" w:w="2088"/>
          </w:tcPr>
          <w:p>
            <w:r/>
            <w:r>
              <w:rPr>
                <w:sz w:val="17"/>
              </w:rPr>
              <w:t>Access control policies and features</w:t>
            </w:r>
          </w:p>
        </w:tc>
        <w:tc>
          <w:tcPr>
            <w:tcW w:type="dxa" w:w="5976"/>
          </w:tcPr>
          <w:p>
            <w:r/>
            <w:r>
              <w:rPr>
                <w:sz w:val="17"/>
              </w:rPr>
              <w:t>Yes — role-based permissions with custom roles and per-agreement access lists on confidential matters. Multi-factor authentication by time-based one-time passcode, passkeys (FIDO2/WebAuthn) and email fallback, with step-up re-authentication bound to specific privileged actions.</w:t>
            </w:r>
          </w:p>
        </w:tc>
      </w:tr>
      <w:tr>
        <w:tc>
          <w:tcPr>
            <w:tcW w:type="dxa" w:w="1656"/>
          </w:tcPr>
          <w:p>
            <w:r/>
            <w:r>
              <w:rPr>
                <w:sz w:val="17"/>
              </w:rPr>
            </w:r>
          </w:p>
        </w:tc>
        <w:tc>
          <w:tcPr>
            <w:tcW w:type="dxa" w:w="4392"/>
          </w:tcPr>
          <w:p>
            <w:r/>
            <w:r>
              <w:rPr>
                <w:sz w:val="17"/>
              </w:rPr>
              <w:t>Ensure the solution generates well-structured logs adhering to internationally recognized formats such as Common Log Format (CLF) or Common Event Format (CEF).</w:t>
            </w:r>
          </w:p>
        </w:tc>
        <w:tc>
          <w:tcPr>
            <w:tcW w:type="dxa" w:w="2088"/>
          </w:tcPr>
          <w:p>
            <w:r/>
            <w:r>
              <w:rPr>
                <w:sz w:val="17"/>
              </w:rPr>
              <w:t>Logging standard compliance</w:t>
            </w:r>
          </w:p>
        </w:tc>
        <w:tc>
          <w:tcPr>
            <w:tcW w:type="dxa" w:w="5976"/>
          </w:tcPr>
          <w:p>
            <w:r/>
            <w:r>
              <w:rPr>
                <w:sz w:val="17"/>
              </w:rPr>
              <w:t>Yes — CEF over syslog, with CLF available for web-tier access logs.</w:t>
            </w:r>
          </w:p>
        </w:tc>
      </w:tr>
      <w:tr>
        <w:tc>
          <w:tcPr>
            <w:tcW w:type="dxa" w:w="1656"/>
          </w:tcPr>
          <w:p>
            <w:r/>
            <w:r>
              <w:rPr>
                <w:sz w:val="17"/>
              </w:rPr>
            </w:r>
          </w:p>
        </w:tc>
        <w:tc>
          <w:tcPr>
            <w:tcW w:type="dxa" w:w="4392"/>
          </w:tcPr>
          <w:p>
            <w:r/>
            <w:r>
              <w:rPr>
                <w:sz w:val="17"/>
              </w:rPr>
              <w:t>Logs must cover key events such as authentication, access control, application usage, system activities, security incidents, network events, and audit trails.</w:t>
            </w:r>
          </w:p>
        </w:tc>
        <w:tc>
          <w:tcPr>
            <w:tcW w:type="dxa" w:w="2088"/>
          </w:tcPr>
          <w:p>
            <w:r/>
            <w:r>
              <w:rPr>
                <w:sz w:val="17"/>
              </w:rPr>
              <w:t>Coverage of log categories</w:t>
            </w:r>
          </w:p>
        </w:tc>
        <w:tc>
          <w:tcPr>
            <w:tcW w:type="dxa" w:w="5976"/>
          </w:tcPr>
          <w:p>
            <w:r/>
            <w:r>
              <w:rPr>
                <w:sz w:val="17"/>
              </w:rPr>
              <w:t>Yes — all categories emitted and classified. The audit trail additionally covers every state-changing business action, chained so that alteration or deletion is detectable.</w:t>
            </w:r>
          </w:p>
        </w:tc>
      </w:tr>
      <w:tr>
        <w:tc>
          <w:tcPr>
            <w:tcW w:type="dxa" w:w="1656"/>
          </w:tcPr>
          <w:p>
            <w:r/>
            <w:r>
              <w:rPr>
                <w:sz w:val="17"/>
              </w:rPr>
            </w:r>
          </w:p>
        </w:tc>
        <w:tc>
          <w:tcPr>
            <w:tcW w:type="dxa" w:w="4392"/>
          </w:tcPr>
          <w:p>
            <w:r/>
            <w:r>
              <w:rPr>
                <w:sz w:val="17"/>
              </w:rPr>
              <w:t>Ensure logs include clearly defined severity levels, such as Emergency, Alert, Critical, Error, Warning, Notice, and Informational.</w:t>
            </w:r>
          </w:p>
        </w:tc>
        <w:tc>
          <w:tcPr>
            <w:tcW w:type="dxa" w:w="2088"/>
          </w:tcPr>
          <w:p>
            <w:r/>
            <w:r>
              <w:rPr>
                <w:sz w:val="17"/>
              </w:rPr>
              <w:t>Log severity categorization</w:t>
            </w:r>
          </w:p>
        </w:tc>
        <w:tc>
          <w:tcPr>
            <w:tcW w:type="dxa" w:w="5976"/>
          </w:tcPr>
          <w:p>
            <w:r/>
            <w:r>
              <w:rPr>
                <w:sz w:val="17"/>
              </w:rPr>
              <w:t>Yes — the full syslog severity range is used, and mapped deliberately: a refresh-token reuse, for example, is raised at Alert rather than being logged as an ordinary authentication failure.</w:t>
            </w:r>
          </w:p>
        </w:tc>
      </w:tr>
      <w:tr>
        <w:tc>
          <w:tcPr>
            <w:tcW w:type="dxa" w:w="1656"/>
          </w:tcPr>
          <w:p>
            <w:r/>
            <w:r>
              <w:rPr>
                <w:sz w:val="17"/>
              </w:rPr>
              <w:t>Compatibility and Integration</w:t>
            </w:r>
          </w:p>
        </w:tc>
        <w:tc>
          <w:tcPr>
            <w:tcW w:type="dxa" w:w="4392"/>
          </w:tcPr>
          <w:p>
            <w:r/>
            <w:r>
              <w:rPr>
                <w:sz w:val="17"/>
              </w:rPr>
              <w:t>Confirm compatibility with industry-standard solutions such as Identity and Access Management (IAM), Multi-Factor Authentication (MFA), Single Sign-On (SSO), Web Application Firewall (WAF), and Security Orchestration, Automation, and Response (SOAR) (if applicable).</w:t>
            </w:r>
          </w:p>
        </w:tc>
        <w:tc>
          <w:tcPr>
            <w:tcW w:type="dxa" w:w="2088"/>
          </w:tcPr>
          <w:p>
            <w:r/>
            <w:r>
              <w:rPr>
                <w:sz w:val="17"/>
              </w:rPr>
              <w:t>Compatibility documentation</w:t>
            </w:r>
          </w:p>
        </w:tc>
        <w:tc>
          <w:tcPr>
            <w:tcW w:type="dxa" w:w="5976"/>
          </w:tcPr>
          <w:p>
            <w:r/>
            <w:r>
              <w:rPr>
                <w:sz w:val="17"/>
              </w:rPr>
              <w:t>Yes — SAML 2.0 and OpenID Connect for single sign-on, SCIM 2.0 for provisioning, and standards-based interfaces throughout, so integration is by configuration rather than custom development. WAF and SOAR integrate at the gateway and the event feed respectively.</w:t>
            </w:r>
          </w:p>
        </w:tc>
      </w:tr>
      <w:tr>
        <w:tc>
          <w:tcPr>
            <w:tcW w:type="dxa" w:w="1656"/>
          </w:tcPr>
          <w:p>
            <w:r/>
            <w:r>
              <w:rPr>
                <w:sz w:val="17"/>
              </w:rPr>
            </w:r>
          </w:p>
        </w:tc>
        <w:tc>
          <w:tcPr>
            <w:tcW w:type="dxa" w:w="4392"/>
          </w:tcPr>
          <w:p>
            <w:r/>
            <w:r>
              <w:rPr>
                <w:sz w:val="17"/>
              </w:rPr>
              <w:t>Confirm support for integration with the organization's existing security solutions, including SIEM, DAM, PAM, Vulnerability Management, and other tools.</w:t>
            </w:r>
          </w:p>
        </w:tc>
        <w:tc>
          <w:tcPr>
            <w:tcW w:type="dxa" w:w="2088"/>
          </w:tcPr>
          <w:p>
            <w:r/>
            <w:r>
              <w:rPr>
                <w:sz w:val="17"/>
              </w:rPr>
              <w:t>Integration plan and support details</w:t>
            </w:r>
          </w:p>
        </w:tc>
        <w:tc>
          <w:tcPr>
            <w:tcW w:type="dxa" w:w="5976"/>
          </w:tcPr>
          <w:p>
            <w:r/>
            <w:r>
              <w:rPr>
                <w:sz w:val="17"/>
              </w:rPr>
              <w:t>Yes — SIEM by CEF feed with replay for collector outages; DAM at the database tier, which is transparent to the application; PAM by federated privileged accounts with step-up authentication; vulnerability management by the per-release bill of materials, which the bank's scanner can consume directly.</w:t>
            </w:r>
          </w:p>
        </w:tc>
      </w:tr>
      <w:tr>
        <w:tc>
          <w:tcPr>
            <w:tcW w:type="dxa" w:w="1656"/>
          </w:tcPr>
          <w:p>
            <w:r/>
            <w:r>
              <w:rPr>
                <w:sz w:val="17"/>
              </w:rPr>
            </w:r>
          </w:p>
        </w:tc>
        <w:tc>
          <w:tcPr>
            <w:tcW w:type="dxa" w:w="4392"/>
          </w:tcPr>
          <w:p>
            <w:r/>
            <w:r>
              <w:rPr>
                <w:sz w:val="17"/>
              </w:rPr>
              <w:t>Ensure compatibility with standard automated backup and restoration solutions.</w:t>
            </w:r>
          </w:p>
        </w:tc>
        <w:tc>
          <w:tcPr>
            <w:tcW w:type="dxa" w:w="2088"/>
          </w:tcPr>
          <w:p>
            <w:r/>
            <w:r>
              <w:rPr>
                <w:sz w:val="17"/>
              </w:rPr>
              <w:t>Backup and restore compatibility</w:t>
            </w:r>
          </w:p>
        </w:tc>
        <w:tc>
          <w:tcPr>
            <w:tcW w:type="dxa" w:w="5976"/>
          </w:tcPr>
          <w:p>
            <w:r/>
            <w:r>
              <w:rPr>
                <w:sz w:val="17"/>
              </w:rPr>
              <w:t>Yes — enterprise backup tooling integrates at the database and storage layers with no application agent required. Scripted, encrypted, restore-verified backups are supplied as an alternative or a complement.</w:t>
            </w:r>
          </w:p>
        </w:tc>
      </w:tr>
      <w:tr>
        <w:tc>
          <w:tcPr>
            <w:tcW w:type="dxa" w:w="1656"/>
          </w:tcPr>
          <w:p>
            <w:r/>
            <w:r>
              <w:rPr>
                <w:sz w:val="17"/>
              </w:rPr>
              <w:t>Incident and Business Continuity Management</w:t>
            </w:r>
          </w:p>
        </w:tc>
        <w:tc>
          <w:tcPr>
            <w:tcW w:type="dxa" w:w="4392"/>
          </w:tcPr>
          <w:p>
            <w:r/>
            <w:r>
              <w:rPr>
                <w:sz w:val="17"/>
              </w:rPr>
              <w:t>Provide an incident reporting plan detailing response timeline, escalation procedures, and reporting mechanisms.</w:t>
            </w:r>
          </w:p>
        </w:tc>
        <w:tc>
          <w:tcPr>
            <w:tcW w:type="dxa" w:w="2088"/>
          </w:tcPr>
          <w:p>
            <w:r/>
            <w:r>
              <w:rPr>
                <w:sz w:val="17"/>
              </w:rPr>
              <w:t>Comprehensive incident response plan</w:t>
            </w:r>
          </w:p>
        </w:tc>
        <w:tc>
          <w:tcPr>
            <w:tcW w:type="dxa" w:w="5976"/>
          </w:tcPr>
          <w:p>
            <w:r/>
            <w:r>
              <w:rPr>
                <w:sz w:val="17"/>
              </w:rPr>
              <w:t>Yes — severity definitions, response and resolution targets, escalation path and reporting cadence are set out in the Service Level Agreement, with automatic service credits attaching to a missed target. The process is exercised during UAT rather than first used in production.</w:t>
            </w:r>
          </w:p>
        </w:tc>
      </w:tr>
      <w:tr>
        <w:tc>
          <w:tcPr>
            <w:tcW w:type="dxa" w:w="1656"/>
          </w:tcPr>
          <w:p>
            <w:r/>
            <w:r>
              <w:rPr>
                <w:sz w:val="17"/>
              </w:rPr>
            </w:r>
          </w:p>
        </w:tc>
        <w:tc>
          <w:tcPr>
            <w:tcW w:type="dxa" w:w="4392"/>
          </w:tcPr>
          <w:p>
            <w:r/>
            <w:r>
              <w:rPr>
                <w:sz w:val="17"/>
              </w:rPr>
              <w:t>Summarize the Business Continuity Plan (BCP) and Disaster Recovery Plan (DRP) applicable to the proposed solution.</w:t>
            </w:r>
          </w:p>
        </w:tc>
        <w:tc>
          <w:tcPr>
            <w:tcW w:type="dxa" w:w="2088"/>
          </w:tcPr>
          <w:p>
            <w:r/>
            <w:r>
              <w:rPr>
                <w:sz w:val="17"/>
              </w:rPr>
              <w:t>Documentation of BCP and DRP</w:t>
            </w:r>
          </w:p>
        </w:tc>
        <w:tc>
          <w:tcPr>
            <w:tcW w:type="dxa" w:w="5976"/>
          </w:tcPr>
          <w:p>
            <w:r/>
            <w:r>
              <w:rPr>
                <w:sz w:val="17"/>
              </w:rPr>
              <w:t>Yes — recovery objectives agreed at design and proven by a measured drill before go-live sign-off. Backups are restore-verified, because a backup never restored is an assumption rather than a control.</w:t>
            </w:r>
          </w:p>
        </w:tc>
      </w:tr>
      <w:tr>
        <w:tc>
          <w:tcPr>
            <w:tcW w:type="dxa" w:w="1656"/>
          </w:tcPr>
          <w:p>
            <w:r/>
            <w:r>
              <w:rPr>
                <w:sz w:val="17"/>
              </w:rPr>
            </w:r>
          </w:p>
        </w:tc>
        <w:tc>
          <w:tcPr>
            <w:tcW w:type="dxa" w:w="4392"/>
          </w:tcPr>
          <w:p>
            <w:r/>
            <w:r>
              <w:rPr>
                <w:sz w:val="17"/>
              </w:rPr>
              <w:t>Confirm readiness to support audits and assessments by the organization or authorized third-party entities.</w:t>
            </w:r>
          </w:p>
        </w:tc>
        <w:tc>
          <w:tcPr>
            <w:tcW w:type="dxa" w:w="2088"/>
          </w:tcPr>
          <w:p>
            <w:r/>
            <w:r>
              <w:rPr>
                <w:sz w:val="17"/>
              </w:rPr>
              <w:t>Audit support confirmation</w:t>
            </w:r>
          </w:p>
        </w:tc>
        <w:tc>
          <w:tcPr>
            <w:tcW w:type="dxa" w:w="5976"/>
          </w:tcPr>
          <w:p>
            <w:r/>
            <w:r>
              <w:rPr>
                <w:sz w:val="17"/>
              </w:rPr>
              <w:t>Yes — and several controls can be demonstrated live on MMBL's own instance rather than accepted on paper, including audit-chain integrity, segregation of duties and data residency.</w:t>
            </w:r>
          </w:p>
        </w:tc>
      </w:tr>
      <w:tr>
        <w:tc>
          <w:tcPr>
            <w:tcW w:type="dxa" w:w="1656"/>
          </w:tcPr>
          <w:p>
            <w:r/>
            <w:r>
              <w:rPr>
                <w:sz w:val="17"/>
              </w:rPr>
              <w:t>Communications Security</w:t>
            </w:r>
          </w:p>
        </w:tc>
        <w:tc>
          <w:tcPr>
            <w:tcW w:type="dxa" w:w="4392"/>
          </w:tcPr>
          <w:p>
            <w:r/>
            <w:r>
              <w:rPr>
                <w:sz w:val="17"/>
              </w:rPr>
              <w:t>Ensure all official communication during the project lifecycle is conducted via authenticated mediums, such as emails configured with SPF, DKIM, and preferably DMARC.</w:t>
            </w:r>
          </w:p>
        </w:tc>
        <w:tc>
          <w:tcPr>
            <w:tcW w:type="dxa" w:w="2088"/>
          </w:tcPr>
          <w:p>
            <w:r/>
            <w:r>
              <w:rPr>
                <w:sz w:val="17"/>
              </w:rPr>
              <w:t>Communication security policies</w:t>
            </w:r>
          </w:p>
        </w:tc>
        <w:tc>
          <w:tcPr>
            <w:tcW w:type="dxa" w:w="5976"/>
          </w:tcPr>
          <w:p>
            <w:r/>
            <w:r>
              <w:rPr>
                <w:sz w:val="17"/>
              </w:rPr>
              <w:t>Yes — committed for the duration of the engagement.</w:t>
            </w:r>
          </w:p>
        </w:tc>
      </w:tr>
      <w:tr>
        <w:tc>
          <w:tcPr>
            <w:tcW w:type="dxa" w:w="1656"/>
          </w:tcPr>
          <w:p>
            <w:r/>
            <w:r>
              <w:rPr>
                <w:sz w:val="17"/>
              </w:rPr>
            </w:r>
          </w:p>
        </w:tc>
        <w:tc>
          <w:tcPr>
            <w:tcW w:type="dxa" w:w="4392"/>
          </w:tcPr>
          <w:p>
            <w:r/>
            <w:r>
              <w:rPr>
                <w:sz w:val="17"/>
              </w:rPr>
              <w:t>Confirm that the vendor's email systems have properly configured SPF and DKIM, with DMARC as an added measure.</w:t>
            </w:r>
          </w:p>
        </w:tc>
        <w:tc>
          <w:tcPr>
            <w:tcW w:type="dxa" w:w="2088"/>
          </w:tcPr>
          <w:p>
            <w:r/>
            <w:r>
              <w:rPr>
                <w:sz w:val="17"/>
              </w:rPr>
              <w:t>Email authentication configuration</w:t>
            </w:r>
          </w:p>
        </w:tc>
        <w:tc>
          <w:tcPr>
            <w:tcW w:type="dxa" w:w="5976"/>
          </w:tcPr>
          <w:p>
            <w:r/>
            <w:r>
              <w:rPr>
                <w:sz w:val="17"/>
              </w:rPr>
              <w:t>To be confirmed by the bidding entity against its own mail domain. Where a record is not yet at the required policy, it is corrected before project kick-off.</w:t>
            </w:r>
          </w:p>
        </w:tc>
      </w:tr>
      <w:tr>
        <w:tc>
          <w:tcPr>
            <w:tcW w:type="dxa" w:w="1656"/>
          </w:tcPr>
          <w:p>
            <w:r/>
            <w:r>
              <w:rPr>
                <w:sz w:val="17"/>
              </w:rPr>
            </w:r>
          </w:p>
        </w:tc>
        <w:tc>
          <w:tcPr>
            <w:tcW w:type="dxa" w:w="4392"/>
          </w:tcPr>
          <w:p>
            <w:r/>
            <w:r>
              <w:rPr>
                <w:sz w:val="17"/>
              </w:rPr>
              <w:t>Acknowledge the organization's right to reject any unauthenticated email communications.</w:t>
            </w:r>
          </w:p>
        </w:tc>
        <w:tc>
          <w:tcPr>
            <w:tcW w:type="dxa" w:w="2088"/>
          </w:tcPr>
          <w:p>
            <w:r/>
            <w:r>
              <w:rPr>
                <w:sz w:val="17"/>
              </w:rPr>
              <w:t>Vendor acknowledgment</w:t>
            </w:r>
          </w:p>
        </w:tc>
        <w:tc>
          <w:tcPr>
            <w:tcW w:type="dxa" w:w="5976"/>
          </w:tcPr>
          <w:p>
            <w:r/>
            <w:r>
              <w:rPr>
                <w:sz w:val="17"/>
              </w:rPr>
              <w:t>Yes — acknowledged.</w:t>
            </w:r>
          </w:p>
        </w:tc>
      </w:tr>
      <w:tr>
        <w:tc>
          <w:tcPr>
            <w:tcW w:type="dxa" w:w="1656"/>
          </w:tcPr>
          <w:p>
            <w:r/>
            <w:r>
              <w:rPr>
                <w:sz w:val="17"/>
              </w:rPr>
              <w:t>Portal / Web Application Security</w:t>
            </w:r>
          </w:p>
        </w:tc>
        <w:tc>
          <w:tcPr>
            <w:tcW w:type="dxa" w:w="4392"/>
          </w:tcPr>
          <w:p>
            <w:r/>
            <w:r>
              <w:rPr>
                <w:sz w:val="17"/>
              </w:rPr>
              <w:t>Confirm that the portal is designed and developed in accordance with secure-by-design and secure-by-default principles.</w:t>
            </w:r>
          </w:p>
        </w:tc>
        <w:tc>
          <w:tcPr>
            <w:tcW w:type="dxa" w:w="2088"/>
          </w:tcPr>
          <w:p>
            <w:r/>
            <w:r>
              <w:rPr>
                <w:sz w:val="17"/>
              </w:rPr>
              <w:t>Secure design approach and documentation</w:t>
            </w:r>
          </w:p>
        </w:tc>
        <w:tc>
          <w:tcPr>
            <w:tcW w:type="dxa" w:w="5976"/>
          </w:tcPr>
          <w:p>
            <w:r/>
            <w:r>
              <w:rPr>
                <w:sz w:val="17"/>
              </w:rPr>
              <w:t>Yes — controls fail closed by default. Two examples: the upload scanner refuses a file when the scanning service is unreachable rather than passing it, and the application refuses to start if any configured endpoint resolves outside the permitted network.</w:t>
            </w:r>
          </w:p>
        </w:tc>
      </w:tr>
      <w:tr>
        <w:tc>
          <w:tcPr>
            <w:tcW w:type="dxa" w:w="1656"/>
          </w:tcPr>
          <w:p>
            <w:r/>
            <w:r>
              <w:rPr>
                <w:sz w:val="17"/>
              </w:rPr>
            </w:r>
          </w:p>
        </w:tc>
        <w:tc>
          <w:tcPr>
            <w:tcW w:type="dxa" w:w="4392"/>
          </w:tcPr>
          <w:p>
            <w:r/>
            <w:r>
              <w:rPr>
                <w:sz w:val="17"/>
              </w:rPr>
              <w:t>Adherence to OWASP Top 10 (latest version) and OWASP ASVS (appropriate level) during portal development.</w:t>
            </w:r>
          </w:p>
        </w:tc>
        <w:tc>
          <w:tcPr>
            <w:tcW w:type="dxa" w:w="2088"/>
          </w:tcPr>
          <w:p>
            <w:r/>
            <w:r>
              <w:rPr>
                <w:sz w:val="17"/>
              </w:rPr>
              <w:t>Secure coding standards and mapping</w:t>
            </w:r>
          </w:p>
        </w:tc>
        <w:tc>
          <w:tcPr>
            <w:tcW w:type="dxa" w:w="5976"/>
          </w:tcPr>
          <w:p>
            <w:r/>
            <w:r>
              <w:rPr>
                <w:sz w:val="17"/>
              </w:rPr>
              <w:t>Yes — mapped control-by-control to the OWASP Top 10 and to ASVS Level 2, with static and dynamic scanning gating every build.</w:t>
            </w:r>
          </w:p>
        </w:tc>
      </w:tr>
      <w:tr>
        <w:tc>
          <w:tcPr>
            <w:tcW w:type="dxa" w:w="1656"/>
          </w:tcPr>
          <w:p>
            <w:r/>
            <w:r>
              <w:rPr>
                <w:sz w:val="17"/>
              </w:rPr>
            </w:r>
          </w:p>
        </w:tc>
        <w:tc>
          <w:tcPr>
            <w:tcW w:type="dxa" w:w="4392"/>
          </w:tcPr>
          <w:p>
            <w:r/>
            <w:r>
              <w:rPr>
                <w:sz w:val="17"/>
              </w:rPr>
              <w:t>Implementation of strong input validation, output encoding, and protection against common web vulnerabilities (e.g., SQL Injection, XSS, CSRF).</w:t>
            </w:r>
          </w:p>
        </w:tc>
        <w:tc>
          <w:tcPr>
            <w:tcW w:type="dxa" w:w="2088"/>
          </w:tcPr>
          <w:p>
            <w:r/>
            <w:r>
              <w:rPr>
                <w:sz w:val="17"/>
              </w:rPr>
              <w:t>Application security controls description</w:t>
            </w:r>
          </w:p>
        </w:tc>
        <w:tc>
          <w:tcPr>
            <w:tcW w:type="dxa" w:w="5976"/>
          </w:tcPr>
          <w:p>
            <w:r/>
            <w:r>
              <w:rPr>
                <w:sz w:val="17"/>
              </w:rPr>
              <w:t>Yes — schema validation at every API boundary; parameterised queries throughout, so string-built SQL does not exist; contextual output encoding; and same-site cookie policy with origin checks against cross-site request forgery.</w:t>
            </w:r>
          </w:p>
        </w:tc>
      </w:tr>
      <w:tr>
        <w:tc>
          <w:tcPr>
            <w:tcW w:type="dxa" w:w="1656"/>
          </w:tcPr>
          <w:p>
            <w:r/>
            <w:r>
              <w:rPr>
                <w:sz w:val="17"/>
              </w:rPr>
            </w:r>
          </w:p>
        </w:tc>
        <w:tc>
          <w:tcPr>
            <w:tcW w:type="dxa" w:w="4392"/>
          </w:tcPr>
          <w:p>
            <w:r/>
            <w:r>
              <w:rPr>
                <w:sz w:val="17"/>
              </w:rPr>
              <w:t>Secure session management, including session timeout, secure cookies, and protection against session fixation and hijacking.</w:t>
            </w:r>
          </w:p>
        </w:tc>
        <w:tc>
          <w:tcPr>
            <w:tcW w:type="dxa" w:w="2088"/>
          </w:tcPr>
          <w:p>
            <w:r/>
            <w:r>
              <w:rPr>
                <w:sz w:val="17"/>
              </w:rPr>
              <w:t>Session management controls</w:t>
            </w:r>
          </w:p>
        </w:tc>
        <w:tc>
          <w:tcPr>
            <w:tcW w:type="dxa" w:w="5976"/>
          </w:tcPr>
          <w:p>
            <w:r/>
            <w:r>
              <w:rPr>
                <w:sz w:val="17"/>
              </w:rPr>
              <w:t>Yes — short-lived access token held in memory only, never in browser storage where a script could read it. The refresh token is an httpOnly, secure, same-site cookie, rotated on every use, with reuse detection: presenting an already-rotated token revokes the whole session chain and raises an alert.</w:t>
            </w:r>
          </w:p>
        </w:tc>
      </w:tr>
      <w:tr>
        <w:tc>
          <w:tcPr>
            <w:tcW w:type="dxa" w:w="1656"/>
          </w:tcPr>
          <w:p>
            <w:r/>
            <w:r>
              <w:rPr>
                <w:sz w:val="17"/>
              </w:rPr>
            </w:r>
          </w:p>
        </w:tc>
        <w:tc>
          <w:tcPr>
            <w:tcW w:type="dxa" w:w="4392"/>
          </w:tcPr>
          <w:p>
            <w:r/>
            <w:r>
              <w:rPr>
                <w:sz w:val="17"/>
              </w:rPr>
              <w:t>Enforcement of strong authentication mechanisms for portal users, including MFA where applicable.</w:t>
            </w:r>
          </w:p>
        </w:tc>
        <w:tc>
          <w:tcPr>
            <w:tcW w:type="dxa" w:w="2088"/>
          </w:tcPr>
          <w:p>
            <w:r/>
            <w:r>
              <w:rPr>
                <w:sz w:val="17"/>
              </w:rPr>
              <w:t>Authentication design</w:t>
            </w:r>
          </w:p>
        </w:tc>
        <w:tc>
          <w:tcPr>
            <w:tcW w:type="dxa" w:w="5976"/>
          </w:tcPr>
          <w:p>
            <w:r/>
            <w:r>
              <w:rPr>
                <w:sz w:val="17"/>
              </w:rPr>
              <w:t>Yes — enforced password policy, multi-factor authentication, passkeys, federated single sign-on, and step-up re-authentication bound to the specific sensitive action and object rather than to a session-wide flag.</w:t>
            </w:r>
          </w:p>
        </w:tc>
      </w:tr>
      <w:tr>
        <w:tc>
          <w:tcPr>
            <w:tcW w:type="dxa" w:w="1656"/>
          </w:tcPr>
          <w:p>
            <w:r/>
            <w:r>
              <w:rPr>
                <w:sz w:val="17"/>
              </w:rPr>
            </w:r>
          </w:p>
        </w:tc>
        <w:tc>
          <w:tcPr>
            <w:tcW w:type="dxa" w:w="4392"/>
          </w:tcPr>
          <w:p>
            <w:r/>
            <w:r>
              <w:rPr>
                <w:sz w:val="17"/>
              </w:rPr>
              <w:t>Support for role-based access control (RBAC) to segregate user privileges (e.g., admin, user, support roles).</w:t>
            </w:r>
          </w:p>
        </w:tc>
        <w:tc>
          <w:tcPr>
            <w:tcW w:type="dxa" w:w="2088"/>
          </w:tcPr>
          <w:p>
            <w:r/>
            <w:r>
              <w:rPr>
                <w:sz w:val="17"/>
              </w:rPr>
              <w:t>Authorization model</w:t>
            </w:r>
          </w:p>
        </w:tc>
        <w:tc>
          <w:tcPr>
            <w:tcW w:type="dxa" w:w="5976"/>
          </w:tcPr>
          <w:p>
            <w:r/>
            <w:r>
              <w:rPr>
                <w:sz w:val="17"/>
              </w:rPr>
              <w:t>Yes — built-in and custom roles, enforced in the service layer rather than by hiding controls, so an API call cannot bypass what the interface does not show. An unrecognised role degrades to read-only, never to open access.</w:t>
            </w:r>
          </w:p>
        </w:tc>
      </w:tr>
      <w:tr>
        <w:tc>
          <w:tcPr>
            <w:tcW w:type="dxa" w:w="1656"/>
          </w:tcPr>
          <w:p>
            <w:r/>
            <w:r>
              <w:rPr>
                <w:sz w:val="17"/>
              </w:rPr>
            </w:r>
          </w:p>
        </w:tc>
        <w:tc>
          <w:tcPr>
            <w:tcW w:type="dxa" w:w="4392"/>
          </w:tcPr>
          <w:p>
            <w:r/>
            <w:r>
              <w:rPr>
                <w:sz w:val="17"/>
              </w:rPr>
              <w:t>Protection of sensitive data displayed or processed through the portal using masking and least exposure principles.</w:t>
            </w:r>
          </w:p>
        </w:tc>
        <w:tc>
          <w:tcPr>
            <w:tcW w:type="dxa" w:w="2088"/>
          </w:tcPr>
          <w:p>
            <w:r/>
            <w:r>
              <w:rPr>
                <w:sz w:val="17"/>
              </w:rPr>
              <w:t>Data exposure controls</w:t>
            </w:r>
          </w:p>
        </w:tc>
        <w:tc>
          <w:tcPr>
            <w:tcW w:type="dxa" w:w="5976"/>
          </w:tcPr>
          <w:p>
            <w:r/>
            <w:r>
              <w:rPr>
                <w:sz w:val="17"/>
              </w:rPr>
              <w:t>Yes — masking is applied to the API response, not to the template, so a direct call cannot retrieve the unmasked value. Viewer-identified watermarking is repeated up the page so a crop cannot remove attribution.</w:t>
            </w:r>
          </w:p>
        </w:tc>
      </w:tr>
      <w:tr>
        <w:tc>
          <w:tcPr>
            <w:tcW w:type="dxa" w:w="1656"/>
          </w:tcPr>
          <w:p>
            <w:r/>
            <w:r>
              <w:rPr>
                <w:sz w:val="17"/>
              </w:rPr>
            </w:r>
          </w:p>
        </w:tc>
        <w:tc>
          <w:tcPr>
            <w:tcW w:type="dxa" w:w="4392"/>
          </w:tcPr>
          <w:p>
            <w:r/>
            <w:r>
              <w:rPr>
                <w:sz w:val="17"/>
              </w:rPr>
              <w:t>All portal communications must be secured using HTTPS with TLS 1.2 or higher.</w:t>
            </w:r>
          </w:p>
        </w:tc>
        <w:tc>
          <w:tcPr>
            <w:tcW w:type="dxa" w:w="2088"/>
          </w:tcPr>
          <w:p>
            <w:r/>
            <w:r>
              <w:rPr>
                <w:sz w:val="17"/>
              </w:rPr>
              <w:t>Transport security configuration</w:t>
            </w:r>
          </w:p>
        </w:tc>
        <w:tc>
          <w:tcPr>
            <w:tcW w:type="dxa" w:w="5976"/>
          </w:tcPr>
          <w:p>
            <w:r/>
            <w:r>
              <w:rPr>
                <w:sz w:val="17"/>
              </w:rPr>
              <w:t>Yes — enforced at the gateway with MMBL's certificates, with strict transport security asserted by the application.</w:t>
            </w:r>
          </w:p>
        </w:tc>
      </w:tr>
      <w:tr>
        <w:tc>
          <w:tcPr>
            <w:tcW w:type="dxa" w:w="1656"/>
          </w:tcPr>
          <w:p>
            <w:r/>
            <w:r>
              <w:rPr>
                <w:sz w:val="17"/>
              </w:rPr>
            </w:r>
          </w:p>
        </w:tc>
        <w:tc>
          <w:tcPr>
            <w:tcW w:type="dxa" w:w="4392"/>
          </w:tcPr>
          <w:p>
            <w:r/>
            <w:r>
              <w:rPr>
                <w:sz w:val="17"/>
              </w:rPr>
              <w:t>Integration with Web Application Firewall (WAF) for protection against application-layer attacks.</w:t>
            </w:r>
          </w:p>
        </w:tc>
        <w:tc>
          <w:tcPr>
            <w:tcW w:type="dxa" w:w="2088"/>
          </w:tcPr>
          <w:p>
            <w:r/>
            <w:r>
              <w:rPr>
                <w:sz w:val="17"/>
              </w:rPr>
              <w:t>WAF integration capability</w:t>
            </w:r>
          </w:p>
        </w:tc>
        <w:tc>
          <w:tcPr>
            <w:tcW w:type="dxa" w:w="5976"/>
          </w:tcPr>
          <w:p>
            <w:r/>
            <w:r>
              <w:rPr>
                <w:sz w:val="17"/>
              </w:rPr>
              <w:t>Yes — deployed behind MMBL's WAF and API gateway, with declarative gateway configuration supplied. The application does not depend on the WAF for its own controls, so protection is layered rather than delegated.</w:t>
            </w:r>
          </w:p>
        </w:tc>
      </w:tr>
      <w:tr>
        <w:tc>
          <w:tcPr>
            <w:tcW w:type="dxa" w:w="1656"/>
          </w:tcPr>
          <w:p>
            <w:r/>
            <w:r>
              <w:rPr>
                <w:sz w:val="17"/>
              </w:rPr>
            </w:r>
          </w:p>
        </w:tc>
        <w:tc>
          <w:tcPr>
            <w:tcW w:type="dxa" w:w="4392"/>
          </w:tcPr>
          <w:p>
            <w:r/>
            <w:r>
              <w:rPr>
                <w:sz w:val="17"/>
              </w:rPr>
              <w:t>Implementation of security headers (e.g., HSTS, CSP, X-Frame-Options, X-Content-Type-Options).</w:t>
            </w:r>
          </w:p>
        </w:tc>
        <w:tc>
          <w:tcPr>
            <w:tcW w:type="dxa" w:w="2088"/>
          </w:tcPr>
          <w:p>
            <w:r/>
            <w:r>
              <w:rPr>
                <w:sz w:val="17"/>
              </w:rPr>
              <w:t>HTTP security headers configuration</w:t>
            </w:r>
          </w:p>
        </w:tc>
        <w:tc>
          <w:tcPr>
            <w:tcW w:type="dxa" w:w="5976"/>
          </w:tcPr>
          <w:p>
            <w:r/>
            <w:r>
              <w:rPr>
                <w:sz w:val="17"/>
              </w:rPr>
              <w:t>Yes — the full set applied by middleware on every response, including a content security policy, so no route can be served without them.</w:t>
            </w:r>
          </w:p>
        </w:tc>
      </w:tr>
      <w:tr>
        <w:tc>
          <w:tcPr>
            <w:tcW w:type="dxa" w:w="1656"/>
          </w:tcPr>
          <w:p>
            <w:r/>
            <w:r>
              <w:rPr>
                <w:sz w:val="17"/>
              </w:rPr>
            </w:r>
          </w:p>
        </w:tc>
        <w:tc>
          <w:tcPr>
            <w:tcW w:type="dxa" w:w="4392"/>
          </w:tcPr>
          <w:p>
            <w:r/>
            <w:r>
              <w:rPr>
                <w:sz w:val="17"/>
              </w:rPr>
              <w:t>Portal must generate detailed application logs for user activity, administrative actions, and security events.</w:t>
            </w:r>
          </w:p>
        </w:tc>
        <w:tc>
          <w:tcPr>
            <w:tcW w:type="dxa" w:w="2088"/>
          </w:tcPr>
          <w:p>
            <w:r/>
            <w:r>
              <w:rPr>
                <w:sz w:val="17"/>
              </w:rPr>
              <w:t>Application logging capability</w:t>
            </w:r>
          </w:p>
        </w:tc>
        <w:tc>
          <w:tcPr>
            <w:tcW w:type="dxa" w:w="5976"/>
          </w:tcPr>
          <w:p>
            <w:r/>
            <w:r>
              <w:rPr>
                <w:sz w:val="17"/>
              </w:rPr>
              <w:t>Yes — every state-changing action is recorded with actor, object, time and outcome, including refusals. A blocked action is evidence and is logged as such.</w:t>
            </w:r>
          </w:p>
        </w:tc>
      </w:tr>
      <w:tr>
        <w:tc>
          <w:tcPr>
            <w:tcW w:type="dxa" w:w="1656"/>
          </w:tcPr>
          <w:p>
            <w:r/>
            <w:r>
              <w:rPr>
                <w:sz w:val="17"/>
              </w:rPr>
            </w:r>
          </w:p>
        </w:tc>
        <w:tc>
          <w:tcPr>
            <w:tcW w:type="dxa" w:w="4392"/>
          </w:tcPr>
          <w:p>
            <w:r/>
            <w:r>
              <w:rPr>
                <w:sz w:val="17"/>
              </w:rPr>
              <w:t>Application logs must be integrable with the organization's SIEM solution in near real time.</w:t>
            </w:r>
          </w:p>
        </w:tc>
        <w:tc>
          <w:tcPr>
            <w:tcW w:type="dxa" w:w="2088"/>
          </w:tcPr>
          <w:p>
            <w:r/>
            <w:r>
              <w:rPr>
                <w:sz w:val="17"/>
              </w:rPr>
              <w:t>SIEM integration support</w:t>
            </w:r>
          </w:p>
        </w:tc>
        <w:tc>
          <w:tcPr>
            <w:tcW w:type="dxa" w:w="5976"/>
          </w:tcPr>
          <w:p>
            <w:r/>
            <w:r>
              <w:rPr>
                <w:sz w:val="17"/>
              </w:rPr>
              <w:t>Yes — CEF over syslog, emitted as events occur, with severity classification and a replay endpoint covering any period the collector was unavailable.</w:t>
            </w:r>
          </w:p>
        </w:tc>
      </w:tr>
      <w:tr>
        <w:tc>
          <w:tcPr>
            <w:tcW w:type="dxa" w:w="1656"/>
          </w:tcPr>
          <w:p>
            <w:r/>
            <w:r>
              <w:rPr>
                <w:sz w:val="17"/>
              </w:rPr>
            </w:r>
          </w:p>
        </w:tc>
        <w:tc>
          <w:tcPr>
            <w:tcW w:type="dxa" w:w="4392"/>
          </w:tcPr>
          <w:p>
            <w:r/>
            <w:r>
              <w:rPr>
                <w:sz w:val="17"/>
              </w:rPr>
              <w:t>Regular application security testing (SAST, DAST, and/or VAPT) must be performed before go-live and after major changes.</w:t>
            </w:r>
          </w:p>
        </w:tc>
        <w:tc>
          <w:tcPr>
            <w:tcW w:type="dxa" w:w="2088"/>
          </w:tcPr>
          <w:p>
            <w:r/>
            <w:r>
              <w:rPr>
                <w:sz w:val="17"/>
              </w:rPr>
              <w:t>Security testing reports</w:t>
            </w:r>
          </w:p>
        </w:tc>
        <w:tc>
          <w:tcPr>
            <w:tcW w:type="dxa" w:w="5976"/>
          </w:tcPr>
          <w:p>
            <w:r/>
            <w:r>
              <w:rPr>
                <w:sz w:val="17"/>
              </w:rPr>
              <w:t>Yes — static and dynamic testing gate every change; independent testing is performed before go-live and after each major change, with reports shared.</w:t>
            </w:r>
          </w:p>
        </w:tc>
      </w:tr>
      <w:tr>
        <w:tc>
          <w:tcPr>
            <w:tcW w:type="dxa" w:w="1656"/>
          </w:tcPr>
          <w:p>
            <w:r/>
            <w:r>
              <w:rPr>
                <w:sz w:val="17"/>
              </w:rPr>
            </w:r>
          </w:p>
        </w:tc>
        <w:tc>
          <w:tcPr>
            <w:tcW w:type="dxa" w:w="4392"/>
          </w:tcPr>
          <w:p>
            <w:r/>
            <w:r>
              <w:rPr>
                <w:sz w:val="17"/>
              </w:rPr>
              <w:t>Timely remediation of identified vulnerabilities based on defined severity SLAs.</w:t>
            </w:r>
          </w:p>
        </w:tc>
        <w:tc>
          <w:tcPr>
            <w:tcW w:type="dxa" w:w="2088"/>
          </w:tcPr>
          <w:p>
            <w:r/>
            <w:r>
              <w:rPr>
                <w:sz w:val="17"/>
              </w:rPr>
              <w:t>Vulnerability remediation SLAs</w:t>
            </w:r>
          </w:p>
        </w:tc>
        <w:tc>
          <w:tcPr>
            <w:tcW w:type="dxa" w:w="5976"/>
          </w:tcPr>
          <w:p>
            <w:r/>
            <w:r>
              <w:rPr>
                <w:sz w:val="17"/>
              </w:rPr>
              <w:t>Yes — 48 hours for critical, with the full severity ladder and escalation set out in the Service Level Agreement.</w:t>
            </w:r>
          </w:p>
        </w:tc>
      </w:tr>
      <w:tr>
        <w:tc>
          <w:tcPr>
            <w:tcW w:type="dxa" w:w="1656"/>
          </w:tcPr>
          <w:p>
            <w:r/>
            <w:r>
              <w:rPr>
                <w:sz w:val="17"/>
              </w:rPr>
            </w:r>
          </w:p>
        </w:tc>
        <w:tc>
          <w:tcPr>
            <w:tcW w:type="dxa" w:w="4392"/>
          </w:tcPr>
          <w:p>
            <w:r/>
            <w:r>
              <w:rPr>
                <w:sz w:val="17"/>
              </w:rPr>
              <w:t>Secure deployment and release management practices must be followed, including segregation of development, testing, and production environments.</w:t>
            </w:r>
          </w:p>
        </w:tc>
        <w:tc>
          <w:tcPr>
            <w:tcW w:type="dxa" w:w="2088"/>
          </w:tcPr>
          <w:p>
            <w:r/>
            <w:r>
              <w:rPr>
                <w:sz w:val="17"/>
              </w:rPr>
              <w:t>SDLC and environment segregation</w:t>
            </w:r>
          </w:p>
        </w:tc>
        <w:tc>
          <w:tcPr>
            <w:tcW w:type="dxa" w:w="5976"/>
          </w:tcPr>
          <w:p>
            <w:r/>
            <w:r>
              <w:rPr>
                <w:sz w:val="17"/>
              </w:rPr>
              <w:t>Yes — three separately credentialed environments built from the same declarative configuration. One artefact is promoted by digest from development through UAT to production, so what is approved in UAT is bit-for-bit what reaches production; production promotion requires named approval.</w:t>
            </w:r>
          </w:p>
        </w:tc>
      </w:tr>
      <w:tr>
        <w:tc>
          <w:tcPr>
            <w:tcW w:type="dxa" w:w="1656"/>
          </w:tcPr>
          <w:p>
            <w:r/>
            <w:r>
              <w:rPr>
                <w:sz w:val="17"/>
              </w:rPr>
            </w:r>
          </w:p>
        </w:tc>
        <w:tc>
          <w:tcPr>
            <w:tcW w:type="dxa" w:w="4392"/>
          </w:tcPr>
          <w:p>
            <w:r/>
            <w:r>
              <w:rPr>
                <w:sz w:val="17"/>
              </w:rPr>
              <w:t>Protection against automated attacks such as bots, brute force, and credential stuffing (e.g., rate limiting, CAPTCHA).</w:t>
            </w:r>
          </w:p>
        </w:tc>
        <w:tc>
          <w:tcPr>
            <w:tcW w:type="dxa" w:w="2088"/>
          </w:tcPr>
          <w:p>
            <w:r/>
            <w:r>
              <w:rPr>
                <w:sz w:val="17"/>
              </w:rPr>
              <w:t>Anti-automation controls</w:t>
            </w:r>
          </w:p>
        </w:tc>
        <w:tc>
          <w:tcPr>
            <w:tcW w:type="dxa" w:w="5976"/>
          </w:tcPr>
          <w:p>
            <w:r/>
            <w:r>
              <w:rPr>
                <w:sz w:val="17"/>
              </w:rPr>
              <w:t>Yes — distributed rate limiting consistent across replicas, per-identifier backoff, and account lockout. On the public signing surface a cryptographic proof-of-work is used in place of a visual CAPTCHA, because a visual puzzle excludes the branch customers the accessibility requirement protects; MMBL's WAF provides CAPTCHA at the edge where it does not affect that population.</w:t>
            </w:r>
          </w:p>
        </w:tc>
      </w:tr>
      <w:tr>
        <w:tc>
          <w:tcPr>
            <w:tcW w:type="dxa" w:w="1656"/>
          </w:tcPr>
          <w:p>
            <w:r/>
            <w:r>
              <w:rPr>
                <w:sz w:val="17"/>
              </w:rPr>
            </w:r>
          </w:p>
        </w:tc>
        <w:tc>
          <w:tcPr>
            <w:tcW w:type="dxa" w:w="4392"/>
          </w:tcPr>
          <w:p>
            <w:r/>
            <w:r>
              <w:rPr>
                <w:sz w:val="17"/>
              </w:rPr>
              <w:t>Secure error handling ensuring no sensitive information is exposed in error messages or stack traces.</w:t>
            </w:r>
          </w:p>
        </w:tc>
        <w:tc>
          <w:tcPr>
            <w:tcW w:type="dxa" w:w="2088"/>
          </w:tcPr>
          <w:p>
            <w:r/>
            <w:r>
              <w:rPr>
                <w:sz w:val="17"/>
              </w:rPr>
              <w:t>Error handling controls</w:t>
            </w:r>
          </w:p>
        </w:tc>
        <w:tc>
          <w:tcPr>
            <w:tcW w:type="dxa" w:w="5976"/>
          </w:tcPr>
          <w:p>
            <w:r/>
            <w:r>
              <w:rPr>
                <w:sz w:val="17"/>
              </w:rPr>
              <w:t>Yes — errors return a safe message with a correlation identifier; stack traces and internal detail go to the log, never to the response. Authentication failures are deliberately indistinguishable, so a response cannot be used to enumerate valid accounts.</w:t>
            </w:r>
          </w:p>
        </w:tc>
      </w:tr>
      <w:tr>
        <w:tc>
          <w:tcPr>
            <w:tcW w:type="dxa" w:w="1656"/>
          </w:tcPr>
          <w:p>
            <w:r/>
            <w:r>
              <w:rPr>
                <w:sz w:val="17"/>
              </w:rPr>
            </w:r>
          </w:p>
        </w:tc>
        <w:tc>
          <w:tcPr>
            <w:tcW w:type="dxa" w:w="4392"/>
          </w:tcPr>
          <w:p>
            <w:r/>
            <w:r>
              <w:rPr>
                <w:sz w:val="17"/>
              </w:rPr>
              <w:t>Confirmation that no hardcoded credentials, keys, or secrets exist within the portal codebase.</w:t>
            </w:r>
          </w:p>
        </w:tc>
        <w:tc>
          <w:tcPr>
            <w:tcW w:type="dxa" w:w="2088"/>
          </w:tcPr>
          <w:p>
            <w:r/>
            <w:r>
              <w:rPr>
                <w:sz w:val="17"/>
              </w:rPr>
              <w:t>Secure secrets management</w:t>
            </w:r>
          </w:p>
        </w:tc>
        <w:tc>
          <w:tcPr>
            <w:tcW w:type="dxa" w:w="5976"/>
          </w:tcPr>
          <w:p>
            <w:r/>
            <w:r>
              <w:rPr>
                <w:sz w:val="17"/>
              </w:rPr>
              <w:t>Yes — secret scanning gates every build and fails it on a finding, so this is enforced continuously rather than confirmed once. Secrets are supplied by environment or by MMBL's secret store, and cryptographic keys are held encrypted or in the hardware security module.</w:t>
            </w:r>
          </w:p>
        </w:tc>
      </w:tr>
      <w:tr>
        <w:tc>
          <w:tcPr>
            <w:tcW w:type="dxa" w:w="1656"/>
          </w:tcPr>
          <w:p>
            <w:r/>
            <w:r>
              <w:rPr>
                <w:sz w:val="17"/>
              </w:rPr>
            </w:r>
          </w:p>
        </w:tc>
        <w:tc>
          <w:tcPr>
            <w:tcW w:type="dxa" w:w="4392"/>
          </w:tcPr>
          <w:p>
            <w:r/>
            <w:r>
              <w:rPr>
                <w:sz w:val="17"/>
              </w:rPr>
              <w:t>Support for periodic security reviews and code reviews by the organization or authorized third parties.</w:t>
            </w:r>
          </w:p>
        </w:tc>
        <w:tc>
          <w:tcPr>
            <w:tcW w:type="dxa" w:w="2088"/>
          </w:tcPr>
          <w:p>
            <w:r/>
            <w:r>
              <w:rPr>
                <w:sz w:val="17"/>
              </w:rPr>
              <w:t>Review and audit support</w:t>
            </w:r>
          </w:p>
        </w:tc>
        <w:tc>
          <w:tcPr>
            <w:tcW w:type="dxa" w:w="5976"/>
          </w:tcPr>
          <w:p>
            <w:r/>
            <w:r>
              <w:rPr>
                <w:sz w:val="17"/>
              </w:rPr>
              <w:t>Yes — source code is made available for review under NDA, with the design rationale recorded alongside the code it governs so a reviewer can follow the reasoning rather than reverse-engineer it.</w:t>
            </w:r>
          </w:p>
        </w:tc>
      </w:tr>
      <w:tr>
        <w:tc>
          <w:tcPr>
            <w:tcW w:type="dxa" w:w="1656"/>
          </w:tcPr>
          <w:p>
            <w:r/>
            <w:r>
              <w:rPr>
                <w:sz w:val="17"/>
              </w:rPr>
              <w:t>Hosting &amp; Data Residency</w:t>
            </w:r>
          </w:p>
        </w:tc>
        <w:tc>
          <w:tcPr>
            <w:tcW w:type="dxa" w:w="4392"/>
          </w:tcPr>
          <w:p>
            <w:r/>
            <w:r>
              <w:rPr>
                <w:sz w:val="17"/>
              </w:rPr>
              <w:t>On-premises hosting only; no SaaS or foreign-hosted deployment. All MMBL data – contract content, signatory PII, cryptographic key material, and audit logs – must remain within the territory of Pakistan at all times.</w:t>
            </w:r>
          </w:p>
        </w:tc>
        <w:tc>
          <w:tcPr>
            <w:tcW w:type="dxa" w:w="2088"/>
          </w:tcPr>
          <w:p>
            <w:r/>
            <w:r>
              <w:rPr>
                <w:sz w:val="17"/>
              </w:rPr>
              <w:t>Hosting &amp; data residency statement</w:t>
            </w:r>
          </w:p>
        </w:tc>
        <w:tc>
          <w:tcPr>
            <w:tcW w:type="dxa" w:w="5976"/>
          </w:tcPr>
          <w:p>
            <w:r/>
            <w:r>
              <w:rPr>
                <w:sz w:val="17"/>
              </w:rPr>
              <w:t>Yes — enforced by the software, not by policy. Every configured endpoint is resolved at start-up and checked against a permitted-network allowlist; one outside it stops the application from starting rather than raising a warning somebody dismisses. The check is written to the audit trail at every boot, so residency can be evidenced for any given date. No component requires a foreign-hosted service to function.</w:t>
            </w:r>
          </w:p>
        </w:tc>
      </w:tr>
      <w:tr>
        <w:tc>
          <w:tcPr>
            <w:tcW w:type="dxa" w:w="1656"/>
          </w:tcPr>
          <w:p>
            <w:r/>
            <w:r>
              <w:rPr>
                <w:sz w:val="17"/>
              </w:rPr>
              <w:t>PKI / Certificate Management</w:t>
            </w:r>
          </w:p>
        </w:tc>
        <w:tc>
          <w:tcPr>
            <w:tcW w:type="dxa" w:w="4392"/>
          </w:tcPr>
          <w:p>
            <w:r/>
            <w:r>
              <w:rPr>
                <w:sz w:val="17"/>
              </w:rPr>
              <w:t>HSM-protected key generation and storage (FIPS 140-2 Level 3 or higher) for all CA private keys; per-signatory non-shared certificates; sworn undertaking that the PKI/eSignature solution is not open-source or foreign, supported by a Software Bill of Materials (SBOM).</w:t>
            </w:r>
          </w:p>
        </w:tc>
        <w:tc>
          <w:tcPr>
            <w:tcW w:type="dxa" w:w="2088"/>
          </w:tcPr>
          <w:p>
            <w:r/>
            <w:r>
              <w:rPr>
                <w:sz w:val="17"/>
              </w:rPr>
              <w:t>PKI architecture &amp; SBOM</w:t>
            </w:r>
          </w:p>
        </w:tc>
        <w:tc>
          <w:tcPr>
            <w:tcW w:type="dxa" w:w="5976"/>
          </w:tcPr>
          <w:p>
            <w:r/>
            <w:r>
              <w:rPr>
                <w:sz w:val="17"/>
              </w:rPr>
              <w:t>Yes, with one clarification requested. Keys are generated inside the hardware security module and marked non-extractable, so "the private key never leaves the HSM" is enforced by the device rather than promised by software; no export method exists in the interface. Each signatory signs with their own certificate and key — never a shared organisational one. A signed CycloneDX SBOM accompanies every release. The clarification: the certificate authority, registration authority, lifecycle, revocation list and OCSP responder are our own implementation, and the PKI is domestic and MMBL-operated. One component — the library that embeds the signature into the PDF byte range, which never receives a private key — is an open-source library under a permissive licence. We are ready to give the undertaking on that basis and ask MMBL to confirm the wording accommodates it, rather than sign an undertaking whose literal reading we could not meet.</w:t>
            </w:r>
          </w:p>
        </w:tc>
      </w:tr>
    </w:tbl>
    <w:p>
      <w:pPr>
        <w:spacing w:after="80"/>
      </w:pPr>
    </w:p>
    <w:tbl>
      <w:tblPr>
        <w:tblStyle w:val="TableGrid"/>
        <w:tblW w:type="auto" w:w="0"/>
        <w:tblLook w:firstColumn="1" w:firstRow="1" w:lastColumn="0" w:lastRow="0" w:noHBand="0" w:noVBand="1" w:val="04A0"/>
      </w:tblPr>
      <w:tblGrid>
        <w:gridCol w:w="13104"/>
      </w:tblGrid>
      <w:tr>
        <w:tc>
          <w:tcPr>
            <w:tcW w:type="dxa" w:w="13104"/>
            <w:shd w:val="clear" w:fill="F7EFDC"/>
          </w:tcPr>
          <w:p>
            <w:r/>
            <w:r>
              <w:rPr>
                <w:b/>
                <w:color w:val="7D5807"/>
                <w:sz w:val="16"/>
              </w:rPr>
              <w:t>NOTE</w:t>
            </w:r>
          </w:p>
          <w:p>
            <w:pPr>
              <w:spacing w:after="40"/>
            </w:pPr>
            <w:r>
              <w:rPr>
                <w:sz w:val="19"/>
              </w:rPr>
              <w:t>Two rows are answered by the bidding entity rather than by the solution — security certifications and the sub-contractor list are facts about the delivery organisation, and a third concerns the bidder's own mail domain. All three are completed in the commercial response.</w:t>
            </w:r>
          </w:p>
        </w:tc>
      </w:tr>
    </w:tbl>
    <w:p>
      <w:pPr>
        <w:spacing w:after="120"/>
      </w:pPr>
    </w:p>
    <w:p/>
    <w:p>
      <w:pPr>
        <w:jc w:val="left"/>
      </w:pPr>
      <w:r>
        <w:rPr>
          <w:i/>
          <w:color w:val="6D7A72"/>
          <w:sz w:val="18"/>
        </w:rPr>
        <w:t>Mobilink Microfinance Bank — Contract Lifecycle Management. Submitted as part of the technical proposal.</w:t>
      </w:r>
    </w:p>
    <w:sectPr w:rsidR="00FC693F" w:rsidRPr="0006063C" w:rsidSect="00034616">
      <w:pgSz w:w="15840" w:h="12240" w:orient="landscape"/>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