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 w:val="0"/>
          <w:color w:val="0D5741"/>
          <w:sz w:val="18"/>
        </w:rPr>
        <w:t>ANNEXURE ITEM 5 · MOBILINK MICROFINANCE BANK · CONTRACT LIFECYCLE MANAGEMENT</w:t>
      </w:r>
    </w:p>
    <w:p>
      <w:pPr>
        <w:spacing w:after="200"/>
      </w:pPr>
      <w:r>
        <w:rPr>
          <w:b/>
          <w:color w:val="151D19"/>
          <w:sz w:val="52"/>
        </w:rPr>
        <w:t>Licensing and Open-Source Inventory</w:t>
      </w:r>
    </w:p>
    <w:p>
      <w:pPr>
        <w:spacing w:after="320"/>
      </w:pPr>
      <w:r>
        <w:rPr>
          <w:i w:val="0"/>
          <w:color w:val="4A564F"/>
          <w:sz w:val="24"/>
        </w:rPr>
        <w:t>Licence model, third-party components and known advisories</w:t>
      </w:r>
    </w:p>
    <w:p>
      <w:pPr>
        <w:spacing w:after="280"/>
      </w:pPr>
      <w:r>
        <w:rPr>
          <w:b w:val="0"/>
        </w:rPr>
        <w:t xml:space="preserve">What the bank licenses, what it owns, and every third-party component with its licence. Known advisories are </w:t>
      </w:r>
      <w:r>
        <w:rPr>
          <w:b/>
        </w:rPr>
        <w:t>listed rather than omitted</w:t>
      </w:r>
      <w:r>
        <w:rPr>
          <w:b w:val="0"/>
        </w:rPr>
        <w:t xml:space="preserve"> — a clean inventory that hides an advisory fails the first audit that runs a scanner of its own.</w:t>
      </w:r>
    </w:p>
    <w:p>
      <w:r>
        <w:rPr>
          <w:b/>
        </w:rPr>
        <w:t>Annexure item 5.</w:t>
      </w:r>
      <w:r>
        <w:rPr>
          <w:b w:val="0"/>
        </w:rPr>
        <w:t xml:space="preserve"> Licensing details for the database, APIs and every third-party component.</w:t>
      </w:r>
    </w:p>
    <w:p>
      <w:r>
        <w:rPr>
          <w:b w:val="0"/>
        </w:rPr>
        <w:t xml:space="preserve">Two things this document does that a component list usually does not: it separates </w:t>
      </w:r>
      <w:r>
        <w:rPr>
          <w:b/>
        </w:rPr>
        <w:t>what MMBL must license</w:t>
      </w:r>
      <w:r>
        <w:rPr>
          <w:b w:val="0"/>
        </w:rPr>
        <w:t xml:space="preserve"> from </w:t>
      </w:r>
      <w:r>
        <w:rPr>
          <w:b/>
        </w:rPr>
        <w:t>what is included</w:t>
      </w:r>
      <w:r>
        <w:rPr>
          <w:b w:val="0"/>
        </w:rPr>
        <w:t>, and it flags the components whose licence has a commercial consequence rather than presenting a flat inventory in which MIT and AGPL look alike.</w:t>
      </w:r>
    </w:p>
    <w:p>
      <w:r>
        <w:rPr>
          <w:b w:val="0"/>
        </w:rPr>
        <w:t>A machine-readable SBOM in CycloneDX format is generated on every build and submitted alongside this document. This is the human-readable summary.</w:t>
      </w:r>
    </w:p>
    <w:p>
      <w:pPr>
        <w:pStyle w:val="Heading1"/>
      </w:pPr>
      <w:r>
        <w:t>1. What MMBL licenses</w:t>
      </w:r>
    </w:p>
    <w:p>
      <w:r>
        <w:rPr>
          <w:b w:val="0"/>
        </w:rPr>
        <w:t>These are excluded from our scope (see §1 of the Scope &amp; Technical Specification) and are the bank's to procure.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7"/>
              </w:rPr>
              <w:t>Why it is MMBL's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Oracle Database — 19c or later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Runs on MMBL infrastructure, sized to MMBL's estate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Licensed per processor or by named user, and typically already held under the bank's existing agreement. Enterprise Edition is not required — the solution uses no Enterprise-only feature. See §7.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Operating systems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MMBL platform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Oracle Linux, RHEL or Windows Server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Kubernetes platform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MMBL platform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Any conformant distribution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HSM — appliance and firmware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Hardware, plus FIPS validation MMBL relies on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Thales, Utimaco or Entrust. Per-device licensing varies by vendor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Entra ID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Existing MMBL identity estate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SAML/OIDC and SCIM are standard features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Kong API Gateway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MMBL edge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Community edition suffices; Enterprise only if MMBL wants its own features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SIEM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Existing MMBL tooling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We emit CEF over syslog; any collector accepts it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SMS gateway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Commercial arrangement with a Pakistani provider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Per-message pricing is MMBL's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Mail relay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Existing MMBL infrastructure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Enterprise backup — Veeam, Commvault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Existing MMBL tooling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Integrates at the storage layer; no application agent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Antivirus — ClamAV or equivalent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ClamAV is GPL and free; a commercial scanner is MMBL's choice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We speak the ICAP/INSTREAM protocol</w:t>
            </w:r>
          </w:p>
        </w:tc>
      </w:tr>
    </w:tbl>
    <w:p>
      <w:pPr>
        <w:spacing w:after="80"/>
      </w:pPr>
    </w:p>
    <w:p>
      <w:pPr>
        <w:pStyle w:val="Heading1"/>
      </w:pPr>
      <w:r>
        <w:t>2. What is included</w:t>
      </w:r>
    </w:p>
    <w:p>
      <w:r>
        <w:rPr>
          <w:b w:val="0"/>
        </w:rPr>
        <w:t>The application itself, all source code, and the right to use, modify and deploy it within MMBL, under the terms of the commercial agreement. No per-user, per-agreement or per-signature fee is charged by us.</w:t>
      </w:r>
    </w:p>
    <w:p>
      <w:r>
        <w:rPr>
          <w:b/>
        </w:rPr>
        <w:t>No runtime component calls a hosted service.</w:t>
      </w:r>
      <w:r>
        <w:rPr>
          <w:b w:val="0"/>
        </w:rPr>
        <w:t xml:space="preserve"> There is no metered API, no per-seat SaaS dependency, and nothing that stops working if a subscription lapses. That is a consequence of the on-prem requirement and it is also what makes the licence position simple.</w:t>
      </w:r>
    </w:p>
    <w:p>
      <w:pPr>
        <w:pStyle w:val="Heading1"/>
      </w:pPr>
      <w:r>
        <w:t>3. Open-source components — backend</w:t>
      </w:r>
    </w:p>
    <w:p>
      <w:r>
        <w:rPr>
          <w:b w:val="0"/>
        </w:rPr>
        <w:t>All permissive. None imposes an obligation on MMBL beyond attribution.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7"/>
              </w:rPr>
              <w:t>Licence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FastAPI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0.115.5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HTTP framework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Uvicorn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0.32.1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BSD-3-Clause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ASGI server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SQLAlchemy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2.0.36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Data access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Alembic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1.14.0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Schema migrations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Pydantic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2.10.3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Validation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oracledb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2.5.1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Apache-2.0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Oracle Database driver — thin mode, no Oracle Client installation required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PyJWT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2.10.1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Token encoding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bcrypt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4.2.1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Apache-2.0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Password hashing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pyotp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2.9.0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TOTP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Celery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5.4.0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BSD-3-Clause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Background jobs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Redis (client)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5.2.1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Queue and rate-limit client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boto3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1.35.71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Apache-2.0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S3-compatible storage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ReportLab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4.2.5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BSD-3-Clause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PDF generation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pypdf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5.1.0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BSD-3-Clause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PDF manipulation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openpyxl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3.1.5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XLSX export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python-docx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1.1.2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Word round-trip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cryptography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43.0.1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Apache-2.0 / BSD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Cryptographic primitives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prometheus-client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0.21.1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Apache-2.0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Metrics</w:t>
            </w:r>
          </w:p>
        </w:tc>
      </w:tr>
    </w:tbl>
    <w:p>
      <w:pPr>
        <w:spacing w:after="80"/>
      </w:pPr>
    </w:p>
    <w:p>
      <w:pPr>
        <w:pStyle w:val="Heading2"/>
      </w:pPr>
      <w:r>
        <w:t>Optional extras, installed only when the feature is configured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7"/>
              </w:rPr>
              <w:t>Licence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7"/>
              </w:rPr>
              <w:t>Activated by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pyHanko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SIGNING_PROVIDER=pki or pades — PDF signature embedding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python-pkcs11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KEYSTORE_PROVIDER=pkcs11 — HSM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signxml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Apache-2.0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SAML SSO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webauthn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BSD-3-Clause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Passkeys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OpenTelemetry SDK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Apache-2.0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OTEL_ENABLED=true</w:t>
            </w:r>
          </w:p>
        </w:tc>
      </w:tr>
    </w:tbl>
    <w:p>
      <w:pPr>
        <w:spacing w:after="80"/>
      </w:pPr>
    </w:p>
    <w:p>
      <w:pPr>
        <w:pStyle w:val="Heading1"/>
      </w:pPr>
      <w:r>
        <w:t>4. The one component that needs a sentence rather than a row</w:t>
      </w:r>
    </w:p>
    <w:p>
      <w:r>
        <w:rPr>
          <w:b/>
        </w:rPr>
        <w:t>There is no copyleft component in the deployed set.</w:t>
      </w:r>
      <w:r>
        <w:rPr>
          <w:b w:val="0"/>
        </w:rPr>
        <w:t xml:space="preserve"> Every component listed above is under a permissive licence — MIT, BSD, Apache-2.0 or equivalent — which imposes attribution obligations and nothing further. The Oracle driver is Apache-2.0 and runs in thin mode, so no Oracle Instant Client is installed on the application servers and no client-side licensing question arises. One component is worth a sentence anyway, and it is a contractual point rather than a licensing one.</w:t>
      </w:r>
    </w:p>
    <w:p>
      <w:r>
        <w:rPr>
          <w:b/>
        </w:rPr>
        <w:t>pyHanko — MIT, and the reason for the Annexure item 11 question.</w:t>
      </w:r>
      <w:r>
        <w:rPr>
          <w:b w:val="0"/>
        </w:rPr>
        <w:t xml:space="preserve"> It performs PDF signature embedding: reserving a byte range, hashing around it, writing the signature in. It is MIT licensed, imposes no obligation, and </w:t>
      </w:r>
      <w:r>
        <w:rPr>
          <w:b/>
        </w:rPr>
        <w:t>never receives a private key</w:t>
      </w:r>
      <w:r>
        <w:rPr>
          <w:b w:val="0"/>
        </w:rPr>
        <w:t xml:space="preserve"> — it is handed a digest to sign.</w:t>
      </w:r>
    </w:p>
    <w:p>
      <w:r>
        <w:rPr>
          <w:b w:val="0"/>
        </w:rPr>
        <w:t xml:space="preserve">The licence is not the issue. The issue is that Annexure item 11 requires an undertaking that the PKI and eSignature engine is proprietary and not an open-source derivative. Our CA, RA, lifecycle, CRL and OCSP responder are our own implementation; this one component is not. Whether that composition satisfies the undertaking as drafted is a question for MMBL's counsel and ours, and it is tracked as </w:t>
      </w:r>
      <w:r>
        <w:rPr>
          <w:b/>
        </w:rPr>
        <w:t>R-05</w:t>
      </w:r>
      <w:r>
        <w:rPr>
          <w:b w:val="0"/>
        </w:rPr>
        <w:t xml:space="preserve"> in the Risk Mitigation Strategy. It is raised at submission rather than discovered at signature.</w:t>
      </w:r>
    </w:p>
    <w:p>
      <w:pPr>
        <w:pStyle w:val="Heading1"/>
      </w:pPr>
      <w:r>
        <w:t>5. Open-source components —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7"/>
              </w:rPr>
              <w:t>Licence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Next.js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14.2.35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Application framework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React / React-DOM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18.3.1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UI runtime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TypeScript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5.6.3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Apache-2.0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Type checking (build only)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Tailwind CSS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3.4.14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Styling (build only)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Tiptap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2.10.3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Rich-text editor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lucide-react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0.460.0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ISC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Icons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sz w:val="17"/>
              </w:rPr>
              <w:t>clsx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2.1.1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MIT</w:t>
            </w:r>
          </w:p>
        </w:tc>
        <w:tc>
          <w:tcPr>
            <w:tcW w:type="dxa" w:w="2376"/>
          </w:tcPr>
          <w:p>
            <w:r/>
            <w:r>
              <w:rPr>
                <w:sz w:val="17"/>
              </w:rPr>
              <w:t>Class composition</w:t>
            </w:r>
          </w:p>
        </w:tc>
      </w:tr>
    </w:tbl>
    <w:p>
      <w:pPr>
        <w:spacing w:after="80"/>
      </w:pPr>
    </w:p>
    <w:p>
      <w:r>
        <w:rPr>
          <w:b/>
        </w:rPr>
        <w:t>One open advisory, named rather than omitted.</w:t>
      </w:r>
      <w:r>
        <w:rPr>
          <w:b w:val="0"/>
        </w:rPr>
        <w:t xml:space="preserve"> npm audit reports high-severity advisories against Next.js 14.2.35. There is no patched 14.x — that is the last of the line — so the only remediation is a major upgrade to Next 16, planned with its own regression cycle rather than performed hastily mid-delivery. The affected surfaces (image optimiser, middleware rewrites) are not exposed directly to the internet in this deployment; the application sits behind MMBL's WAF. Tracked as </w:t>
      </w:r>
      <w:r>
        <w:rPr>
          <w:b/>
        </w:rPr>
        <w:t>R-15</w:t>
      </w:r>
      <w:r>
        <w:rPr>
          <w:b w:val="0"/>
        </w:rPr>
        <w:t>.</w:t>
      </w:r>
    </w:p>
    <w:p>
      <w:pPr>
        <w:pStyle w:val="Heading1"/>
      </w:pPr>
      <w:r>
        <w:t>6. Fonts and assets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/>
            <w:r>
              <w:rPr>
                <w:b/>
                <w:sz w:val="17"/>
              </w:rPr>
              <w:t>Asset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7"/>
              </w:rPr>
              <w:t>Licence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Inter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SIL OFL 1.1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Self-hosted, not fetched from a CDN</w:t>
            </w:r>
          </w:p>
        </w:tc>
      </w:tr>
    </w:tbl>
    <w:p>
      <w:pPr>
        <w:spacing w:after="80"/>
      </w:pPr>
    </w:p>
    <w:p>
      <w:r>
        <w:rPr>
          <w:b w:val="0"/>
        </w:rPr>
        <w:t>Web fonts are bundled rather than loaded from a font service. A CDN font request tells a third party which internal pages a bank employee opened, and when.</w:t>
      </w:r>
    </w:p>
    <w:p>
      <w:pPr>
        <w:pStyle w:val="Heading1"/>
      </w:pPr>
      <w:r>
        <w:t>7. Oracle Database — the licence position</w:t>
      </w:r>
    </w:p>
    <w:p>
      <w:r>
        <w:rPr>
          <w:b w:val="0"/>
        </w:rPr>
        <w:t xml:space="preserve">The solution is delivered on </w:t>
      </w:r>
      <w:r>
        <w:rPr>
          <w:b/>
        </w:rPr>
        <w:t>Oracle Database 19c or later</w:t>
      </w:r>
      <w:r>
        <w:rPr>
          <w:b w:val="0"/>
        </w:rPr>
        <w:t>, in line with the preference stated in RFP §4b. The licence is MMBL's, held under the bank's existing agreement, and is not part of this proposal's commercial scope.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7"/>
              </w:rPr>
              <w:t>Position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Edition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Standard Edition 2 is sufficient. No Enterprise-only feature is used — no partitioning option, no Advanced Security option, no In-Memory. Enterprise Edition brings operational benefits the bank may already rely on, but the solution does not require it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Metric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Per processor, or by named user plus, under MMBL's existing agreement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Workspace isolation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Oracle Virtual Private Database, applied to every workspace-scoped table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Encryption at rest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Oracle Transparent Data Encryption, enabled at the tablespace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Driver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oracledb in thin mode — Apache-2.0 licensed, and no Oracle Instant Client installation is required on the application servers, which removes a client-side licensing and packaging question entirely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Character set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AL32UTF8, required for Urdu content</w:t>
            </w:r>
          </w:p>
        </w:tc>
      </w:tr>
    </w:tbl>
    <w:p>
      <w:pPr>
        <w:spacing w:after="80"/>
      </w:pPr>
    </w:p>
    <w:p>
      <w:r>
        <w:rPr>
          <w:b/>
        </w:rPr>
        <w:t>Why the solution is not written against Oracle-specific SQL.</w:t>
      </w:r>
      <w:r>
        <w:rPr>
          <w:b w:val="0"/>
        </w:rPr>
        <w:t xml:space="preserve"> Every engine-specific construct — workspace isolation, session context, locking, JSON handling and full-text search — is confined to a single dialect layer, with one Oracle implementation behind a common interface. This matters for two reasons that are MMBL's rather than ours: the application logic above that layer is not coupled to a vendor, so a future platform decision is a configuration change rather than a rewrite; and the Oracle implementation is a small, reviewable surface that MMBL's DBA team can inspect in full rather than a vendor-specific idiom scattered through the codebase.</w:t>
      </w:r>
    </w:p>
    <w:p>
      <w:r>
        <w:rPr>
          <w:b/>
        </w:rPr>
        <w:t>Certification before data.</w:t>
      </w:r>
      <w:r>
        <w:rPr>
          <w:b w:val="0"/>
        </w:rPr>
        <w:t xml:space="preserve"> The first Oracle deployment is a named acceptance gate at M1: the complete schema migration, a cross-workspace isolation test proving Virtual Private Database refuses a read across the boundary, and a representative query workload — all run and signed off </w:t>
      </w:r>
      <w:r>
        <w:rPr>
          <w:b/>
        </w:rPr>
        <w:t>before any data is loaded</w:t>
      </w:r>
      <w:r>
        <w:rPr>
          <w:b w:val="0"/>
        </w:rPr>
        <w:t>. This is tracked as R-07 in the Risk Mitigation Strategy.</w:t>
      </w:r>
    </w:p>
    <w:p>
      <w:pPr>
        <w:pStyle w:val="Heading1"/>
      </w:pPr>
      <w:r>
        <w:t>8. Licence compliance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b/>
                <w:sz w:val="17"/>
              </w:rPr>
              <w:t>Control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7"/>
              </w:rPr>
              <w:t>Mechanism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Component inventory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CycloneDX SBOM generated on every build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Licence detection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Automated as part of dependency scanning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Copyleft detection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Flagged at build; no GPL or AGPL component is in the runtime set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Vulnerability tracking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pip-audit, safety, npm audit, Trivy — all gating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7"/>
              </w:rPr>
              <w:t>Attribution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A NOTICE file ships with the application listing every component and licence</w:t>
            </w:r>
          </w:p>
        </w:tc>
      </w:tr>
    </w:tbl>
    <w:p>
      <w:pPr>
        <w:spacing w:after="80"/>
      </w:pPr>
    </w:p>
    <w:p>
      <w:r>
        <w:rPr>
          <w:b/>
        </w:rPr>
        <w:t>No GPL or AGPL component is in the runtime set.</w:t>
      </w:r>
      <w:r>
        <w:rPr>
          <w:b w:val="0"/>
        </w:rPr>
        <w:t xml:space="preserve"> ClamAV is GPL but runs as a separate daemon MMBL operates, spoken to over a network protocol — it is not linked, and it is MMBL's to license or replace.</w:t>
      </w:r>
    </w:p>
    <w:p>
      <w:pPr>
        <w:pStyle w:val="Heading1"/>
      </w:pPr>
      <w:r>
        <w:t>9. Export and cryptography</w:t>
      </w:r>
    </w:p>
    <w:p>
      <w:r>
        <w:rPr>
          <w:b w:val="0"/>
        </w:rPr>
        <w:t>The application uses standard cryptographic primitives — AES, RSA, ECDSA, SHA-2 — through the cryptography library and, in production, an HSM. There is no proprietary cryptography.</w:t>
      </w:r>
    </w:p>
    <w:p>
      <w:r>
        <w:rPr>
          <w:b w:val="0"/>
        </w:rPr>
        <w:t>Pakistani import and use regulations for cryptographic software are MMBL's to satisfy as the operator. The deployment is entirely on-premises within Pakistan, so no cryptographic material crosses a border in operation.</w:t>
      </w:r>
    </w:p>
    <w:p/>
    <w:p>
      <w:pPr>
        <w:jc w:val="left"/>
      </w:pPr>
      <w:r>
        <w:rPr>
          <w:i/>
          <w:color w:val="6D7A72"/>
          <w:sz w:val="18"/>
        </w:rPr>
        <w:t>Mobilink Microfinance Bank — Contract Lifecycle Management. Submitted as part of the technical proposal.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51D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D57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D574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51D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