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ANNEXURE ITEM 4 · MOBILINK MICROFINANCE BANK · CONTRACT LIFECYCLE MANAGEMENT</w:t>
      </w:r>
    </w:p>
    <w:p>
      <w:pPr>
        <w:spacing w:after="200"/>
      </w:pPr>
      <w:r>
        <w:rPr>
          <w:b/>
          <w:color w:val="151D19"/>
          <w:sz w:val="52"/>
        </w:rPr>
        <w:t>Project Implementation Plan</w:t>
      </w:r>
    </w:p>
    <w:p>
      <w:pPr>
        <w:spacing w:after="320"/>
      </w:pPr>
      <w:r>
        <w:rPr>
          <w:i w:val="0"/>
          <w:color w:val="4A564F"/>
          <w:sz w:val="24"/>
        </w:rPr>
        <w:t>Milestones, dependencies and the commitments required from MMBL</w:t>
      </w:r>
    </w:p>
    <w:p>
      <w:pPr>
        <w:spacing w:after="280"/>
      </w:pPr>
      <w:r>
        <w:rPr>
          <w:b w:val="0"/>
        </w:rPr>
        <w:t xml:space="preserve">Six milestones over twelve weeks, with every dependency tracked — including the ones that are </w:t>
      </w:r>
      <w:r>
        <w:rPr>
          <w:b/>
        </w:rPr>
        <w:t>MMBL's to supply</w:t>
      </w:r>
      <w:r>
        <w:rPr>
          <w:b w:val="0"/>
        </w:rPr>
        <w:t>. A plan that hides what the customer owes is a plan that slips in week three for a reason nobody wrote down.</w:t>
      </w:r>
    </w:p>
    <w:p>
      <w:r>
        <w:rPr>
          <w:b/>
        </w:rPr>
        <w:t>Annexure item 4.</w:t>
      </w:r>
      <w:r>
        <w:rPr>
          <w:b w:val="0"/>
        </w:rPr>
        <w:t xml:space="preserve"> Delivery within the RFP's 2–3 month window, followed by two years of onsite support after go-live.</w:t>
      </w:r>
    </w:p>
    <w:p>
      <w:pPr>
        <w:pStyle w:val="Heading1"/>
      </w:pPr>
      <w:r>
        <w:t>1. Shape of the plan</w:t>
      </w:r>
    </w:p>
    <w:p>
      <w:r>
        <w:rPr>
          <w:b w:val="0"/>
        </w:rPr>
        <w:t xml:space="preserve">Twelve weeks, six milestones, four workstreams running in parallel. The plan is built around one observation: </w:t>
      </w:r>
      <w:r>
        <w:rPr>
          <w:b/>
        </w:rPr>
        <w:t>the critical path is not our engineering — it is MMBL's dependencies.</w:t>
      </w:r>
      <w:r>
        <w:rPr>
          <w:b w:val="0"/>
        </w:rPr>
        <w:t xml:space="preserve"> Eleven inputs are needed, most of them by week three, and a two-week slip on any of them consumes the float in a twelve-week window.</w:t>
      </w:r>
    </w:p>
    <w:p>
      <w:r>
        <w:rPr>
          <w:b w:val="0"/>
        </w:rPr>
        <w:t>The plan is therefore arranged so that construction continues while an integration waits. The software keystore, console email and local storage backend all let work proceed against a functioning system, and each is a one-line switch to the real thing when it arrives.</w:t>
      </w:r>
    </w:p>
    <w:p>
      <w:pPr>
        <w:pStyle w:val="Heading1"/>
      </w:pPr>
      <w:r>
        <w:t>2. Delivery schedule</w:t>
      </w:r>
    </w:p>
    <w:p>
      <w:pPr>
        <w:keepNext/>
        <w:spacing w:before="160" w:after="80"/>
        <w:jc w:val="center"/>
      </w:pPr>
      <w:r>
        <w:drawing>
          <wp:inline xmlns:a="http://schemas.openxmlformats.org/drawingml/2006/main" xmlns:pic="http://schemas.openxmlformats.org/drawingml/2006/picture">
            <wp:extent cx="6035040" cy="4145120"/>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6035040" cy="4145120"/>
                    </a:xfrm>
                    <a:prstGeom prst="rect"/>
                  </pic:spPr>
                </pic:pic>
              </a:graphicData>
            </a:graphic>
          </wp:inline>
        </w:drawing>
      </w:r>
    </w:p>
    <w:p>
      <w:r>
        <w:rPr>
          <w:b w:val="0"/>
        </w:rPr>
        <w:t>Figure 1 — Twelve weeks, six milestones and four parallel workstreams. The lower lane carries MMBL's inputs on the same time axis as the work they unblock, because the critical path runs through them rather than through our engineering.</w:t>
      </w:r>
    </w:p>
    <w:p>
      <w:r>
        <w:rPr>
          <w:b w:val="0"/>
        </w:rPr>
        <w:t>Three things the chart is drawn to make visible.</w:t>
      </w:r>
    </w:p>
    <w:p>
      <w:r>
        <w:rPr>
          <w:b/>
        </w:rPr>
        <w:t>The milestones overlap deliberately.</w:t>
      </w:r>
      <w:r>
        <w:rPr>
          <w:b w:val="0"/>
        </w:rPr>
        <w:t xml:space="preserve"> Configuration begins before environments are finished and migration begins before configuration is signed off, because a strictly sequential plan does not fit twelve weeks. The cost of that overlap is that a slip early does not simply move the end date, it compresses the milestone downstream — which is why the dependency dates in the lower lane are the ones to watch.</w:t>
      </w:r>
    </w:p>
    <w:p>
      <w:r>
        <w:rPr>
          <w:b/>
        </w:rPr>
        <w:t>Each gate is an acceptance, not a date passing.</w:t>
      </w:r>
      <w:r>
        <w:rPr>
          <w:b w:val="0"/>
        </w:rPr>
        <w:t xml:space="preserve"> A milestone that ends is not a milestone that is accepted. Every gate has exit criteria stated in §3, and passing it is a joint decision recorded at the time.</w:t>
      </w:r>
    </w:p>
    <w:p>
      <w:r>
        <w:rPr>
          <w:b/>
        </w:rPr>
        <w:t>The float is roughly one week, and it sits in weeks 6 to 8.</w:t>
      </w:r>
      <w:r>
        <w:rPr>
          <w:b w:val="0"/>
        </w:rPr>
        <w:t xml:space="preserve"> It is stated rather than hidden in the bars, so that when it is consumed both parties know it has been.</w:t>
      </w:r>
    </w:p>
    <w:p>
      <w:pPr>
        <w:pStyle w:val="Heading1"/>
      </w:pPr>
      <w:r>
        <w:t>3. Milestones</w:t>
      </w:r>
    </w:p>
    <w:p>
      <w:pPr>
        <w:pStyle w:val="Heading2"/>
      </w:pPr>
      <w:r>
        <w:t>M1 · Environments and integrations — weeks 1–3</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Task</w:t>
            </w:r>
          </w:p>
        </w:tc>
        <w:tc>
          <w:tcPr>
            <w:tcW w:type="dxa" w:w="3168"/>
          </w:tcPr>
          <w:p>
            <w:r/>
            <w:r>
              <w:rPr>
                <w:b/>
                <w:sz w:val="17"/>
              </w:rPr>
              <w:t>Owner</w:t>
            </w:r>
          </w:p>
        </w:tc>
        <w:tc>
          <w:tcPr>
            <w:tcW w:type="dxa" w:w="3168"/>
          </w:tcPr>
          <w:p>
            <w:r/>
            <w:r>
              <w:rPr>
                <w:b/>
                <w:sz w:val="17"/>
              </w:rPr>
              <w:t>Depends on</w:t>
            </w:r>
          </w:p>
        </w:tc>
      </w:tr>
      <w:tr>
        <w:tc>
          <w:tcPr>
            <w:tcW w:type="dxa" w:w="3168"/>
          </w:tcPr>
          <w:p>
            <w:r/>
            <w:r>
              <w:rPr>
                <w:sz w:val="17"/>
              </w:rPr>
              <w:t>Provision Dev, UAT and Production</w:t>
            </w:r>
          </w:p>
        </w:tc>
        <w:tc>
          <w:tcPr>
            <w:tcW w:type="dxa" w:w="3168"/>
          </w:tcPr>
          <w:p>
            <w:r/>
            <w:r>
              <w:rPr>
                <w:sz w:val="17"/>
              </w:rPr>
              <w:t>MMBL infra</w:t>
            </w:r>
          </w:p>
        </w:tc>
        <w:tc>
          <w:tcPr>
            <w:tcW w:type="dxa" w:w="3168"/>
          </w:tcPr>
          <w:p>
            <w:r/>
            <w:r>
              <w:rPr>
                <w:sz w:val="17"/>
              </w:rPr>
              <w:t>—</w:t>
            </w:r>
          </w:p>
        </w:tc>
      </w:tr>
      <w:tr>
        <w:tc>
          <w:tcPr>
            <w:tcW w:type="dxa" w:w="3168"/>
          </w:tcPr>
          <w:p>
            <w:r/>
            <w:r>
              <w:rPr>
                <w:sz w:val="17"/>
              </w:rPr>
              <w:t>Deploy the application to all three</w:t>
            </w:r>
          </w:p>
        </w:tc>
        <w:tc>
          <w:tcPr>
            <w:tcW w:type="dxa" w:w="3168"/>
          </w:tcPr>
          <w:p>
            <w:r/>
            <w:r>
              <w:rPr>
                <w:sz w:val="17"/>
              </w:rPr>
              <w:t>Us</w:t>
            </w:r>
          </w:p>
        </w:tc>
        <w:tc>
          <w:tcPr>
            <w:tcW w:type="dxa" w:w="3168"/>
          </w:tcPr>
          <w:p>
            <w:r/>
            <w:r>
              <w:rPr>
                <w:sz w:val="17"/>
              </w:rPr>
              <w:t>Environments</w:t>
            </w:r>
          </w:p>
        </w:tc>
      </w:tr>
      <w:tr>
        <w:tc>
          <w:tcPr>
            <w:tcW w:type="dxa" w:w="3168"/>
          </w:tcPr>
          <w:p>
            <w:r/>
            <w:r>
              <w:rPr>
                <w:sz w:val="17"/>
              </w:rPr>
              <w:t>Oracle acceptance gate — full migration suite plus cross-workspace isolation against a live instance</w:t>
            </w:r>
          </w:p>
        </w:tc>
        <w:tc>
          <w:tcPr>
            <w:tcW w:type="dxa" w:w="3168"/>
          </w:tcPr>
          <w:p>
            <w:r/>
            <w:r>
              <w:rPr>
                <w:sz w:val="17"/>
              </w:rPr>
              <w:t>Us</w:t>
            </w:r>
          </w:p>
        </w:tc>
        <w:tc>
          <w:tcPr>
            <w:tcW w:type="dxa" w:w="3168"/>
          </w:tcPr>
          <w:p>
            <w:r/>
            <w:r>
              <w:rPr>
                <w:sz w:val="17"/>
              </w:rPr>
              <w:t>Oracle instance, week 1</w:t>
            </w:r>
          </w:p>
        </w:tc>
      </w:tr>
      <w:tr>
        <w:tc>
          <w:tcPr>
            <w:tcW w:type="dxa" w:w="3168"/>
          </w:tcPr>
          <w:p>
            <w:r/>
            <w:r>
              <w:rPr>
                <w:sz w:val="17"/>
              </w:rPr>
              <w:t>Connect Entra ID (SAML/OIDC) and SCIM</w:t>
            </w:r>
          </w:p>
        </w:tc>
        <w:tc>
          <w:tcPr>
            <w:tcW w:type="dxa" w:w="3168"/>
          </w:tcPr>
          <w:p>
            <w:r/>
            <w:r>
              <w:rPr>
                <w:sz w:val="17"/>
              </w:rPr>
              <w:t>Us</w:t>
            </w:r>
          </w:p>
        </w:tc>
        <w:tc>
          <w:tcPr>
            <w:tcW w:type="dxa" w:w="3168"/>
          </w:tcPr>
          <w:p>
            <w:r/>
            <w:r>
              <w:rPr>
                <w:sz w:val="17"/>
              </w:rPr>
              <w:t>IdP metadata, reply URL, SCIM token</w:t>
            </w:r>
          </w:p>
        </w:tc>
      </w:tr>
      <w:tr>
        <w:tc>
          <w:tcPr>
            <w:tcW w:type="dxa" w:w="3168"/>
          </w:tcPr>
          <w:p>
            <w:r/>
            <w:r>
              <w:rPr>
                <w:sz w:val="17"/>
              </w:rPr>
              <w:t>Configure the API gateway</w:t>
            </w:r>
          </w:p>
        </w:tc>
        <w:tc>
          <w:tcPr>
            <w:tcW w:type="dxa" w:w="3168"/>
          </w:tcPr>
          <w:p>
            <w:r/>
            <w:r>
              <w:rPr>
                <w:sz w:val="17"/>
              </w:rPr>
              <w:t>MMBL + us</w:t>
            </w:r>
          </w:p>
        </w:tc>
        <w:tc>
          <w:tcPr>
            <w:tcW w:type="dxa" w:w="3168"/>
          </w:tcPr>
          <w:p>
            <w:r/>
            <w:r>
              <w:rPr>
                <w:sz w:val="17"/>
              </w:rPr>
              <w:t>Kong instance</w:t>
            </w:r>
          </w:p>
        </w:tc>
      </w:tr>
      <w:tr>
        <w:tc>
          <w:tcPr>
            <w:tcW w:type="dxa" w:w="3168"/>
          </w:tcPr>
          <w:p>
            <w:r/>
            <w:r>
              <w:rPr>
                <w:sz w:val="17"/>
              </w:rPr>
              <w:t>Connect the SIEM feed</w:t>
            </w:r>
          </w:p>
        </w:tc>
        <w:tc>
          <w:tcPr>
            <w:tcW w:type="dxa" w:w="3168"/>
          </w:tcPr>
          <w:p>
            <w:r/>
            <w:r>
              <w:rPr>
                <w:sz w:val="17"/>
              </w:rPr>
              <w:t>Us</w:t>
            </w:r>
          </w:p>
        </w:tc>
        <w:tc>
          <w:tcPr>
            <w:tcW w:type="dxa" w:w="3168"/>
          </w:tcPr>
          <w:p>
            <w:r/>
            <w:r>
              <w:rPr>
                <w:sz w:val="17"/>
              </w:rPr>
              <w:t>Collector endpoint, CEF format agreed</w:t>
            </w:r>
          </w:p>
        </w:tc>
      </w:tr>
      <w:tr>
        <w:tc>
          <w:tcPr>
            <w:tcW w:type="dxa" w:w="3168"/>
          </w:tcPr>
          <w:p>
            <w:r/>
            <w:r>
              <w:rPr>
                <w:sz w:val="17"/>
              </w:rPr>
              <w:t>Connect mail relay and SMS gateway</w:t>
            </w:r>
          </w:p>
        </w:tc>
        <w:tc>
          <w:tcPr>
            <w:tcW w:type="dxa" w:w="3168"/>
          </w:tcPr>
          <w:p>
            <w:r/>
            <w:r>
              <w:rPr>
                <w:sz w:val="17"/>
              </w:rPr>
              <w:t>Us</w:t>
            </w:r>
          </w:p>
        </w:tc>
        <w:tc>
          <w:tcPr>
            <w:tcW w:type="dxa" w:w="3168"/>
          </w:tcPr>
          <w:p>
            <w:r/>
            <w:r>
              <w:rPr>
                <w:sz w:val="17"/>
              </w:rPr>
              <w:t>Relay details, SMS account</w:t>
            </w:r>
          </w:p>
        </w:tc>
      </w:tr>
      <w:tr>
        <w:tc>
          <w:tcPr>
            <w:tcW w:type="dxa" w:w="3168"/>
          </w:tcPr>
          <w:p>
            <w:r/>
            <w:r>
              <w:rPr>
                <w:sz w:val="17"/>
              </w:rPr>
              <w:t>Connect the antivirus daemon</w:t>
            </w:r>
          </w:p>
        </w:tc>
        <w:tc>
          <w:tcPr>
            <w:tcW w:type="dxa" w:w="3168"/>
          </w:tcPr>
          <w:p>
            <w:r/>
            <w:r>
              <w:rPr>
                <w:sz w:val="17"/>
              </w:rPr>
              <w:t>Us</w:t>
            </w:r>
          </w:p>
        </w:tc>
        <w:tc>
          <w:tcPr>
            <w:tcW w:type="dxa" w:w="3168"/>
          </w:tcPr>
          <w:p>
            <w:r/>
            <w:r>
              <w:rPr>
                <w:sz w:val="17"/>
              </w:rPr>
              <w:t>Reachable ClamAV</w:t>
            </w:r>
          </w:p>
        </w:tc>
      </w:tr>
      <w:tr>
        <w:tc>
          <w:tcPr>
            <w:tcW w:type="dxa" w:w="3168"/>
          </w:tcPr>
          <w:p>
            <w:r/>
            <w:r>
              <w:rPr>
                <w:sz w:val="17"/>
              </w:rPr>
              <w:t>Initialise the HSM and perform the key ceremony</w:t>
            </w:r>
          </w:p>
        </w:tc>
        <w:tc>
          <w:tcPr>
            <w:tcW w:type="dxa" w:w="3168"/>
          </w:tcPr>
          <w:p>
            <w:r/>
            <w:r>
              <w:rPr>
                <w:sz w:val="17"/>
              </w:rPr>
              <w:t>MMBL + us, dual witness</w:t>
            </w:r>
          </w:p>
        </w:tc>
        <w:tc>
          <w:tcPr>
            <w:tcW w:type="dxa" w:w="3168"/>
          </w:tcPr>
          <w:p>
            <w:r/>
            <w:r>
              <w:rPr>
                <w:sz w:val="17"/>
              </w:rPr>
              <w:t>HSM on site</w:t>
            </w:r>
          </w:p>
        </w:tc>
      </w:tr>
    </w:tbl>
    <w:p>
      <w:pPr>
        <w:spacing w:after="80"/>
      </w:pPr>
    </w:p>
    <w:p>
      <w:r>
        <w:rPr>
          <w:b/>
        </w:rPr>
        <w:t>Exit:</w:t>
      </w:r>
      <w:r>
        <w:rPr>
          <w:b w:val="0"/>
        </w:rPr>
        <w:t xml:space="preserve"> a user authenticates through Entra ID, events reach the SIEM, and the CA hierarchy is provisioned with the root offline.</w:t>
      </w:r>
    </w:p>
    <w:p>
      <w:r>
        <w:rPr>
          <w:b/>
        </w:rPr>
        <w:t>Highest-risk milestone.</w:t>
      </w:r>
      <w:r>
        <w:rPr>
          <w:b w:val="0"/>
        </w:rPr>
        <w:t xml:space="preserve"> Nine of the eleven MMBL dependencies land here. The Oracle instance is requested in week one rather than week six: platform certification is the gate the whole delivery passes through (R-07), and finding a problem in week one is a correction while finding it in week eight is a re-plan.</w:t>
      </w:r>
    </w:p>
    <w:p>
      <w:pPr>
        <w:pStyle w:val="Heading2"/>
      </w:pPr>
      <w:r>
        <w:t>M2 · Configuration — weeks 3–6</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Task</w:t>
            </w:r>
          </w:p>
        </w:tc>
        <w:tc>
          <w:tcPr>
            <w:tcW w:type="dxa" w:w="4752"/>
          </w:tcPr>
          <w:p>
            <w:r/>
            <w:r>
              <w:rPr>
                <w:b/>
                <w:sz w:val="17"/>
              </w:rPr>
              <w:t>Owner</w:t>
            </w:r>
          </w:p>
        </w:tc>
      </w:tr>
      <w:tr>
        <w:tc>
          <w:tcPr>
            <w:tcW w:type="dxa" w:w="4752"/>
          </w:tcPr>
          <w:p>
            <w:r/>
            <w:r>
              <w:rPr>
                <w:sz w:val="17"/>
              </w:rPr>
              <w:t>Load approved templates and clause library</w:t>
            </w:r>
          </w:p>
        </w:tc>
        <w:tc>
          <w:tcPr>
            <w:tcW w:type="dxa" w:w="4752"/>
          </w:tcPr>
          <w:p>
            <w:r/>
            <w:r>
              <w:rPr>
                <w:sz w:val="17"/>
              </w:rPr>
              <w:t>MMBL Legal + us</w:t>
            </w:r>
          </w:p>
        </w:tc>
      </w:tr>
      <w:tr>
        <w:tc>
          <w:tcPr>
            <w:tcW w:type="dxa" w:w="4752"/>
          </w:tcPr>
          <w:p>
            <w:r/>
            <w:r>
              <w:rPr>
                <w:sz w:val="17"/>
              </w:rPr>
              <w:t>Configure playbook rules — required, prohibited, altered</w:t>
            </w:r>
          </w:p>
        </w:tc>
        <w:tc>
          <w:tcPr>
            <w:tcW w:type="dxa" w:w="4752"/>
          </w:tcPr>
          <w:p>
            <w:r/>
            <w:r>
              <w:rPr>
                <w:sz w:val="17"/>
              </w:rPr>
              <w:t>MMBL Legal</w:t>
            </w:r>
          </w:p>
        </w:tc>
      </w:tr>
      <w:tr>
        <w:tc>
          <w:tcPr>
            <w:tcW w:type="dxa" w:w="4752"/>
          </w:tcPr>
          <w:p>
            <w:r/>
            <w:r>
              <w:rPr>
                <w:sz w:val="17"/>
              </w:rPr>
              <w:t>Build approval workflows and the authority matrix</w:t>
            </w:r>
          </w:p>
        </w:tc>
        <w:tc>
          <w:tcPr>
            <w:tcW w:type="dxa" w:w="4752"/>
          </w:tcPr>
          <w:p>
            <w:r/>
            <w:r>
              <w:rPr>
                <w:sz w:val="17"/>
              </w:rPr>
              <w:t>MMBL business + us</w:t>
            </w:r>
          </w:p>
        </w:tc>
      </w:tr>
      <w:tr>
        <w:tc>
          <w:tcPr>
            <w:tcW w:type="dxa" w:w="4752"/>
          </w:tcPr>
          <w:p>
            <w:r/>
            <w:r>
              <w:rPr>
                <w:sz w:val="17"/>
              </w:rPr>
              <w:t>Map roles to real job functions; configure custom roles</w:t>
            </w:r>
          </w:p>
        </w:tc>
        <w:tc>
          <w:tcPr>
            <w:tcW w:type="dxa" w:w="4752"/>
          </w:tcPr>
          <w:p>
            <w:r/>
            <w:r>
              <w:rPr>
                <w:sz w:val="17"/>
              </w:rPr>
              <w:t>MMBL + us</w:t>
            </w:r>
          </w:p>
        </w:tc>
      </w:tr>
      <w:tr>
        <w:tc>
          <w:tcPr>
            <w:tcW w:type="dxa" w:w="4752"/>
          </w:tcPr>
          <w:p>
            <w:r/>
            <w:r>
              <w:rPr>
                <w:sz w:val="17"/>
              </w:rPr>
              <w:t>Configure retention, archival and legal-hold matters</w:t>
            </w:r>
          </w:p>
        </w:tc>
        <w:tc>
          <w:tcPr>
            <w:tcW w:type="dxa" w:w="4752"/>
          </w:tcPr>
          <w:p>
            <w:r/>
            <w:r>
              <w:rPr>
                <w:sz w:val="17"/>
              </w:rPr>
              <w:t>MMBL Compliance</w:t>
            </w:r>
          </w:p>
        </w:tc>
      </w:tr>
      <w:tr>
        <w:tc>
          <w:tcPr>
            <w:tcW w:type="dxa" w:w="4752"/>
          </w:tcPr>
          <w:p>
            <w:r/>
            <w:r>
              <w:rPr>
                <w:sz w:val="17"/>
              </w:rPr>
              <w:t>Configure notification templates and reminder schedules</w:t>
            </w:r>
          </w:p>
        </w:tc>
        <w:tc>
          <w:tcPr>
            <w:tcW w:type="dxa" w:w="4752"/>
          </w:tcPr>
          <w:p>
            <w:r/>
            <w:r>
              <w:rPr>
                <w:sz w:val="17"/>
              </w:rPr>
              <w:t>Us</w:t>
            </w:r>
          </w:p>
        </w:tc>
      </w:tr>
    </w:tbl>
    <w:p>
      <w:pPr>
        <w:spacing w:after="80"/>
      </w:pPr>
    </w:p>
    <w:p>
      <w:r>
        <w:rPr>
          <w:b/>
        </w:rPr>
        <w:t>Exit:</w:t>
      </w:r>
      <w:r>
        <w:rPr>
          <w:b w:val="0"/>
        </w:rPr>
        <w:t xml:space="preserve"> an agreement can be originated from a template, approved through the real workflow, and executed end to end in UAT.</w:t>
      </w:r>
    </w:p>
    <w:p>
      <w:r>
        <w:rPr>
          <w:b/>
        </w:rPr>
        <w:t>MMBL's content is the dependency here.</w:t>
      </w:r>
      <w:r>
        <w:rPr>
          <w:b w:val="0"/>
        </w:rPr>
        <w:t xml:space="preserve"> We can build the structure without it; we cannot validate the structure against content that does not exist.</w:t>
      </w:r>
    </w:p>
    <w:p>
      <w:pPr>
        <w:pStyle w:val="Heading2"/>
      </w:pPr>
      <w:r>
        <w:t>M3 · Data migration — weeks 5–8</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Task</w:t>
            </w:r>
          </w:p>
        </w:tc>
        <w:tc>
          <w:tcPr>
            <w:tcW w:type="dxa" w:w="4752"/>
          </w:tcPr>
          <w:p>
            <w:r/>
            <w:r>
              <w:rPr>
                <w:b/>
                <w:sz w:val="17"/>
              </w:rPr>
              <w:t>Owner</w:t>
            </w:r>
          </w:p>
        </w:tc>
      </w:tr>
      <w:tr>
        <w:tc>
          <w:tcPr>
            <w:tcW w:type="dxa" w:w="4752"/>
          </w:tcPr>
          <w:p>
            <w:r/>
            <w:r>
              <w:rPr>
                <w:sz w:val="17"/>
              </w:rPr>
              <w:t>Extract from source systems; profile the data</w:t>
            </w:r>
          </w:p>
        </w:tc>
        <w:tc>
          <w:tcPr>
            <w:tcW w:type="dxa" w:w="4752"/>
          </w:tcPr>
          <w:p>
            <w:r/>
            <w:r>
              <w:rPr>
                <w:sz w:val="17"/>
              </w:rPr>
              <w:t>MMBL data owner</w:t>
            </w:r>
          </w:p>
        </w:tc>
      </w:tr>
      <w:tr>
        <w:tc>
          <w:tcPr>
            <w:tcW w:type="dxa" w:w="4752"/>
          </w:tcPr>
          <w:p>
            <w:r/>
            <w:r>
              <w:rPr>
                <w:sz w:val="17"/>
              </w:rPr>
              <w:t>Map fields; agree the handling of gaps and duplicates</w:t>
            </w:r>
          </w:p>
        </w:tc>
        <w:tc>
          <w:tcPr>
            <w:tcW w:type="dxa" w:w="4752"/>
          </w:tcPr>
          <w:p>
            <w:r/>
            <w:r>
              <w:rPr>
                <w:sz w:val="17"/>
              </w:rPr>
              <w:t>Joint</w:t>
            </w:r>
          </w:p>
        </w:tc>
      </w:tr>
      <w:tr>
        <w:tc>
          <w:tcPr>
            <w:tcW w:type="dxa" w:w="4752"/>
          </w:tcPr>
          <w:p>
            <w:r/>
            <w:r>
              <w:rPr>
                <w:sz w:val="17"/>
              </w:rPr>
              <w:t>Trial load into UAT</w:t>
            </w:r>
          </w:p>
        </w:tc>
        <w:tc>
          <w:tcPr>
            <w:tcW w:type="dxa" w:w="4752"/>
          </w:tcPr>
          <w:p>
            <w:r/>
            <w:r>
              <w:rPr>
                <w:sz w:val="17"/>
              </w:rPr>
              <w:t>Us</w:t>
            </w:r>
          </w:p>
        </w:tc>
      </w:tr>
      <w:tr>
        <w:tc>
          <w:tcPr>
            <w:tcW w:type="dxa" w:w="4752"/>
          </w:tcPr>
          <w:p>
            <w:r/>
            <w:r>
              <w:rPr>
                <w:sz w:val="17"/>
              </w:rPr>
              <w:t>Reconcile against source counts</w:t>
            </w:r>
          </w:p>
        </w:tc>
        <w:tc>
          <w:tcPr>
            <w:tcW w:type="dxa" w:w="4752"/>
          </w:tcPr>
          <w:p>
            <w:r/>
            <w:r>
              <w:rPr>
                <w:sz w:val="17"/>
              </w:rPr>
              <w:t>Joint</w:t>
            </w:r>
          </w:p>
        </w:tc>
      </w:tr>
      <w:tr>
        <w:tc>
          <w:tcPr>
            <w:tcW w:type="dxa" w:w="4752"/>
          </w:tcPr>
          <w:p>
            <w:r/>
            <w:r>
              <w:rPr>
                <w:sz w:val="17"/>
              </w:rPr>
              <w:t>Correct, re-load, re-reconcile</w:t>
            </w:r>
          </w:p>
        </w:tc>
        <w:tc>
          <w:tcPr>
            <w:tcW w:type="dxa" w:w="4752"/>
          </w:tcPr>
          <w:p>
            <w:r/>
            <w:r>
              <w:rPr>
                <w:sz w:val="17"/>
              </w:rPr>
              <w:t>Us</w:t>
            </w:r>
          </w:p>
        </w:tc>
      </w:tr>
    </w:tbl>
    <w:p>
      <w:pPr>
        <w:spacing w:after="80"/>
      </w:pPr>
    </w:p>
    <w:p>
      <w:r>
        <w:rPr>
          <w:b/>
        </w:rPr>
        <w:t>Exit:</w:t>
      </w:r>
      <w:r>
        <w:rPr>
          <w:b w:val="0"/>
        </w:rPr>
        <w:t xml:space="preserve"> a reconciliation report accepted by the named data owner, variance under 0.5% or itemised and accepted in writing.</w:t>
      </w:r>
    </w:p>
    <w:p>
      <w:r>
        <w:rPr>
          <w:b w:val="0"/>
        </w:rPr>
        <w:t>Loading into UAT first means a mismatch costs a re-run rather than a rollback.</w:t>
      </w:r>
    </w:p>
    <w:p>
      <w:pPr>
        <w:pStyle w:val="Heading2"/>
      </w:pPr>
      <w:r>
        <w:t>M4 · Remaining scope and UAT — weeks 6–10</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Task</w:t>
            </w:r>
          </w:p>
        </w:tc>
        <w:tc>
          <w:tcPr>
            <w:tcW w:type="dxa" w:w="4752"/>
          </w:tcPr>
          <w:p>
            <w:r/>
            <w:r>
              <w:rPr>
                <w:b/>
                <w:sz w:val="17"/>
              </w:rPr>
              <w:t>Owner</w:t>
            </w:r>
          </w:p>
        </w:tc>
      </w:tr>
      <w:tr>
        <w:tc>
          <w:tcPr>
            <w:tcW w:type="dxa" w:w="4752"/>
          </w:tcPr>
          <w:p>
            <w:r/>
            <w:r>
              <w:rPr>
                <w:sz w:val="17"/>
              </w:rPr>
              <w:t>Deliver bulk send (BB-09)</w:t>
            </w:r>
          </w:p>
        </w:tc>
        <w:tc>
          <w:tcPr>
            <w:tcW w:type="dxa" w:w="4752"/>
          </w:tcPr>
          <w:p>
            <w:r/>
            <w:r>
              <w:rPr>
                <w:sz w:val="17"/>
              </w:rPr>
              <w:t>Us</w:t>
            </w:r>
          </w:p>
        </w:tc>
      </w:tr>
      <w:tr>
        <w:tc>
          <w:tcPr>
            <w:tcW w:type="dxa" w:w="4752"/>
          </w:tcPr>
          <w:p>
            <w:r/>
            <w:r>
              <w:rPr>
                <w:sz w:val="17"/>
              </w:rPr>
              <w:t>Prepare the UAT book and brief testers</w:t>
            </w:r>
          </w:p>
        </w:tc>
        <w:tc>
          <w:tcPr>
            <w:tcW w:type="dxa" w:w="4752"/>
          </w:tcPr>
          <w:p>
            <w:r/>
            <w:r>
              <w:rPr>
                <w:sz w:val="17"/>
              </w:rPr>
              <w:t>Us</w:t>
            </w:r>
          </w:p>
        </w:tc>
      </w:tr>
      <w:tr>
        <w:tc>
          <w:tcPr>
            <w:tcW w:type="dxa" w:w="4752"/>
          </w:tcPr>
          <w:p>
            <w:r/>
            <w:r>
              <w:rPr>
                <w:sz w:val="17"/>
              </w:rPr>
              <w:t>Execute UAT scripts</w:t>
            </w:r>
          </w:p>
        </w:tc>
        <w:tc>
          <w:tcPr>
            <w:tcW w:type="dxa" w:w="4752"/>
          </w:tcPr>
          <w:p>
            <w:r/>
            <w:r>
              <w:rPr>
                <w:sz w:val="17"/>
              </w:rPr>
              <w:t>MMBL business</w:t>
            </w:r>
          </w:p>
        </w:tc>
      </w:tr>
      <w:tr>
        <w:tc>
          <w:tcPr>
            <w:tcW w:type="dxa" w:w="4752"/>
          </w:tcPr>
          <w:p>
            <w:r/>
            <w:r>
              <w:rPr>
                <w:sz w:val="17"/>
              </w:rPr>
              <w:t>Triage and resolve defects</w:t>
            </w:r>
          </w:p>
        </w:tc>
        <w:tc>
          <w:tcPr>
            <w:tcW w:type="dxa" w:w="4752"/>
          </w:tcPr>
          <w:p>
            <w:r/>
            <w:r>
              <w:rPr>
                <w:sz w:val="17"/>
              </w:rPr>
              <w:t>Joint triage, we resolve</w:t>
            </w:r>
          </w:p>
        </w:tc>
      </w:tr>
      <w:tr>
        <w:tc>
          <w:tcPr>
            <w:tcW w:type="dxa" w:w="4752"/>
          </w:tcPr>
          <w:p>
            <w:r/>
            <w:r>
              <w:rPr>
                <w:sz w:val="17"/>
              </w:rPr>
              <w:t>Regression test each fix</w:t>
            </w:r>
          </w:p>
        </w:tc>
        <w:tc>
          <w:tcPr>
            <w:tcW w:type="dxa" w:w="4752"/>
          </w:tcPr>
          <w:p>
            <w:r/>
            <w:r>
              <w:rPr>
                <w:sz w:val="17"/>
              </w:rPr>
              <w:t>Us</w:t>
            </w:r>
          </w:p>
        </w:tc>
      </w:tr>
    </w:tbl>
    <w:p>
      <w:pPr>
        <w:spacing w:after="80"/>
      </w:pPr>
    </w:p>
    <w:p>
      <w:r>
        <w:rPr>
          <w:b/>
        </w:rPr>
        <w:t>Exit:</w:t>
      </w:r>
      <w:r>
        <w:rPr>
          <w:b w:val="0"/>
        </w:rPr>
        <w:t xml:space="preserve"> every script executed with a recorded result; no open S1 or S2 defects; sign-off by the MMBL business owner.</w:t>
      </w:r>
    </w:p>
    <w:p>
      <w:pPr>
        <w:pStyle w:val="Heading2"/>
      </w:pPr>
      <w:r>
        <w:t>M5 · Assurance — weeks 9–11</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Task</w:t>
            </w:r>
          </w:p>
        </w:tc>
        <w:tc>
          <w:tcPr>
            <w:tcW w:type="dxa" w:w="4752"/>
          </w:tcPr>
          <w:p>
            <w:r/>
            <w:r>
              <w:rPr>
                <w:b/>
                <w:sz w:val="17"/>
              </w:rPr>
              <w:t>Owner</w:t>
            </w:r>
          </w:p>
        </w:tc>
      </w:tr>
      <w:tr>
        <w:tc>
          <w:tcPr>
            <w:tcW w:type="dxa" w:w="4752"/>
          </w:tcPr>
          <w:p>
            <w:r/>
            <w:r>
              <w:rPr>
                <w:sz w:val="17"/>
              </w:rPr>
              <w:t>Load test — 100 concurrent users, one hour</w:t>
            </w:r>
          </w:p>
        </w:tc>
        <w:tc>
          <w:tcPr>
            <w:tcW w:type="dxa" w:w="4752"/>
          </w:tcPr>
          <w:p>
            <w:r/>
            <w:r>
              <w:rPr>
                <w:sz w:val="17"/>
              </w:rPr>
              <w:t>Us</w:t>
            </w:r>
          </w:p>
        </w:tc>
      </w:tr>
      <w:tr>
        <w:tc>
          <w:tcPr>
            <w:tcW w:type="dxa" w:w="4752"/>
          </w:tcPr>
          <w:p>
            <w:r/>
            <w:r>
              <w:rPr>
                <w:sz w:val="17"/>
              </w:rPr>
              <w:t>Soak test — a day's peak signature volume</w:t>
            </w:r>
          </w:p>
        </w:tc>
        <w:tc>
          <w:tcPr>
            <w:tcW w:type="dxa" w:w="4752"/>
          </w:tcPr>
          <w:p>
            <w:r/>
            <w:r>
              <w:rPr>
                <w:sz w:val="17"/>
              </w:rPr>
              <w:t>Us</w:t>
            </w:r>
          </w:p>
        </w:tc>
      </w:tr>
      <w:tr>
        <w:tc>
          <w:tcPr>
            <w:tcW w:type="dxa" w:w="4752"/>
          </w:tcPr>
          <w:p>
            <w:r/>
            <w:r>
              <w:rPr>
                <w:sz w:val="17"/>
              </w:rPr>
              <w:t>Latency verification — OCSP p95 &lt; 200 ms, search p95 &lt; 500 ms</w:t>
            </w:r>
          </w:p>
        </w:tc>
        <w:tc>
          <w:tcPr>
            <w:tcW w:type="dxa" w:w="4752"/>
          </w:tcPr>
          <w:p>
            <w:r/>
            <w:r>
              <w:rPr>
                <w:sz w:val="17"/>
              </w:rPr>
              <w:t>Us</w:t>
            </w:r>
          </w:p>
        </w:tc>
      </w:tr>
      <w:tr>
        <w:tc>
          <w:tcPr>
            <w:tcW w:type="dxa" w:w="4752"/>
          </w:tcPr>
          <w:p>
            <w:r/>
            <w:r>
              <w:rPr>
                <w:sz w:val="17"/>
              </w:rPr>
              <w:t>DR drill — restore within the 4-hour RTO, verified working</w:t>
            </w:r>
          </w:p>
        </w:tc>
        <w:tc>
          <w:tcPr>
            <w:tcW w:type="dxa" w:w="4752"/>
          </w:tcPr>
          <w:p>
            <w:r/>
            <w:r>
              <w:rPr>
                <w:sz w:val="17"/>
              </w:rPr>
              <w:t>MMBL infra + us</w:t>
            </w:r>
          </w:p>
        </w:tc>
      </w:tr>
      <w:tr>
        <w:tc>
          <w:tcPr>
            <w:tcW w:type="dxa" w:w="4752"/>
          </w:tcPr>
          <w:p>
            <w:r/>
            <w:r>
              <w:rPr>
                <w:sz w:val="17"/>
              </w:rPr>
              <w:t>Third-party VAPT</w:t>
            </w:r>
          </w:p>
        </w:tc>
        <w:tc>
          <w:tcPr>
            <w:tcW w:type="dxa" w:w="4752"/>
          </w:tcPr>
          <w:p>
            <w:r/>
            <w:r>
              <w:rPr>
                <w:sz w:val="17"/>
              </w:rPr>
              <w:t>MMBL's vendor</w:t>
            </w:r>
          </w:p>
        </w:tc>
      </w:tr>
      <w:tr>
        <w:tc>
          <w:tcPr>
            <w:tcW w:type="dxa" w:w="4752"/>
          </w:tcPr>
          <w:p>
            <w:r/>
            <w:r>
              <w:rPr>
                <w:sz w:val="17"/>
              </w:rPr>
              <w:t>Remediate findings to the patch SLA</w:t>
            </w:r>
          </w:p>
        </w:tc>
        <w:tc>
          <w:tcPr>
            <w:tcW w:type="dxa" w:w="4752"/>
          </w:tcPr>
          <w:p>
            <w:r/>
            <w:r>
              <w:rPr>
                <w:sz w:val="17"/>
              </w:rPr>
              <w:t>Us</w:t>
            </w:r>
          </w:p>
        </w:tc>
      </w:tr>
      <w:tr>
        <w:tc>
          <w:tcPr>
            <w:tcW w:type="dxa" w:w="4752"/>
          </w:tcPr>
          <w:p>
            <w:r/>
            <w:r>
              <w:rPr>
                <w:sz w:val="17"/>
              </w:rPr>
              <w:t>Audit chain verification across the migrated history</w:t>
            </w:r>
          </w:p>
        </w:tc>
        <w:tc>
          <w:tcPr>
            <w:tcW w:type="dxa" w:w="4752"/>
          </w:tcPr>
          <w:p>
            <w:r/>
            <w:r>
              <w:rPr>
                <w:sz w:val="17"/>
              </w:rPr>
              <w:t>Us</w:t>
            </w:r>
          </w:p>
        </w:tc>
      </w:tr>
    </w:tbl>
    <w:p>
      <w:pPr>
        <w:spacing w:after="80"/>
      </w:pPr>
    </w:p>
    <w:p>
      <w:r>
        <w:rPr>
          <w:b/>
        </w:rPr>
        <w:t>Exit:</w:t>
      </w:r>
      <w:r>
        <w:rPr>
          <w:b w:val="0"/>
        </w:rPr>
        <w:t xml:space="preserve"> performance, recovery and security reports accepted. </w:t>
      </w:r>
      <w:r>
        <w:rPr>
          <w:b/>
        </w:rPr>
        <w:t>Critical VAPT findings block go-live</w:t>
      </w:r>
      <w:r>
        <w:rPr>
          <w:b w:val="0"/>
        </w:rPr>
        <w:t xml:space="preserve"> — stated now so it is not negotiated later under schedule pressure.</w:t>
      </w:r>
    </w:p>
    <w:p>
      <w:pPr>
        <w:pStyle w:val="Heading2"/>
      </w:pPr>
      <w:r>
        <w:t>M6 · Training and go-live — weeks 10–12</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Task</w:t>
            </w:r>
          </w:p>
        </w:tc>
        <w:tc>
          <w:tcPr>
            <w:tcW w:type="dxa" w:w="4752"/>
          </w:tcPr>
          <w:p>
            <w:r/>
            <w:r>
              <w:rPr>
                <w:b/>
                <w:sz w:val="17"/>
              </w:rPr>
              <w:t>Owner</w:t>
            </w:r>
          </w:p>
        </w:tc>
      </w:tr>
      <w:tr>
        <w:tc>
          <w:tcPr>
            <w:tcW w:type="dxa" w:w="4752"/>
          </w:tcPr>
          <w:p>
            <w:r/>
            <w:r>
              <w:rPr>
                <w:sz w:val="17"/>
              </w:rPr>
              <w:t>Onsite training for ≥15 named resources</w:t>
            </w:r>
          </w:p>
        </w:tc>
        <w:tc>
          <w:tcPr>
            <w:tcW w:type="dxa" w:w="4752"/>
          </w:tcPr>
          <w:p>
            <w:r/>
            <w:r>
              <w:rPr>
                <w:sz w:val="17"/>
              </w:rPr>
              <w:t>Us</w:t>
            </w:r>
          </w:p>
        </w:tc>
      </w:tr>
      <w:tr>
        <w:tc>
          <w:tcPr>
            <w:tcW w:type="dxa" w:w="4752"/>
          </w:tcPr>
          <w:p>
            <w:r/>
            <w:r>
              <w:rPr>
                <w:sz w:val="17"/>
              </w:rPr>
              <w:t>Train-the-trainer for branch staff</w:t>
            </w:r>
          </w:p>
        </w:tc>
        <w:tc>
          <w:tcPr>
            <w:tcW w:type="dxa" w:w="4752"/>
          </w:tcPr>
          <w:p>
            <w:r/>
            <w:r>
              <w:rPr>
                <w:sz w:val="17"/>
              </w:rPr>
              <w:t>Us</w:t>
            </w:r>
          </w:p>
        </w:tc>
      </w:tr>
      <w:tr>
        <w:tc>
          <w:tcPr>
            <w:tcW w:type="dxa" w:w="4752"/>
          </w:tcPr>
          <w:p>
            <w:r/>
            <w:r>
              <w:rPr>
                <w:sz w:val="17"/>
              </w:rPr>
              <w:t>Production cutover</w:t>
            </w:r>
          </w:p>
        </w:tc>
        <w:tc>
          <w:tcPr>
            <w:tcW w:type="dxa" w:w="4752"/>
          </w:tcPr>
          <w:p>
            <w:r/>
            <w:r>
              <w:rPr>
                <w:sz w:val="17"/>
              </w:rPr>
              <w:t>Joint</w:t>
            </w:r>
          </w:p>
        </w:tc>
      </w:tr>
      <w:tr>
        <w:tc>
          <w:tcPr>
            <w:tcW w:type="dxa" w:w="4752"/>
          </w:tcPr>
          <w:p>
            <w:r/>
            <w:r>
              <w:rPr>
                <w:sz w:val="17"/>
              </w:rPr>
              <w:t>Hypercare — onsite floorwalking</w:t>
            </w:r>
          </w:p>
        </w:tc>
        <w:tc>
          <w:tcPr>
            <w:tcW w:type="dxa" w:w="4752"/>
          </w:tcPr>
          <w:p>
            <w:r/>
            <w:r>
              <w:rPr>
                <w:sz w:val="17"/>
              </w:rPr>
              <w:t>Us</w:t>
            </w:r>
          </w:p>
        </w:tc>
      </w:tr>
      <w:tr>
        <w:tc>
          <w:tcPr>
            <w:tcW w:type="dxa" w:w="4752"/>
          </w:tcPr>
          <w:p>
            <w:r/>
            <w:r>
              <w:rPr>
                <w:sz w:val="17"/>
              </w:rPr>
              <w:t>Transition to steady-state support</w:t>
            </w:r>
          </w:p>
        </w:tc>
        <w:tc>
          <w:tcPr>
            <w:tcW w:type="dxa" w:w="4752"/>
          </w:tcPr>
          <w:p>
            <w:r/>
            <w:r>
              <w:rPr>
                <w:sz w:val="17"/>
              </w:rPr>
              <w:t>Us</w:t>
            </w:r>
          </w:p>
        </w:tc>
      </w:tr>
    </w:tbl>
    <w:p>
      <w:pPr>
        <w:spacing w:after="80"/>
      </w:pPr>
    </w:p>
    <w:p>
      <w:r>
        <w:rPr>
          <w:b/>
        </w:rPr>
        <w:t>Exit:</w:t>
      </w:r>
      <w:r>
        <w:rPr>
          <w:b w:val="0"/>
        </w:rPr>
        <w:t xml:space="preserve"> production live, the training register complete, and the completion report showing at least fifteen people holding a valid certificate.</w:t>
      </w:r>
    </w:p>
    <w:p>
      <w:pPr>
        <w:pStyle w:val="Heading1"/>
      </w:pPr>
      <w:r>
        <w:t>4. Team</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Role</w:t>
            </w:r>
          </w:p>
        </w:tc>
        <w:tc>
          <w:tcPr>
            <w:tcW w:type="dxa" w:w="3168"/>
          </w:tcPr>
          <w:p>
            <w:r/>
            <w:r>
              <w:rPr>
                <w:b/>
                <w:sz w:val="17"/>
              </w:rPr>
              <w:t>Allocation</w:t>
            </w:r>
          </w:p>
        </w:tc>
        <w:tc>
          <w:tcPr>
            <w:tcW w:type="dxa" w:w="3168"/>
          </w:tcPr>
          <w:p>
            <w:r/>
            <w:r>
              <w:rPr>
                <w:b/>
                <w:sz w:val="17"/>
              </w:rPr>
              <w:t>Weeks</w:t>
            </w:r>
          </w:p>
        </w:tc>
      </w:tr>
      <w:tr>
        <w:tc>
          <w:tcPr>
            <w:tcW w:type="dxa" w:w="3168"/>
          </w:tcPr>
          <w:p>
            <w:r/>
            <w:r>
              <w:rPr>
                <w:sz w:val="17"/>
              </w:rPr>
              <w:t>Delivery manager</w:t>
            </w:r>
          </w:p>
        </w:tc>
        <w:tc>
          <w:tcPr>
            <w:tcW w:type="dxa" w:w="3168"/>
          </w:tcPr>
          <w:p>
            <w:r/>
            <w:r>
              <w:rPr>
                <w:sz w:val="17"/>
              </w:rPr>
              <w:t>50%</w:t>
            </w:r>
          </w:p>
        </w:tc>
        <w:tc>
          <w:tcPr>
            <w:tcW w:type="dxa" w:w="3168"/>
          </w:tcPr>
          <w:p>
            <w:r/>
            <w:r>
              <w:rPr>
                <w:sz w:val="17"/>
              </w:rPr>
              <w:t>1–12</w:t>
            </w:r>
          </w:p>
        </w:tc>
      </w:tr>
      <w:tr>
        <w:tc>
          <w:tcPr>
            <w:tcW w:type="dxa" w:w="3168"/>
          </w:tcPr>
          <w:p>
            <w:r/>
            <w:r>
              <w:rPr>
                <w:sz w:val="17"/>
              </w:rPr>
              <w:t>Solution architect</w:t>
            </w:r>
          </w:p>
        </w:tc>
        <w:tc>
          <w:tcPr>
            <w:tcW w:type="dxa" w:w="3168"/>
          </w:tcPr>
          <w:p>
            <w:r/>
            <w:r>
              <w:rPr>
                <w:sz w:val="17"/>
              </w:rPr>
              <w:t>100%</w:t>
            </w:r>
          </w:p>
        </w:tc>
        <w:tc>
          <w:tcPr>
            <w:tcW w:type="dxa" w:w="3168"/>
          </w:tcPr>
          <w:p>
            <w:r/>
            <w:r>
              <w:rPr>
                <w:sz w:val="17"/>
              </w:rPr>
              <w:t>1–6, 50% thereafter</w:t>
            </w:r>
          </w:p>
        </w:tc>
      </w:tr>
      <w:tr>
        <w:tc>
          <w:tcPr>
            <w:tcW w:type="dxa" w:w="3168"/>
          </w:tcPr>
          <w:p>
            <w:r/>
            <w:r>
              <w:rPr>
                <w:sz w:val="17"/>
              </w:rPr>
              <w:t>Backend engineers (2)</w:t>
            </w:r>
          </w:p>
        </w:tc>
        <w:tc>
          <w:tcPr>
            <w:tcW w:type="dxa" w:w="3168"/>
          </w:tcPr>
          <w:p>
            <w:r/>
            <w:r>
              <w:rPr>
                <w:sz w:val="17"/>
              </w:rPr>
              <w:t>100%</w:t>
            </w:r>
          </w:p>
        </w:tc>
        <w:tc>
          <w:tcPr>
            <w:tcW w:type="dxa" w:w="3168"/>
          </w:tcPr>
          <w:p>
            <w:r/>
            <w:r>
              <w:rPr>
                <w:sz w:val="17"/>
              </w:rPr>
              <w:t>1–11</w:t>
            </w:r>
          </w:p>
        </w:tc>
      </w:tr>
      <w:tr>
        <w:tc>
          <w:tcPr>
            <w:tcW w:type="dxa" w:w="3168"/>
          </w:tcPr>
          <w:p>
            <w:r/>
            <w:r>
              <w:rPr>
                <w:sz w:val="17"/>
              </w:rPr>
              <w:t>Frontend engineer</w:t>
            </w:r>
          </w:p>
        </w:tc>
        <w:tc>
          <w:tcPr>
            <w:tcW w:type="dxa" w:w="3168"/>
          </w:tcPr>
          <w:p>
            <w:r/>
            <w:r>
              <w:rPr>
                <w:sz w:val="17"/>
              </w:rPr>
              <w:t>100%</w:t>
            </w:r>
          </w:p>
        </w:tc>
        <w:tc>
          <w:tcPr>
            <w:tcW w:type="dxa" w:w="3168"/>
          </w:tcPr>
          <w:p>
            <w:r/>
            <w:r>
              <w:rPr>
                <w:sz w:val="17"/>
              </w:rPr>
              <w:t>1–10</w:t>
            </w:r>
          </w:p>
        </w:tc>
      </w:tr>
      <w:tr>
        <w:tc>
          <w:tcPr>
            <w:tcW w:type="dxa" w:w="3168"/>
          </w:tcPr>
          <w:p>
            <w:r/>
            <w:r>
              <w:rPr>
                <w:sz w:val="17"/>
              </w:rPr>
              <w:t>PKI specialist</w:t>
            </w:r>
          </w:p>
        </w:tc>
        <w:tc>
          <w:tcPr>
            <w:tcW w:type="dxa" w:w="3168"/>
          </w:tcPr>
          <w:p>
            <w:r/>
            <w:r>
              <w:rPr>
                <w:sz w:val="17"/>
              </w:rPr>
              <w:t>100%</w:t>
            </w:r>
          </w:p>
        </w:tc>
        <w:tc>
          <w:tcPr>
            <w:tcW w:type="dxa" w:w="3168"/>
          </w:tcPr>
          <w:p>
            <w:r/>
            <w:r>
              <w:rPr>
                <w:sz w:val="17"/>
              </w:rPr>
              <w:t>1–3, on call thereafter</w:t>
            </w:r>
          </w:p>
        </w:tc>
      </w:tr>
      <w:tr>
        <w:tc>
          <w:tcPr>
            <w:tcW w:type="dxa" w:w="3168"/>
          </w:tcPr>
          <w:p>
            <w:r/>
            <w:r>
              <w:rPr>
                <w:sz w:val="17"/>
              </w:rPr>
              <w:t>DevOps engineer</w:t>
            </w:r>
          </w:p>
        </w:tc>
        <w:tc>
          <w:tcPr>
            <w:tcW w:type="dxa" w:w="3168"/>
          </w:tcPr>
          <w:p>
            <w:r/>
            <w:r>
              <w:rPr>
                <w:sz w:val="17"/>
              </w:rPr>
              <w:t>100%</w:t>
            </w:r>
          </w:p>
        </w:tc>
        <w:tc>
          <w:tcPr>
            <w:tcW w:type="dxa" w:w="3168"/>
          </w:tcPr>
          <w:p>
            <w:r/>
            <w:r>
              <w:rPr>
                <w:sz w:val="17"/>
              </w:rPr>
              <w:t>1–4, 50% thereafter</w:t>
            </w:r>
          </w:p>
        </w:tc>
      </w:tr>
      <w:tr>
        <w:tc>
          <w:tcPr>
            <w:tcW w:type="dxa" w:w="3168"/>
          </w:tcPr>
          <w:p>
            <w:r/>
            <w:r>
              <w:rPr>
                <w:sz w:val="17"/>
              </w:rPr>
              <w:t>QA lead</w:t>
            </w:r>
          </w:p>
        </w:tc>
        <w:tc>
          <w:tcPr>
            <w:tcW w:type="dxa" w:w="3168"/>
          </w:tcPr>
          <w:p>
            <w:r/>
            <w:r>
              <w:rPr>
                <w:sz w:val="17"/>
              </w:rPr>
              <w:t>100%</w:t>
            </w:r>
          </w:p>
        </w:tc>
        <w:tc>
          <w:tcPr>
            <w:tcW w:type="dxa" w:w="3168"/>
          </w:tcPr>
          <w:p>
            <w:r/>
            <w:r>
              <w:rPr>
                <w:sz w:val="17"/>
              </w:rPr>
              <w:t>4–12</w:t>
            </w:r>
          </w:p>
        </w:tc>
      </w:tr>
      <w:tr>
        <w:tc>
          <w:tcPr>
            <w:tcW w:type="dxa" w:w="3168"/>
          </w:tcPr>
          <w:p>
            <w:r/>
            <w:r>
              <w:rPr>
                <w:sz w:val="17"/>
              </w:rPr>
              <w:t>Migration lead</w:t>
            </w:r>
          </w:p>
        </w:tc>
        <w:tc>
          <w:tcPr>
            <w:tcW w:type="dxa" w:w="3168"/>
          </w:tcPr>
          <w:p>
            <w:r/>
            <w:r>
              <w:rPr>
                <w:sz w:val="17"/>
              </w:rPr>
              <w:t>100%</w:t>
            </w:r>
          </w:p>
        </w:tc>
        <w:tc>
          <w:tcPr>
            <w:tcW w:type="dxa" w:w="3168"/>
          </w:tcPr>
          <w:p>
            <w:r/>
            <w:r>
              <w:rPr>
                <w:sz w:val="17"/>
              </w:rPr>
              <w:t>5–8</w:t>
            </w:r>
          </w:p>
        </w:tc>
      </w:tr>
      <w:tr>
        <w:tc>
          <w:tcPr>
            <w:tcW w:type="dxa" w:w="3168"/>
          </w:tcPr>
          <w:p>
            <w:r/>
            <w:r>
              <w:rPr>
                <w:sz w:val="17"/>
              </w:rPr>
              <w:t>Trainer</w:t>
            </w:r>
          </w:p>
        </w:tc>
        <w:tc>
          <w:tcPr>
            <w:tcW w:type="dxa" w:w="3168"/>
          </w:tcPr>
          <w:p>
            <w:r/>
            <w:r>
              <w:rPr>
                <w:sz w:val="17"/>
              </w:rPr>
              <w:t>100%</w:t>
            </w:r>
          </w:p>
        </w:tc>
        <w:tc>
          <w:tcPr>
            <w:tcW w:type="dxa" w:w="3168"/>
          </w:tcPr>
          <w:p>
            <w:r/>
            <w:r>
              <w:rPr>
                <w:sz w:val="17"/>
              </w:rPr>
              <w:t>10–12</w:t>
            </w:r>
          </w:p>
        </w:tc>
      </w:tr>
    </w:tbl>
    <w:p>
      <w:pPr>
        <w:spacing w:after="80"/>
      </w:pPr>
    </w:p>
    <w:p>
      <w:r>
        <w:rPr>
          <w:b w:val="0"/>
        </w:rPr>
        <w:t>Every role has a named second. No single-person dependency survives contact with a twelve-week schedule (R-23).</w:t>
      </w:r>
    </w:p>
    <w:p>
      <w:pPr>
        <w:pStyle w:val="Heading1"/>
      </w:pPr>
      <w:r>
        <w:t>5. MMBL commitment</w:t>
      </w:r>
    </w:p>
    <w:p>
      <w:r>
        <w:rPr>
          <w:b w:val="0"/>
        </w:rPr>
        <w:t>This is the part most implementation plans understate, and it is the part that decides whether the dates hold.</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Role</w:t>
            </w:r>
          </w:p>
        </w:tc>
        <w:tc>
          <w:tcPr>
            <w:tcW w:type="dxa" w:w="3168"/>
          </w:tcPr>
          <w:p>
            <w:r/>
            <w:r>
              <w:rPr>
                <w:b/>
                <w:sz w:val="17"/>
              </w:rPr>
              <w:t>Commitment</w:t>
            </w:r>
          </w:p>
        </w:tc>
        <w:tc>
          <w:tcPr>
            <w:tcW w:type="dxa" w:w="3168"/>
          </w:tcPr>
          <w:p>
            <w:r/>
            <w:r>
              <w:rPr>
                <w:b/>
                <w:sz w:val="17"/>
              </w:rPr>
              <w:t>When</w:t>
            </w:r>
          </w:p>
        </w:tc>
      </w:tr>
      <w:tr>
        <w:tc>
          <w:tcPr>
            <w:tcW w:type="dxa" w:w="3168"/>
          </w:tcPr>
          <w:p>
            <w:r/>
            <w:r>
              <w:rPr>
                <w:sz w:val="17"/>
              </w:rPr>
              <w:t>Project manager</w:t>
            </w:r>
          </w:p>
        </w:tc>
        <w:tc>
          <w:tcPr>
            <w:tcW w:type="dxa" w:w="3168"/>
          </w:tcPr>
          <w:p>
            <w:r/>
            <w:r>
              <w:rPr>
                <w:sz w:val="17"/>
              </w:rPr>
              <w:t>50%</w:t>
            </w:r>
          </w:p>
        </w:tc>
        <w:tc>
          <w:tcPr>
            <w:tcW w:type="dxa" w:w="3168"/>
          </w:tcPr>
          <w:p>
            <w:r/>
            <w:r>
              <w:rPr>
                <w:sz w:val="17"/>
              </w:rPr>
              <w:t>1–12</w:t>
            </w:r>
          </w:p>
        </w:tc>
      </w:tr>
      <w:tr>
        <w:tc>
          <w:tcPr>
            <w:tcW w:type="dxa" w:w="3168"/>
          </w:tcPr>
          <w:p>
            <w:r/>
            <w:r>
              <w:rPr>
                <w:sz w:val="17"/>
              </w:rPr>
              <w:t>Business owner</w:t>
            </w:r>
          </w:p>
        </w:tc>
        <w:tc>
          <w:tcPr>
            <w:tcW w:type="dxa" w:w="3168"/>
          </w:tcPr>
          <w:p>
            <w:r/>
            <w:r>
              <w:rPr>
                <w:sz w:val="17"/>
              </w:rPr>
              <w:t>25%, rising to 50% during UAT</w:t>
            </w:r>
          </w:p>
        </w:tc>
        <w:tc>
          <w:tcPr>
            <w:tcW w:type="dxa" w:w="3168"/>
          </w:tcPr>
          <w:p>
            <w:r/>
            <w:r>
              <w:rPr>
                <w:sz w:val="17"/>
              </w:rPr>
              <w:t>1–12</w:t>
            </w:r>
          </w:p>
        </w:tc>
      </w:tr>
      <w:tr>
        <w:tc>
          <w:tcPr>
            <w:tcW w:type="dxa" w:w="3168"/>
          </w:tcPr>
          <w:p>
            <w:r/>
            <w:r>
              <w:rPr>
                <w:sz w:val="17"/>
              </w:rPr>
              <w:t>Legal content owner</w:t>
            </w:r>
          </w:p>
        </w:tc>
        <w:tc>
          <w:tcPr>
            <w:tcW w:type="dxa" w:w="3168"/>
          </w:tcPr>
          <w:p>
            <w:r/>
            <w:r>
              <w:rPr>
                <w:sz w:val="17"/>
              </w:rPr>
              <w:t>50%</w:t>
            </w:r>
          </w:p>
        </w:tc>
        <w:tc>
          <w:tcPr>
            <w:tcW w:type="dxa" w:w="3168"/>
          </w:tcPr>
          <w:p>
            <w:r/>
            <w:r>
              <w:rPr>
                <w:sz w:val="17"/>
              </w:rPr>
              <w:t>3–6</w:t>
            </w:r>
          </w:p>
        </w:tc>
      </w:tr>
      <w:tr>
        <w:tc>
          <w:tcPr>
            <w:tcW w:type="dxa" w:w="3168"/>
          </w:tcPr>
          <w:p>
            <w:r/>
            <w:r>
              <w:rPr>
                <w:sz w:val="17"/>
              </w:rPr>
              <w:t>Data owner</w:t>
            </w:r>
          </w:p>
        </w:tc>
        <w:tc>
          <w:tcPr>
            <w:tcW w:type="dxa" w:w="3168"/>
          </w:tcPr>
          <w:p>
            <w:r/>
            <w:r>
              <w:rPr>
                <w:sz w:val="17"/>
              </w:rPr>
              <w:t>50%</w:t>
            </w:r>
          </w:p>
        </w:tc>
        <w:tc>
          <w:tcPr>
            <w:tcW w:type="dxa" w:w="3168"/>
          </w:tcPr>
          <w:p>
            <w:r/>
            <w:r>
              <w:rPr>
                <w:sz w:val="17"/>
              </w:rPr>
              <w:t>5–8</w:t>
            </w:r>
          </w:p>
        </w:tc>
      </w:tr>
      <w:tr>
        <w:tc>
          <w:tcPr>
            <w:tcW w:type="dxa" w:w="3168"/>
          </w:tcPr>
          <w:p>
            <w:r/>
            <w:r>
              <w:rPr>
                <w:sz w:val="17"/>
              </w:rPr>
              <w:t>Infrastructure engineer</w:t>
            </w:r>
          </w:p>
        </w:tc>
        <w:tc>
          <w:tcPr>
            <w:tcW w:type="dxa" w:w="3168"/>
          </w:tcPr>
          <w:p>
            <w:r/>
            <w:r>
              <w:rPr>
                <w:sz w:val="17"/>
              </w:rPr>
              <w:t>50%</w:t>
            </w:r>
          </w:p>
        </w:tc>
        <w:tc>
          <w:tcPr>
            <w:tcW w:type="dxa" w:w="3168"/>
          </w:tcPr>
          <w:p>
            <w:r/>
            <w:r>
              <w:rPr>
                <w:sz w:val="17"/>
              </w:rPr>
              <w:t>1–4</w:t>
            </w:r>
          </w:p>
        </w:tc>
      </w:tr>
      <w:tr>
        <w:tc>
          <w:tcPr>
            <w:tcW w:type="dxa" w:w="3168"/>
          </w:tcPr>
          <w:p>
            <w:r/>
            <w:r>
              <w:rPr>
                <w:sz w:val="17"/>
              </w:rPr>
              <w:t>Security lead</w:t>
            </w:r>
          </w:p>
        </w:tc>
        <w:tc>
          <w:tcPr>
            <w:tcW w:type="dxa" w:w="3168"/>
          </w:tcPr>
          <w:p>
            <w:r/>
            <w:r>
              <w:rPr>
                <w:sz w:val="17"/>
              </w:rPr>
              <w:t>25%</w:t>
            </w:r>
          </w:p>
        </w:tc>
        <w:tc>
          <w:tcPr>
            <w:tcW w:type="dxa" w:w="3168"/>
          </w:tcPr>
          <w:p>
            <w:r/>
            <w:r>
              <w:rPr>
                <w:sz w:val="17"/>
              </w:rPr>
              <w:t>1–3, 9–11</w:t>
            </w:r>
          </w:p>
        </w:tc>
      </w:tr>
      <w:tr>
        <w:tc>
          <w:tcPr>
            <w:tcW w:type="dxa" w:w="3168"/>
          </w:tcPr>
          <w:p>
            <w:r/>
            <w:r>
              <w:rPr>
                <w:sz w:val="17"/>
              </w:rPr>
              <w:t>UAT testers (4–6)</w:t>
            </w:r>
          </w:p>
        </w:tc>
        <w:tc>
          <w:tcPr>
            <w:tcW w:type="dxa" w:w="3168"/>
          </w:tcPr>
          <w:p>
            <w:r/>
            <w:r>
              <w:rPr>
                <w:sz w:val="17"/>
              </w:rPr>
              <w:t>50%</w:t>
            </w:r>
          </w:p>
        </w:tc>
        <w:tc>
          <w:tcPr>
            <w:tcW w:type="dxa" w:w="3168"/>
          </w:tcPr>
          <w:p>
            <w:r/>
            <w:r>
              <w:rPr>
                <w:sz w:val="17"/>
              </w:rPr>
              <w:t>8–10</w:t>
            </w:r>
          </w:p>
        </w:tc>
      </w:tr>
      <w:tr>
        <w:tc>
          <w:tcPr>
            <w:tcW w:type="dxa" w:w="3168"/>
          </w:tcPr>
          <w:p>
            <w:r/>
            <w:r>
              <w:rPr>
                <w:sz w:val="17"/>
              </w:rPr>
              <w:t>Trainees (≥15)</w:t>
            </w:r>
          </w:p>
        </w:tc>
        <w:tc>
          <w:tcPr>
            <w:tcW w:type="dxa" w:w="3168"/>
          </w:tcPr>
          <w:p>
            <w:r/>
            <w:r>
              <w:rPr>
                <w:sz w:val="17"/>
              </w:rPr>
              <w:t>Full days as scheduled</w:t>
            </w:r>
          </w:p>
        </w:tc>
        <w:tc>
          <w:tcPr>
            <w:tcW w:type="dxa" w:w="3168"/>
          </w:tcPr>
          <w:p>
            <w:r/>
            <w:r>
              <w:rPr>
                <w:sz w:val="17"/>
              </w:rPr>
              <w:t>10–12</w:t>
            </w:r>
          </w:p>
        </w:tc>
      </w:tr>
    </w:tbl>
    <w:p>
      <w:pPr>
        <w:spacing w:after="80"/>
      </w:pPr>
    </w:p>
    <w:p>
      <w:pPr>
        <w:pStyle w:val="Heading1"/>
      </w:pPr>
      <w:r>
        <w:t>6. Dependency tracker</w:t>
      </w:r>
    </w:p>
    <w:p>
      <w:r>
        <w:rPr>
          <w:b w:val="0"/>
        </w:rPr>
        <w:t>Reviewed weekly from week one — not discovered when the work blocks.</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76"/>
          </w:tcPr>
          <w:p>
            <w:r/>
            <w:r>
              <w:rPr>
                <w:b/>
                <w:sz w:val="17"/>
              </w:rPr>
              <w:t>#</w:t>
            </w:r>
          </w:p>
        </w:tc>
        <w:tc>
          <w:tcPr>
            <w:tcW w:type="dxa" w:w="2376"/>
          </w:tcPr>
          <w:p>
            <w:r/>
            <w:r>
              <w:rPr>
                <w:b/>
                <w:sz w:val="17"/>
              </w:rPr>
              <w:t>Dependency</w:t>
            </w:r>
          </w:p>
        </w:tc>
        <w:tc>
          <w:tcPr>
            <w:tcW w:type="dxa" w:w="2376"/>
          </w:tcPr>
          <w:p>
            <w:r/>
            <w:r>
              <w:rPr>
                <w:b/>
                <w:sz w:val="17"/>
              </w:rPr>
              <w:t>Needed by</w:t>
            </w:r>
          </w:p>
        </w:tc>
        <w:tc>
          <w:tcPr>
            <w:tcW w:type="dxa" w:w="2376"/>
          </w:tcPr>
          <w:p>
            <w:r/>
            <w:r>
              <w:rPr>
                <w:b/>
                <w:sz w:val="17"/>
              </w:rPr>
              <w:t>Blocks if late</w:t>
            </w:r>
          </w:p>
        </w:tc>
      </w:tr>
      <w:tr>
        <w:tc>
          <w:tcPr>
            <w:tcW w:type="dxa" w:w="2376"/>
          </w:tcPr>
          <w:p>
            <w:r/>
            <w:r>
              <w:rPr>
                <w:sz w:val="17"/>
              </w:rPr>
              <w:t>D1</w:t>
            </w:r>
          </w:p>
        </w:tc>
        <w:tc>
          <w:tcPr>
            <w:tcW w:type="dxa" w:w="2376"/>
          </w:tcPr>
          <w:p>
            <w:r/>
            <w:r>
              <w:rPr>
                <w:sz w:val="17"/>
              </w:rPr>
              <w:t>Oracle instance</w:t>
            </w:r>
          </w:p>
        </w:tc>
        <w:tc>
          <w:tcPr>
            <w:tcW w:type="dxa" w:w="2376"/>
          </w:tcPr>
          <w:p>
            <w:r/>
            <w:r>
              <w:rPr>
                <w:sz w:val="17"/>
              </w:rPr>
              <w:t>Week 1</w:t>
            </w:r>
          </w:p>
        </w:tc>
        <w:tc>
          <w:tcPr>
            <w:tcW w:type="dxa" w:w="2376"/>
          </w:tcPr>
          <w:p>
            <w:r/>
            <w:r>
              <w:rPr>
                <w:sz w:val="17"/>
              </w:rPr>
              <w:t>The platform certification gate — schema, isolation and query workload proven before any data is loaded</w:t>
            </w:r>
          </w:p>
        </w:tc>
      </w:tr>
      <w:tr>
        <w:tc>
          <w:tcPr>
            <w:tcW w:type="dxa" w:w="2376"/>
          </w:tcPr>
          <w:p>
            <w:r/>
            <w:r>
              <w:rPr>
                <w:sz w:val="17"/>
              </w:rPr>
              <w:t>D2</w:t>
            </w:r>
          </w:p>
        </w:tc>
        <w:tc>
          <w:tcPr>
            <w:tcW w:type="dxa" w:w="2376"/>
          </w:tcPr>
          <w:p>
            <w:r/>
            <w:r>
              <w:rPr>
                <w:sz w:val="17"/>
              </w:rPr>
              <w:t>HSM appliances and issuing CA certificate</w:t>
            </w:r>
          </w:p>
        </w:tc>
        <w:tc>
          <w:tcPr>
            <w:tcW w:type="dxa" w:w="2376"/>
          </w:tcPr>
          <w:p>
            <w:r/>
            <w:r>
              <w:rPr>
                <w:sz w:val="17"/>
              </w:rPr>
              <w:t>Week 3</w:t>
            </w:r>
          </w:p>
        </w:tc>
        <w:tc>
          <w:tcPr>
            <w:tcW w:type="dxa" w:w="2376"/>
          </w:tcPr>
          <w:p>
            <w:r/>
            <w:r>
              <w:rPr>
                <w:sz w:val="17"/>
              </w:rPr>
              <w:t>Per-signatory signing; falls back to the software store</w:t>
            </w:r>
          </w:p>
        </w:tc>
      </w:tr>
      <w:tr>
        <w:tc>
          <w:tcPr>
            <w:tcW w:type="dxa" w:w="2376"/>
          </w:tcPr>
          <w:p>
            <w:r/>
            <w:r>
              <w:rPr>
                <w:sz w:val="17"/>
              </w:rPr>
              <w:t>D3</w:t>
            </w:r>
          </w:p>
        </w:tc>
        <w:tc>
          <w:tcPr>
            <w:tcW w:type="dxa" w:w="2376"/>
          </w:tcPr>
          <w:p>
            <w:r/>
            <w:r>
              <w:rPr>
                <w:sz w:val="17"/>
              </w:rPr>
              <w:t>Entra ID metadata, reply URL, SCIM token</w:t>
            </w:r>
          </w:p>
        </w:tc>
        <w:tc>
          <w:tcPr>
            <w:tcW w:type="dxa" w:w="2376"/>
          </w:tcPr>
          <w:p>
            <w:r/>
            <w:r>
              <w:rPr>
                <w:sz w:val="17"/>
              </w:rPr>
              <w:t>Week 2</w:t>
            </w:r>
          </w:p>
        </w:tc>
        <w:tc>
          <w:tcPr>
            <w:tcW w:type="dxa" w:w="2376"/>
          </w:tcPr>
          <w:p>
            <w:r/>
            <w:r>
              <w:rPr>
                <w:sz w:val="17"/>
              </w:rPr>
              <w:t>Single sign-on and automated provisioning accepted at go-live</w:t>
            </w:r>
          </w:p>
        </w:tc>
      </w:tr>
      <w:tr>
        <w:tc>
          <w:tcPr>
            <w:tcW w:type="dxa" w:w="2376"/>
          </w:tcPr>
          <w:p>
            <w:r/>
            <w:r>
              <w:rPr>
                <w:sz w:val="17"/>
              </w:rPr>
              <w:t>D4</w:t>
            </w:r>
          </w:p>
        </w:tc>
        <w:tc>
          <w:tcPr>
            <w:tcW w:type="dxa" w:w="2376"/>
          </w:tcPr>
          <w:p>
            <w:r/>
            <w:r>
              <w:rPr>
                <w:sz w:val="17"/>
              </w:rPr>
              <w:t>TLS certificates, WAF, load balancer</w:t>
            </w:r>
          </w:p>
        </w:tc>
        <w:tc>
          <w:tcPr>
            <w:tcW w:type="dxa" w:w="2376"/>
          </w:tcPr>
          <w:p>
            <w:r/>
            <w:r>
              <w:rPr>
                <w:sz w:val="17"/>
              </w:rPr>
              <w:t>Week 2</w:t>
            </w:r>
          </w:p>
        </w:tc>
        <w:tc>
          <w:tcPr>
            <w:tcW w:type="dxa" w:w="2376"/>
          </w:tcPr>
          <w:p>
            <w:r/>
            <w:r>
              <w:rPr>
                <w:sz w:val="17"/>
              </w:rPr>
              <w:t>External access</w:t>
            </w:r>
          </w:p>
        </w:tc>
      </w:tr>
      <w:tr>
        <w:tc>
          <w:tcPr>
            <w:tcW w:type="dxa" w:w="2376"/>
          </w:tcPr>
          <w:p>
            <w:r/>
            <w:r>
              <w:rPr>
                <w:sz w:val="17"/>
              </w:rPr>
              <w:t>D5</w:t>
            </w:r>
          </w:p>
        </w:tc>
        <w:tc>
          <w:tcPr>
            <w:tcW w:type="dxa" w:w="2376"/>
          </w:tcPr>
          <w:p>
            <w:r/>
            <w:r>
              <w:rPr>
                <w:sz w:val="17"/>
              </w:rPr>
              <w:t>SIEM collector endpoint and CEF format</w:t>
            </w:r>
          </w:p>
        </w:tc>
        <w:tc>
          <w:tcPr>
            <w:tcW w:type="dxa" w:w="2376"/>
          </w:tcPr>
          <w:p>
            <w:r/>
            <w:r>
              <w:rPr>
                <w:sz w:val="17"/>
              </w:rPr>
              <w:t>Week 3</w:t>
            </w:r>
          </w:p>
        </w:tc>
        <w:tc>
          <w:tcPr>
            <w:tcW w:type="dxa" w:w="2376"/>
          </w:tcPr>
          <w:p>
            <w:r/>
            <w:r>
              <w:rPr>
                <w:sz w:val="17"/>
              </w:rPr>
              <w:t>Security monitoring</w:t>
            </w:r>
          </w:p>
        </w:tc>
      </w:tr>
      <w:tr>
        <w:tc>
          <w:tcPr>
            <w:tcW w:type="dxa" w:w="2376"/>
          </w:tcPr>
          <w:p>
            <w:r/>
            <w:r>
              <w:rPr>
                <w:sz w:val="17"/>
              </w:rPr>
              <w:t>D6</w:t>
            </w:r>
          </w:p>
        </w:tc>
        <w:tc>
          <w:tcPr>
            <w:tcW w:type="dxa" w:w="2376"/>
          </w:tcPr>
          <w:p>
            <w:r/>
            <w:r>
              <w:rPr>
                <w:sz w:val="17"/>
              </w:rPr>
              <w:t>SMS gateway account</w:t>
            </w:r>
          </w:p>
        </w:tc>
        <w:tc>
          <w:tcPr>
            <w:tcW w:type="dxa" w:w="2376"/>
          </w:tcPr>
          <w:p>
            <w:r/>
            <w:r>
              <w:rPr>
                <w:sz w:val="17"/>
              </w:rPr>
              <w:t>Week 3</w:t>
            </w:r>
          </w:p>
        </w:tc>
        <w:tc>
          <w:tcPr>
            <w:tcW w:type="dxa" w:w="2376"/>
          </w:tcPr>
          <w:p>
            <w:r/>
            <w:r>
              <w:rPr>
                <w:sz w:val="17"/>
              </w:rPr>
              <w:t>OTP identity verification</w:t>
            </w:r>
          </w:p>
        </w:tc>
      </w:tr>
      <w:tr>
        <w:tc>
          <w:tcPr>
            <w:tcW w:type="dxa" w:w="2376"/>
          </w:tcPr>
          <w:p>
            <w:r/>
            <w:r>
              <w:rPr>
                <w:sz w:val="17"/>
              </w:rPr>
              <w:t>D7</w:t>
            </w:r>
          </w:p>
        </w:tc>
        <w:tc>
          <w:tcPr>
            <w:tcW w:type="dxa" w:w="2376"/>
          </w:tcPr>
          <w:p>
            <w:r/>
            <w:r>
              <w:rPr>
                <w:sz w:val="17"/>
              </w:rPr>
              <w:t>Antivirus daemon</w:t>
            </w:r>
          </w:p>
        </w:tc>
        <w:tc>
          <w:tcPr>
            <w:tcW w:type="dxa" w:w="2376"/>
          </w:tcPr>
          <w:p>
            <w:r/>
            <w:r>
              <w:rPr>
                <w:sz w:val="17"/>
              </w:rPr>
              <w:t>Week 3</w:t>
            </w:r>
          </w:p>
        </w:tc>
        <w:tc>
          <w:tcPr>
            <w:tcW w:type="dxa" w:w="2376"/>
          </w:tcPr>
          <w:p>
            <w:r/>
            <w:r>
              <w:rPr>
                <w:sz w:val="17"/>
              </w:rPr>
              <w:t>Upload scanning — fails closed, so uploads block</w:t>
            </w:r>
          </w:p>
        </w:tc>
      </w:tr>
      <w:tr>
        <w:tc>
          <w:tcPr>
            <w:tcW w:type="dxa" w:w="2376"/>
          </w:tcPr>
          <w:p>
            <w:r/>
            <w:r>
              <w:rPr>
                <w:sz w:val="17"/>
              </w:rPr>
              <w:t>D8</w:t>
            </w:r>
          </w:p>
        </w:tc>
        <w:tc>
          <w:tcPr>
            <w:tcW w:type="dxa" w:w="2376"/>
          </w:tcPr>
          <w:p>
            <w:r/>
            <w:r>
              <w:rPr>
                <w:sz w:val="17"/>
              </w:rPr>
              <w:t>Approved template and clause content</w:t>
            </w:r>
          </w:p>
        </w:tc>
        <w:tc>
          <w:tcPr>
            <w:tcW w:type="dxa" w:w="2376"/>
          </w:tcPr>
          <w:p>
            <w:r/>
            <w:r>
              <w:rPr>
                <w:sz w:val="17"/>
              </w:rPr>
              <w:t>Week 3</w:t>
            </w:r>
          </w:p>
        </w:tc>
        <w:tc>
          <w:tcPr>
            <w:tcW w:type="dxa" w:w="2376"/>
          </w:tcPr>
          <w:p>
            <w:r/>
            <w:r>
              <w:rPr>
                <w:sz w:val="17"/>
              </w:rPr>
              <w:t>Configuration cannot be validated</w:t>
            </w:r>
          </w:p>
        </w:tc>
      </w:tr>
      <w:tr>
        <w:tc>
          <w:tcPr>
            <w:tcW w:type="dxa" w:w="2376"/>
          </w:tcPr>
          <w:p>
            <w:r/>
            <w:r>
              <w:rPr>
                <w:sz w:val="17"/>
              </w:rPr>
              <w:t>D9</w:t>
            </w:r>
          </w:p>
        </w:tc>
        <w:tc>
          <w:tcPr>
            <w:tcW w:type="dxa" w:w="2376"/>
          </w:tcPr>
          <w:p>
            <w:r/>
            <w:r>
              <w:rPr>
                <w:sz w:val="17"/>
              </w:rPr>
              <w:t>Source data extract and named data owner</w:t>
            </w:r>
          </w:p>
        </w:tc>
        <w:tc>
          <w:tcPr>
            <w:tcW w:type="dxa" w:w="2376"/>
          </w:tcPr>
          <w:p>
            <w:r/>
            <w:r>
              <w:rPr>
                <w:sz w:val="17"/>
              </w:rPr>
              <w:t>Week 5</w:t>
            </w:r>
          </w:p>
        </w:tc>
        <w:tc>
          <w:tcPr>
            <w:tcW w:type="dxa" w:w="2376"/>
          </w:tcPr>
          <w:p>
            <w:r/>
            <w:r>
              <w:rPr>
                <w:sz w:val="17"/>
              </w:rPr>
              <w:t>Migration</w:t>
            </w:r>
          </w:p>
        </w:tc>
      </w:tr>
      <w:tr>
        <w:tc>
          <w:tcPr>
            <w:tcW w:type="dxa" w:w="2376"/>
          </w:tcPr>
          <w:p>
            <w:r/>
            <w:r>
              <w:rPr>
                <w:sz w:val="17"/>
              </w:rPr>
              <w:t>D10</w:t>
            </w:r>
          </w:p>
        </w:tc>
        <w:tc>
          <w:tcPr>
            <w:tcW w:type="dxa" w:w="2376"/>
          </w:tcPr>
          <w:p>
            <w:r/>
            <w:r>
              <w:rPr>
                <w:sz w:val="17"/>
              </w:rPr>
              <w:t>Appointed VAPT vendor and window</w:t>
            </w:r>
          </w:p>
        </w:tc>
        <w:tc>
          <w:tcPr>
            <w:tcW w:type="dxa" w:w="2376"/>
          </w:tcPr>
          <w:p>
            <w:r/>
            <w:r>
              <w:rPr>
                <w:sz w:val="17"/>
              </w:rPr>
              <w:t>Week 8</w:t>
            </w:r>
          </w:p>
        </w:tc>
        <w:tc>
          <w:tcPr>
            <w:tcW w:type="dxa" w:w="2376"/>
          </w:tcPr>
          <w:p>
            <w:r/>
            <w:r>
              <w:rPr>
                <w:sz w:val="17"/>
              </w:rPr>
              <w:t>Security sign-off</w:t>
            </w:r>
          </w:p>
        </w:tc>
      </w:tr>
      <w:tr>
        <w:tc>
          <w:tcPr>
            <w:tcW w:type="dxa" w:w="2376"/>
          </w:tcPr>
          <w:p>
            <w:r/>
            <w:r>
              <w:rPr>
                <w:sz w:val="17"/>
              </w:rPr>
              <w:t>D11</w:t>
            </w:r>
          </w:p>
        </w:tc>
        <w:tc>
          <w:tcPr>
            <w:tcW w:type="dxa" w:w="2376"/>
          </w:tcPr>
          <w:p>
            <w:r/>
            <w:r>
              <w:rPr>
                <w:sz w:val="17"/>
              </w:rPr>
              <w:t>Fifteen named trainees</w:t>
            </w:r>
          </w:p>
        </w:tc>
        <w:tc>
          <w:tcPr>
            <w:tcW w:type="dxa" w:w="2376"/>
          </w:tcPr>
          <w:p>
            <w:r/>
            <w:r>
              <w:rPr>
                <w:sz w:val="17"/>
              </w:rPr>
              <w:t>Week 9</w:t>
            </w:r>
          </w:p>
        </w:tc>
        <w:tc>
          <w:tcPr>
            <w:tcW w:type="dxa" w:w="2376"/>
          </w:tcPr>
          <w:p>
            <w:r/>
            <w:r>
              <w:rPr>
                <w:sz w:val="17"/>
              </w:rPr>
              <w:t>Training acceptance</w:t>
            </w:r>
          </w:p>
        </w:tc>
      </w:tr>
    </w:tbl>
    <w:p>
      <w:pPr>
        <w:spacing w:after="80"/>
      </w:pPr>
    </w:p>
    <w:p>
      <w:r>
        <w:rPr>
          <w:b/>
        </w:rPr>
        <w:t>Escalation:</w:t>
      </w:r>
      <w:r>
        <w:rPr>
          <w:b w:val="0"/>
        </w:rPr>
        <w:t xml:space="preserve"> any dependency unmet two weeks before its milestone goes to the steering group with the specific downstream impact named — not "there is a risk to timeline", but "SCIM provisioning cannot be accepted, so user onboarding falls back to manual at go-live".</w:t>
      </w:r>
    </w:p>
    <w:p>
      <w:pPr>
        <w:pStyle w:val="Heading1"/>
      </w:pPr>
      <w:r>
        <w:t>7. Float, and where it is not</w:t>
      </w:r>
    </w:p>
    <w:p>
      <w:r>
        <w:rPr>
          <w:b w:val="0"/>
        </w:rPr>
        <w:t>There is roughly one week of float across the plan, concentrated in weeks 6–8 where migration and UAT preparation overlap.</w:t>
      </w:r>
    </w:p>
    <w:p>
      <w:r>
        <w:rPr>
          <w:b/>
        </w:rPr>
        <w:t>There is no float in M1.</w:t>
      </w:r>
      <w:r>
        <w:rPr>
          <w:b w:val="0"/>
        </w:rPr>
        <w:t xml:space="preserve"> Nine dependencies land in the first three weeks and everything else sequences behind them. A slip there is a slip to go-live, not something absorbed later — which is why the dependency tracker starts in week one rather than at the first milestone review.</w:t>
      </w:r>
    </w:p>
    <w:p>
      <w:r>
        <w:rPr>
          <w:b/>
        </w:rPr>
        <w:t>There is no float in M5.</w:t>
      </w:r>
      <w:r>
        <w:rPr>
          <w:b w:val="0"/>
        </w:rPr>
        <w:t xml:space="preserve"> VAPT is externally scheduled and remediation follows findings. If the appointed vendor has earlier availability we will take it, precisely to create float that the plan does not otherwise have (R-14).</w:t>
      </w:r>
    </w:p>
    <w:p>
      <w:pPr>
        <w:pStyle w:val="Heading1"/>
      </w:pPr>
      <w:r>
        <w:t>8. Cutover</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Step</w:t>
            </w:r>
          </w:p>
        </w:tc>
        <w:tc>
          <w:tcPr>
            <w:tcW w:type="dxa" w:w="3168"/>
          </w:tcPr>
          <w:p>
            <w:r/>
            <w:r>
              <w:rPr>
                <w:b/>
                <w:sz w:val="17"/>
              </w:rPr>
              <w:t>Timing</w:t>
            </w:r>
          </w:p>
        </w:tc>
        <w:tc>
          <w:tcPr>
            <w:tcW w:type="dxa" w:w="3168"/>
          </w:tcPr>
          <w:p>
            <w:r/>
            <w:r>
              <w:rPr>
                <w:b/>
                <w:sz w:val="17"/>
              </w:rPr>
              <w:t>Rollback</w:t>
            </w:r>
          </w:p>
        </w:tc>
      </w:tr>
      <w:tr>
        <w:tc>
          <w:tcPr>
            <w:tcW w:type="dxa" w:w="3168"/>
          </w:tcPr>
          <w:p>
            <w:r/>
            <w:r>
              <w:rPr>
                <w:sz w:val="17"/>
              </w:rPr>
              <w:t>Freeze source systems</w:t>
            </w:r>
          </w:p>
        </w:tc>
        <w:tc>
          <w:tcPr>
            <w:tcW w:type="dxa" w:w="3168"/>
          </w:tcPr>
          <w:p>
            <w:r/>
            <w:r>
              <w:rPr>
                <w:sz w:val="17"/>
              </w:rPr>
              <w:t>Go-live − 2 days</w:t>
            </w:r>
          </w:p>
        </w:tc>
        <w:tc>
          <w:tcPr>
            <w:tcW w:type="dxa" w:w="3168"/>
          </w:tcPr>
          <w:p>
            <w:r/>
            <w:r>
              <w:rPr>
                <w:sz w:val="17"/>
              </w:rPr>
              <w:t>Unfreeze</w:t>
            </w:r>
          </w:p>
        </w:tc>
      </w:tr>
      <w:tr>
        <w:tc>
          <w:tcPr>
            <w:tcW w:type="dxa" w:w="3168"/>
          </w:tcPr>
          <w:p>
            <w:r/>
            <w:r>
              <w:rPr>
                <w:sz w:val="17"/>
              </w:rPr>
              <w:t>Final delta migration</w:t>
            </w:r>
          </w:p>
        </w:tc>
        <w:tc>
          <w:tcPr>
            <w:tcW w:type="dxa" w:w="3168"/>
          </w:tcPr>
          <w:p>
            <w:r/>
            <w:r>
              <w:rPr>
                <w:sz w:val="17"/>
              </w:rPr>
              <w:t>Go-live − 1 day</w:t>
            </w:r>
          </w:p>
        </w:tc>
        <w:tc>
          <w:tcPr>
            <w:tcW w:type="dxa" w:w="3168"/>
          </w:tcPr>
          <w:p>
            <w:r/>
            <w:r>
              <w:rPr>
                <w:sz w:val="17"/>
              </w:rPr>
              <w:t>Re-run</w:t>
            </w:r>
          </w:p>
        </w:tc>
      </w:tr>
      <w:tr>
        <w:tc>
          <w:tcPr>
            <w:tcW w:type="dxa" w:w="3168"/>
          </w:tcPr>
          <w:p>
            <w:r/>
            <w:r>
              <w:rPr>
                <w:sz w:val="17"/>
              </w:rPr>
              <w:t>Reconcile</w:t>
            </w:r>
          </w:p>
        </w:tc>
        <w:tc>
          <w:tcPr>
            <w:tcW w:type="dxa" w:w="3168"/>
          </w:tcPr>
          <w:p>
            <w:r/>
            <w:r>
              <w:rPr>
                <w:sz w:val="17"/>
              </w:rPr>
              <w:t>Go-live − 1 day</w:t>
            </w:r>
          </w:p>
        </w:tc>
        <w:tc>
          <w:tcPr>
            <w:tcW w:type="dxa" w:w="3168"/>
          </w:tcPr>
          <w:p>
            <w:r/>
            <w:r>
              <w:rPr>
                <w:sz w:val="17"/>
              </w:rPr>
              <w:t>Abort cutover</w:t>
            </w:r>
          </w:p>
        </w:tc>
      </w:tr>
      <w:tr>
        <w:tc>
          <w:tcPr>
            <w:tcW w:type="dxa" w:w="3168"/>
          </w:tcPr>
          <w:p>
            <w:r/>
            <w:r>
              <w:rPr>
                <w:sz w:val="17"/>
              </w:rPr>
              <w:t>Switch DNS and gateway routes</w:t>
            </w:r>
          </w:p>
        </w:tc>
        <w:tc>
          <w:tcPr>
            <w:tcW w:type="dxa" w:w="3168"/>
          </w:tcPr>
          <w:p>
            <w:r/>
            <w:r>
              <w:rPr>
                <w:sz w:val="17"/>
              </w:rPr>
              <w:t>Go-live</w:t>
            </w:r>
          </w:p>
        </w:tc>
        <w:tc>
          <w:tcPr>
            <w:tcW w:type="dxa" w:w="3168"/>
          </w:tcPr>
          <w:p>
            <w:r/>
            <w:r>
              <w:rPr>
                <w:sz w:val="17"/>
              </w:rPr>
              <w:t>Revert routes</w:t>
            </w:r>
          </w:p>
        </w:tc>
      </w:tr>
      <w:tr>
        <w:tc>
          <w:tcPr>
            <w:tcW w:type="dxa" w:w="3168"/>
          </w:tcPr>
          <w:p>
            <w:r/>
            <w:r>
              <w:rPr>
                <w:sz w:val="17"/>
              </w:rPr>
              <w:t>Smoke test the critical paths</w:t>
            </w:r>
          </w:p>
        </w:tc>
        <w:tc>
          <w:tcPr>
            <w:tcW w:type="dxa" w:w="3168"/>
          </w:tcPr>
          <w:p>
            <w:r/>
            <w:r>
              <w:rPr>
                <w:sz w:val="17"/>
              </w:rPr>
              <w:t>Go-live + 1 hour</w:t>
            </w:r>
          </w:p>
        </w:tc>
        <w:tc>
          <w:tcPr>
            <w:tcW w:type="dxa" w:w="3168"/>
          </w:tcPr>
          <w:p>
            <w:r/>
            <w:r>
              <w:rPr>
                <w:sz w:val="17"/>
              </w:rPr>
              <w:t>Revert routes</w:t>
            </w:r>
          </w:p>
        </w:tc>
      </w:tr>
      <w:tr>
        <w:tc>
          <w:tcPr>
            <w:tcW w:type="dxa" w:w="3168"/>
          </w:tcPr>
          <w:p>
            <w:r/>
            <w:r>
              <w:rPr>
                <w:sz w:val="17"/>
              </w:rPr>
              <w:t>Confirm or roll back</w:t>
            </w:r>
          </w:p>
        </w:tc>
        <w:tc>
          <w:tcPr>
            <w:tcW w:type="dxa" w:w="3168"/>
          </w:tcPr>
          <w:p>
            <w:r/>
            <w:r>
              <w:rPr>
                <w:sz w:val="17"/>
              </w:rPr>
              <w:t>Go-live + 4 hours</w:t>
            </w:r>
          </w:p>
        </w:tc>
        <w:tc>
          <w:tcPr>
            <w:tcW w:type="dxa" w:w="3168"/>
          </w:tcPr>
          <w:p>
            <w:r/>
            <w:r>
              <w:rPr>
                <w:sz w:val="17"/>
              </w:rPr>
              <w:t>Documented rollback</w:t>
            </w:r>
          </w:p>
        </w:tc>
      </w:tr>
    </w:tbl>
    <w:p>
      <w:pPr>
        <w:spacing w:after="80"/>
      </w:pPr>
    </w:p>
    <w:p>
      <w:r>
        <w:rPr>
          <w:b/>
        </w:rPr>
        <w:t>The decision point is four hours after cutover, and the rollback is rehearsed.</w:t>
      </w:r>
      <w:r>
        <w:rPr>
          <w:b w:val="0"/>
        </w:rPr>
        <w:t xml:space="preserve"> A rollback plan nobody has executed is a paragraph, not a plan.</w:t>
      </w:r>
    </w:p>
    <w:p>
      <w:pPr>
        <w:pStyle w:val="Heading1"/>
      </w:pPr>
      <w:r>
        <w:t>9. Post-go-live</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7"/>
              </w:rPr>
              <w:t>Period</w:t>
            </w:r>
          </w:p>
        </w:tc>
        <w:tc>
          <w:tcPr>
            <w:tcW w:type="dxa" w:w="4752"/>
          </w:tcPr>
          <w:p>
            <w:r/>
            <w:r>
              <w:rPr>
                <w:b/>
                <w:sz w:val="17"/>
              </w:rPr>
              <w:t>Activity</w:t>
            </w:r>
          </w:p>
        </w:tc>
      </w:tr>
      <w:tr>
        <w:tc>
          <w:tcPr>
            <w:tcW w:type="dxa" w:w="4752"/>
          </w:tcPr>
          <w:p>
            <w:r/>
            <w:r>
              <w:rPr>
                <w:sz w:val="17"/>
              </w:rPr>
              <w:t>Weeks 1–2</w:t>
            </w:r>
          </w:p>
        </w:tc>
        <w:tc>
          <w:tcPr>
            <w:tcW w:type="dxa" w:w="4752"/>
          </w:tcPr>
          <w:p>
            <w:r/>
            <w:r>
              <w:rPr>
                <w:sz w:val="17"/>
              </w:rPr>
              <w:t>Hypercare — onsite floorwalking, daily triage</w:t>
            </w:r>
          </w:p>
        </w:tc>
      </w:tr>
      <w:tr>
        <w:tc>
          <w:tcPr>
            <w:tcW w:type="dxa" w:w="4752"/>
          </w:tcPr>
          <w:p>
            <w:r/>
            <w:r>
              <w:rPr>
                <w:sz w:val="17"/>
              </w:rPr>
              <w:t>Weeks 3–4</w:t>
            </w:r>
          </w:p>
        </w:tc>
        <w:tc>
          <w:tcPr>
            <w:tcW w:type="dxa" w:w="4752"/>
          </w:tcPr>
          <w:p>
            <w:r/>
            <w:r>
              <w:rPr>
                <w:sz w:val="17"/>
              </w:rPr>
              <w:t>Transition to steady-state; adoption metrics reviewed</w:t>
            </w:r>
          </w:p>
        </w:tc>
      </w:tr>
      <w:tr>
        <w:tc>
          <w:tcPr>
            <w:tcW w:type="dxa" w:w="4752"/>
          </w:tcPr>
          <w:p>
            <w:r/>
            <w:r>
              <w:rPr>
                <w:sz w:val="17"/>
              </w:rPr>
              <w:t>Month 2</w:t>
            </w:r>
          </w:p>
        </w:tc>
        <w:tc>
          <w:tcPr>
            <w:tcW w:type="dxa" w:w="4752"/>
          </w:tcPr>
          <w:p>
            <w:r/>
            <w:r>
              <w:rPr>
                <w:sz w:val="17"/>
              </w:rPr>
              <w:t>Refresher clinic; first monthly service report</w:t>
            </w:r>
          </w:p>
        </w:tc>
      </w:tr>
      <w:tr>
        <w:tc>
          <w:tcPr>
            <w:tcW w:type="dxa" w:w="4752"/>
          </w:tcPr>
          <w:p>
            <w:r/>
            <w:r>
              <w:rPr>
                <w:sz w:val="17"/>
              </w:rPr>
              <w:t>Month 6</w:t>
            </w:r>
          </w:p>
        </w:tc>
        <w:tc>
          <w:tcPr>
            <w:tcW w:type="dxa" w:w="4752"/>
          </w:tcPr>
          <w:p>
            <w:r/>
            <w:r>
              <w:rPr>
                <w:sz w:val="17"/>
              </w:rPr>
              <w:t>Administrator deep-dive; capacity review</w:t>
            </w:r>
          </w:p>
        </w:tc>
      </w:tr>
      <w:tr>
        <w:tc>
          <w:tcPr>
            <w:tcW w:type="dxa" w:w="4752"/>
          </w:tcPr>
          <w:p>
            <w:r/>
            <w:r>
              <w:rPr>
                <w:sz w:val="17"/>
              </w:rPr>
              <w:t>Ongoing</w:t>
            </w:r>
          </w:p>
        </w:tc>
        <w:tc>
          <w:tcPr>
            <w:tcW w:type="dxa" w:w="4752"/>
          </w:tcPr>
          <w:p>
            <w:r/>
            <w:r>
              <w:rPr>
                <w:sz w:val="17"/>
              </w:rPr>
              <w:t>Two years onsite support per the SLA</w:t>
            </w:r>
          </w:p>
        </w:tc>
      </w:tr>
    </w:tbl>
    <w:p>
      <w:pPr>
        <w:spacing w:after="80"/>
      </w:pPr>
    </w:p>
    <w:p>
      <w:r>
        <w:rPr>
          <w:b w:val="0"/>
        </w:rPr>
        <w:t>Adoption is measured, not assumed: fewer than 60% of expected agreements originated in-system by week four triggers a targeted intervention, using the analytics to identify where people stop rather than scheduling another all-hands session (R-24).</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