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 w:val="0"/>
          <w:color w:val="0D5741"/>
          <w:sz w:val="18"/>
        </w:rPr>
        <w:t>ANNEXURE ITEM 1 — BILL OF QUANTITIES &amp; TECHNICAL SPECIFICATIONS</w:t>
      </w:r>
    </w:p>
    <w:p>
      <w:pPr>
        <w:spacing w:after="200"/>
      </w:pPr>
      <w:r>
        <w:rPr>
          <w:b/>
          <w:color w:val="151D19"/>
          <w:sz w:val="52"/>
        </w:rPr>
        <w:t>Scope &amp; Technical Specification</w:t>
      </w:r>
    </w:p>
    <w:p>
      <w:pPr>
        <w:spacing w:after="320"/>
      </w:pPr>
      <w:r>
        <w:rPr>
          <w:i w:val="0"/>
          <w:color w:val="4A564F"/>
          <w:sz w:val="24"/>
        </w:rPr>
        <w:t>Contract Lifecycle Management and Digital Agreement Execution — Mobilink Microfinance Bank</w:t>
      </w:r>
    </w:p>
    <w:p>
      <w:pPr>
        <w:spacing w:after="280"/>
      </w:pPr>
      <w:r>
        <w:rPr>
          <w:b w:val="0"/>
        </w:rPr>
        <w:t xml:space="preserve">This document states </w:t>
      </w:r>
      <w:r>
        <w:rPr>
          <w:b/>
        </w:rPr>
        <w:t>what is being delivered</w:t>
      </w:r>
      <w:r>
        <w:rPr>
          <w:b w:val="0"/>
        </w:rPr>
        <w:t xml:space="preserve">, </w:t>
      </w:r>
      <w:r>
        <w:rPr>
          <w:b/>
        </w:rPr>
        <w:t>what is explicitly not</w:t>
      </w:r>
      <w:r>
        <w:rPr>
          <w:b w:val="0"/>
        </w:rPr>
        <w:t>, and how each item maps to the clauses of the RFP — so an evaluator can score it without inference.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584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Responds to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Revision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Deployment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TSD-01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RFP §4a–§4d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On-premises, Pakistan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For submission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0. How to read this</w:t>
      </w:r>
    </w:p>
    <w:p>
      <w:r>
        <w:rPr>
          <w:i w:val="0"/>
        </w:rPr>
        <w:t>The structure below is not ours — it is the RFP's. Sections 3 to 6 follow the clause order of §4a(i), §4a(ii), §4b/§4c and §4d exactly, so each requirement can be found where the evaluator expects it.</w:t>
      </w:r>
    </w:p>
    <w:p>
      <w:pPr>
        <w:pStyle w:val="Heading2"/>
      </w:pPr>
      <w:r>
        <w:t>0.1 Requirement identifiers</w:t>
      </w:r>
    </w:p>
    <w:p>
      <w:r>
        <w:rPr>
          <w:i w:val="0"/>
        </w:rPr>
        <w:t>Every row carries an ID of the form SOW-04 or SEC-11. Those IDs are the join key across the whole submission: the Compliance Matrix, the UAT test book and the acceptance criteria in §12 all reference the same identifiers. A requirement can therefore be traced from the RFP clause, through this document, to the test that proves it and the sign-off that accepts it.</w:t>
      </w:r>
    </w:p>
    <w:p>
      <w:pPr>
        <w:pStyle w:val="Heading2"/>
      </w:pPr>
      <w:r>
        <w:t>0.2 Compliance and milestones</w:t>
      </w:r>
    </w:p>
    <w:p>
      <w:r>
        <w:rPr>
          <w:i w:val="0"/>
        </w:rPr>
        <w:t>Every requirement in this document is complied with. The status column carries one value, and the milestone column says when the requirement is demonstrated and accepted.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Weeks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8"/>
              </w:rPr>
              <w:t>Covers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M1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1–3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Environments, the Oracle platform, integrations and identity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M2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3–6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Configuration to MMBL's templates, clauses, policies and roles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M3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5–8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Data migration, PKI hardware and production signing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M4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6–10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Remaining scope and User Acceptance Testing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M5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9–11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Performance, resilience and independent security assurance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M6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10–12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Training, cutover and go-live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E9F1EE"/>
          </w:tcPr>
          <w:p>
            <w:r/>
            <w:r>
              <w:rPr>
                <w:b/>
                <w:color w:val="0D5741"/>
                <w:sz w:val="16"/>
              </w:rPr>
              <w:t>WHERE A REQUIREMENT NEEDS AN INPUT FROM MMBL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Some requirements are activated by something only the bank holds — a database instance, an identity provider, an HSM, a gateway route, an SMS account. Those are complied with in the same way as everything else, and each is listed in </w:t>
            </w:r>
            <w:r>
              <w:rPr>
                <w:b/>
                <w:sz w:val="19"/>
              </w:rPr>
              <w:t>§11.1</w:t>
            </w:r>
            <w:r>
              <w:rPr>
                <w:b w:val="0"/>
                <w:sz w:val="19"/>
              </w:rPr>
              <w:t xml:space="preserve"> against the date it is needed. Stating them is what stops a dependency becoming a surprise in week six: a plan that hides what the customer owes is a plan that slips for a reason nobody wrote down.</w:t>
            </w:r>
          </w:p>
        </w:tc>
      </w:tr>
    </w:tbl>
    <w:p>
      <w:pPr>
        <w:spacing w:after="120"/>
      </w:pPr>
    </w:p>
    <w:p>
      <w:pPr>
        <w:pStyle w:val="Heading1"/>
      </w:pPr>
      <w:r>
        <w:t>1. Scope statement</w:t>
      </w:r>
    </w:p>
    <w:p>
      <w:r>
        <w:rPr>
          <w:i w:val="0"/>
        </w:rPr>
        <w:t>A single system for the full life of an agreement — from the moment somebody decides one is needed, to the moment its retention period expires — deployed entirely inside MMBL's own infrastructure.</w:t>
      </w:r>
    </w:p>
    <w:p>
      <w:pPr>
        <w:pStyle w:val="Heading2"/>
      </w:pPr>
      <w:r>
        <w:t>1.1 Objective</w:t>
      </w:r>
    </w:p>
    <w:p>
      <w:r>
        <w:rPr>
          <w:i w:val="0"/>
        </w:rPr>
        <w:t>Replace the current document-and-email process for contract origination, review, approval, execution and retention with a controlled system that produces a legally defensible record of every agreement and every decision taken on it, for both internal agreements and agreements signed by branch customers.</w:t>
      </w:r>
    </w:p>
    <w:p>
      <w:pPr>
        <w:pStyle w:val="Heading2"/>
      </w:pPr>
      <w:r>
        <w:t>1.2 In scope</w:t>
      </w:r>
    </w:p>
    <w:p>
      <w:pPr>
        <w:pStyle w:val="ListBullet"/>
      </w:pPr>
      <w:r>
        <w:t>Contract origination from an approved template and clause library</w:t>
      </w:r>
    </w:p>
    <w:p>
      <w:pPr>
        <w:pStyle w:val="ListBullet"/>
      </w:pPr>
      <w:r>
        <w:t>Review, redlining, version comparison and policy-deviation detection</w:t>
      </w:r>
    </w:p>
    <w:p>
      <w:pPr>
        <w:pStyle w:val="ListBullet"/>
      </w:pPr>
      <w:r>
        <w:t>Multi-stage approval with delegation, escalation and SLA tracking</w:t>
      </w:r>
    </w:p>
    <w:p>
      <w:pPr>
        <w:pStyle w:val="ListBullet"/>
      </w:pPr>
      <w:r>
        <w:t>Electronic execution with per-signatory digital certificates</w:t>
      </w:r>
    </w:p>
    <w:p>
      <w:pPr>
        <w:pStyle w:val="ListBullet"/>
      </w:pPr>
      <w:r>
        <w:t>An in-house Certificate Authority with full certificate lifecycle</w:t>
      </w:r>
    </w:p>
    <w:p>
      <w:pPr>
        <w:pStyle w:val="ListBullet"/>
      </w:pPr>
      <w:r>
        <w:t>Signing by branch customers, including an assisted in-branch path</w:t>
      </w:r>
    </w:p>
    <w:p>
      <w:pPr>
        <w:pStyle w:val="ListBullet"/>
      </w:pPr>
      <w:r>
        <w:t>Central repository with retention, archival and legal hold</w:t>
      </w:r>
    </w:p>
    <w:p>
      <w:pPr>
        <w:pStyle w:val="ListBullet"/>
      </w:pPr>
      <w:r>
        <w:t>Obligation and renewal tracking with scheduled reminders</w:t>
      </w:r>
    </w:p>
    <w:p>
      <w:pPr>
        <w:pStyle w:val="ListBullet"/>
      </w:pPr>
      <w:r>
        <w:t>Tamper-evident audit trail across every state-changing action</w:t>
      </w:r>
    </w:p>
    <w:p>
      <w:pPr>
        <w:pStyle w:val="ListBullet"/>
      </w:pPr>
      <w:r>
        <w:t>Analytics, MIS and operational dashboards</w:t>
      </w:r>
    </w:p>
    <w:p>
      <w:pPr>
        <w:pStyle w:val="ListBullet"/>
      </w:pPr>
      <w:r>
        <w:t>In-product knowledge base and training with certification</w:t>
      </w:r>
    </w:p>
    <w:p>
      <w:pPr>
        <w:pStyle w:val="ListBullet"/>
      </w:pPr>
      <w:r>
        <w:t>English and Urdu interface with right-to-left support</w:t>
      </w:r>
    </w:p>
    <w:p>
      <w:pPr>
        <w:pStyle w:val="ListBullet"/>
      </w:pPr>
      <w:r>
        <w:t>Integration surfaces: REST, SOAP, SSO, SCIM, SIEM, webhooks</w:t>
      </w:r>
    </w:p>
    <w:p>
      <w:pPr>
        <w:pStyle w:val="ListBullet"/>
      </w:pPr>
      <w:r>
        <w:t>On-premises deployment, migration, UAT support and training</w:t>
      </w:r>
    </w:p>
    <w:p>
      <w:pPr>
        <w:pStyle w:val="Heading2"/>
      </w:pPr>
      <w:r>
        <w:t>1.3 Out of scope</w:t>
      </w:r>
    </w:p>
    <w:p>
      <w:pPr>
        <w:pStyle w:val="ListBullet"/>
      </w:pPr>
      <w:r>
        <w:t>Supply of HSM hardware, certificates or PKI accreditation</w:t>
      </w:r>
    </w:p>
    <w:p>
      <w:pPr>
        <w:pStyle w:val="ListBullet"/>
      </w:pPr>
      <w:r>
        <w:t>Supply or licensing of the database engine and operating systems</w:t>
      </w:r>
    </w:p>
    <w:p>
      <w:pPr>
        <w:pStyle w:val="ListBullet"/>
      </w:pPr>
      <w:r>
        <w:t>Network, firewall, WAF and load-balancer provisioning</w:t>
      </w:r>
    </w:p>
    <w:p>
      <w:pPr>
        <w:pStyle w:val="ListBullet"/>
      </w:pPr>
      <w:r>
        <w:t>Identity provider licensing and administration</w:t>
      </w:r>
    </w:p>
    <w:p>
      <w:pPr>
        <w:pStyle w:val="ListBullet"/>
      </w:pPr>
      <w:r>
        <w:t>SMS gateway commercial arrangements</w:t>
      </w:r>
    </w:p>
    <w:p>
      <w:pPr>
        <w:pStyle w:val="ListBullet"/>
      </w:pPr>
      <w:r>
        <w:t>Migration of documents held outside the systems named in §11</w:t>
      </w:r>
    </w:p>
    <w:p>
      <w:pPr>
        <w:pStyle w:val="ListBullet"/>
      </w:pPr>
      <w:r>
        <w:t>Third-party penetration testing (facilitated, not performed)</w:t>
      </w:r>
    </w:p>
    <w:p>
      <w:pPr>
        <w:pStyle w:val="ListBullet"/>
      </w:pPr>
      <w:r>
        <w:t>Legal drafting of MMBL's own clause and template content</w:t>
      </w:r>
    </w:p>
    <w:p>
      <w:pPr>
        <w:pStyle w:val="ListBullet"/>
      </w:pPr>
      <w:r>
        <w:t>Business process re-engineering beyond the workflows configured</w:t>
      </w:r>
    </w:p>
    <w:p>
      <w:pPr>
        <w:pStyle w:val="Heading2"/>
      </w:pPr>
      <w:r>
        <w:t>1.4 User population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Concurrent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Named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Primary activity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Legal &amp; Compliance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Drafting, clause governance,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Business &amp; Procurement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250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Origination, obligation tracking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Approvers &amp; Signatories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120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Approval, execution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Branch staff (assisted signing)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Unbounded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Customer-facing execution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Administrators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Configuration, PKI, audit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Design target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Sized in §9</w:t>
            </w:r>
          </w:p>
        </w:tc>
      </w:tr>
    </w:tbl>
    <w:p>
      <w:pPr>
        <w:spacing w:after="80"/>
      </w:pPr>
    </w:p>
    <w:p>
      <w:pPr>
        <w:pStyle w:val="Heading2"/>
      </w:pPr>
      <w:r>
        <w:t>1.5 Volume assumptions</w:t>
      </w:r>
    </w:p>
    <w:p>
      <w:r>
        <w:rPr>
          <w:i w:val="0"/>
        </w:rPr>
        <w:t>These drive the sizing in §9 and the load test in §12. They are stated as assumptions because they came from the RFP rather than from measurement, and a material change to any of them changes the infrastructure specification.</w:t>
      </w:r>
    </w:p>
    <w:p>
      <w:pPr>
        <w:pStyle w:val="ListBullet"/>
      </w:pPr>
      <w:r>
        <w:rPr>
          <w:b/>
        </w:rPr>
        <w:t>100,000 external signatures per year</w:t>
      </w:r>
      <w:r>
        <w:rPr>
          <w:b w:val="0"/>
        </w:rPr>
        <w:t xml:space="preserve"> — approximately 400 per business day, with month-end peaks assumed at 3×</w:t>
      </w:r>
    </w:p>
    <w:p>
      <w:pPr>
        <w:pStyle w:val="ListBullet"/>
      </w:pPr>
      <w:r>
        <w:rPr>
          <w:b/>
        </w:rPr>
        <w:t>10-year retention</w:t>
      </w:r>
      <w:r>
        <w:rPr>
          <w:b w:val="0"/>
        </w:rPr>
        <w:t>, with the most recent 12 months instantly searchable and older records retrievable within the same interface</w:t>
      </w:r>
    </w:p>
    <w:p>
      <w:pPr>
        <w:pStyle w:val="ListBullet"/>
      </w:pPr>
      <w:r>
        <w:t>Document sizes to 50 MB; median expected under 2 MB</w:t>
      </w:r>
    </w:p>
    <w:p>
      <w:pPr>
        <w:pStyle w:val="ListBullet"/>
      </w:pPr>
      <w:r>
        <w:t>OCSP responses at p95 under 200 ms; search at p95 under 500 ms against a full 10-year corpus</w:t>
      </w:r>
    </w:p>
    <w:p>
      <w:r>
        <w:br w:type="page"/>
      </w:r>
    </w:p>
    <w:p>
      <w:pPr>
        <w:pStyle w:val="Heading1"/>
      </w:pPr>
      <w:r>
        <w:t>2. Solution architecture</w:t>
      </w:r>
    </w:p>
    <w:p>
      <w:r>
        <w:rPr>
          <w:i w:val="0"/>
        </w:rPr>
        <w:t>Multi-tier, API-driven, and deployed as containers on infrastructure MMBL controls. No component calls out to a hosted service at runtime.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32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i/>
          <w:color w:val="6D7A72"/>
          <w:sz w:val="17"/>
        </w:rPr>
        <w:t>Figure 1 — Deployment topology. Every box sits inside the bank's perimeter; no runtime call leaves it.</w:t>
      </w:r>
    </w:p>
    <w:p>
      <w:pPr>
        <w:pStyle w:val="Heading2"/>
      </w:pPr>
      <w:r>
        <w:t>2.1 Technology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368"/>
          </w:tcPr>
          <w:p>
            <w:r/>
            <w:r>
              <w:rPr>
                <w:b/>
                <w:sz w:val="18"/>
              </w:rPr>
              <w:t>Tier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5472"/>
          </w:tcPr>
          <w:p>
            <w:r/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Presentation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Next.js 14, React 18, TypeScript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Server-rendered for first paint; no client-side secret storage — the access token is held in memory only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Application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Python 3.12, FastAPI, SQLAlchemy 2.0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OpenAPI generated from the code, so the API documentation cannot drift from the API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Asynchronous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Celery, Redis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Named queues for OCR and sealing so a slow document job cannot delay a signature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Oracle Database 19c or later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Workspace isolation by Oracle Virtual Private Database — enforced by the database, not only by the application, so a defect in application logic still cannot read across the boundary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Object storage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S3-compatible, or filesystem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Server-side encryption on every write; per-workspace key prefix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Cryptography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PKCS#11 HSM, pyHanko for PAdES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Private keys are generated inside the token and never leave it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Runtime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Docker, Kubernetes, Helm/Kustomize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Horizontal scaling, rolling deployment, health-gated rollout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7EFDC"/>
          </w:tcPr>
          <w:p>
            <w:r/>
            <w:r>
              <w:rPr>
                <w:b/>
                <w:color w:val="7D5807"/>
                <w:sz w:val="16"/>
              </w:rPr>
              <w:t>STATED PLAINLY: ARCHITECTURE STYLE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The RFP expresses a preference for a microservices deployment on OKE. What is delivered is a </w:t>
            </w:r>
            <w:r>
              <w:rPr>
                <w:b/>
                <w:sz w:val="19"/>
              </w:rPr>
              <w:t>modular monolith with a separate asynchronous worker tier</w:t>
            </w:r>
            <w:r>
              <w:rPr>
                <w:b w:val="0"/>
                <w:sz w:val="19"/>
              </w:rPr>
              <w:t xml:space="preserve"> — horizontally scalable, container-native, and deployed on Kubernetes, but not decomposed into independently deployable services.</w:t>
            </w:r>
          </w:p>
          <w:p>
            <w:pPr>
              <w:spacing w:after="40"/>
            </w:pPr>
            <w:r>
              <w:rPr>
                <w:sz w:val="19"/>
              </w:rPr>
              <w:t>This is a deliberate choice, not an omission. The transactional integrity that the audit chain and the approval workflow depend on is far cheaper to guarantee inside one transactional boundary than across a distributed one, and a system of this size does not have the independent scaling pressure that justifies the operational cost. The module boundaries are drawn where services would be, so a later decomposition is a deployment change rather than a rewrite. We would rather say this now than discover it at design review.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3. Functional scope — RFP §4a(i)</w:t>
      </w:r>
    </w:p>
    <w:p>
      <w:r>
        <w:rPr>
          <w:i w:val="0"/>
        </w:rPr>
        <w:t>In the order the RFP states it.</w:t>
      </w:r>
    </w:p>
    <w:p>
      <w:pPr>
        <w:pStyle w:val="Heading2"/>
      </w:pPr>
      <w:r>
        <w:t>3.1 Drafting and clause library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93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How it is delivered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SOW-01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Template repository with version control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Versioned templates with an approval gate; generation reads the approved snapshot, never the live draft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SOW-02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Central clause library with approved wording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Clauses referenced by key, not copied — updating a clause updates every template that uses it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SOW-03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Approved alternative clauses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A drafter may swap a clause only for one of its own approved alternatives; anything else is a flagged deviation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SOW-04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Guided drafting with intake questions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Typed intake fields; an unresolved placeholder stops generation rather than leaving a blank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SOW-05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Microsoft Word round-trip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DOCX import and export preserving numbering, styles and tracked structure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SOW-06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Playbook enforcement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Required, prohibited and altered-clause findings raised at review time</w:t>
            </w:r>
          </w:p>
        </w:tc>
      </w:tr>
    </w:tbl>
    <w:p>
      <w:pPr>
        <w:spacing w:after="80"/>
      </w:pPr>
    </w:p>
    <w:p>
      <w:pPr>
        <w:pStyle w:val="Heading2"/>
      </w:pPr>
      <w:r>
        <w:t>3.2 Review and redlining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93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How it is delivered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SOW-07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Version comparison and redline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Accepting every change reconstructs the proposal byte-for-byte; accepting none reconstructs the base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SOW-08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Threaded comments with resolution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Comments anchored to the clause, resolvable, retained on the record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SOW-09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Consolidated multi-reviewer view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Parallel reviewers' changes merged into one view with conflicts surfaced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SOW-10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Policy deviation detection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Textual comparison against approved wording; deviations classified by severity</w:t>
            </w:r>
          </w:p>
        </w:tc>
      </w:tr>
    </w:tbl>
    <w:p>
      <w:pPr>
        <w:spacing w:after="80"/>
      </w:pPr>
    </w:p>
    <w:p>
      <w:pPr>
        <w:pStyle w:val="Heading2"/>
      </w:pPr>
      <w:r>
        <w:t>3.3 Approval and escalation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93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How it is delivered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SOW-11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Configurable multi-stage workflow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Visual builder; sequential and parallel stages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SOW-12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Parallel approval groups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Every step in a stage activates together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SOW-13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Approval authority matrix by value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Routing selects the lowest band covering the contract value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SOW-14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Delegation during absence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Decisions record both the delegate and the principal — “who approved this” has two honest answers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SOW-15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SLA tracking and escalation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Counted on a business calendar, so a Friday assignment is not overdue on Monday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SOW-16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Separation of duties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Enforced in the service layer, not by hiding buttons; overrides require a reason and are audited</w:t>
            </w:r>
          </w:p>
        </w:tc>
      </w:tr>
    </w:tbl>
    <w:p>
      <w:pPr>
        <w:spacing w:after="80"/>
      </w:pPr>
    </w:p>
    <w:p>
      <w:pPr>
        <w:pStyle w:val="Heading2"/>
      </w:pPr>
      <w:r>
        <w:t>3.4 Execution and eSignature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93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How it is delivered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SOW-17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Sequential and parallel signing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Optimistic locking so two simultaneous signatures cannot overwrite each other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SOW-18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Field placement on the document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Signature, initial, date, text and checkbox fields positioned per page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SOW-19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Typed, drawn and uploaded signatures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Image payloads validated by magic bytes, not the declared type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SOW-20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Per-signatory digital certificates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Each signatory signs with their own certificate and key. Requires the HSM and a production CA — see §7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SOW-21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Certificate of Completion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Who signed, when, from where, and the hash of the document they were shown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SOW-22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Identity verification before signing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Email, OTP to phone and CNIC binding. OTP needs the SMS gateway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SOW-23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Wet-signature fallback with attestation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Recorded as a wet signature with the scanned page attached, not disguised as electronic</w:t>
            </w:r>
          </w:p>
        </w:tc>
      </w:tr>
    </w:tbl>
    <w:p>
      <w:pPr>
        <w:spacing w:after="80"/>
      </w:pPr>
    </w:p>
    <w:p>
      <w:pPr>
        <w:pStyle w:val="Heading2"/>
      </w:pPr>
      <w:r>
        <w:t>3.5 Repository, obligations and lifecycle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93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How it is delivered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SOW-24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Central searchable repository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Folder tree, metadata filters, full-text search across the corpus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SOW-25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10-year retention, 12 months hot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Nightly archive sweep; archived agreements stay retrievable by reference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SOW-26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Obligation extraction and tracking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Owner, due date, escalation; overdue read from the date, not a swept status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SOW-27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Renewal detection and reminders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Notice period is the trigger, not the expiry date; only the tightest crossed threshold fires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SOW-28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Amendments and contract relationships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Successor chain preserved across renewal; amendment impact tracked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SOW-29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Legal hold overriding retention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Matter-scoped — releasing one matter cannot expose a record another still covers</w:t>
            </w:r>
          </w:p>
        </w:tc>
      </w:tr>
    </w:tbl>
    <w:p>
      <w:pPr>
        <w:spacing w:after="80"/>
      </w:pPr>
    </w:p>
    <w:p>
      <w:pPr>
        <w:pStyle w:val="Heading2"/>
      </w:pPr>
      <w:r>
        <w:t>3.6 Analytics, knowledge and help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93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How it is delivered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SOW-30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Cycle-time and bottleneck analytics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Derived from the audit log; every figure reports its sample size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SOW-31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MIS dashboards and scheduled exports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XLSX and PDF, scheduled or on demand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SOW-32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Contextual in-product help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Held in the database so Legal can correct wording without a release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SOW-33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Knowledge base and training hub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Courses, quiz, expiring certificates, attendance register — see §10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4. Branchless operations — RFP §4a(ii)</w:t>
      </w:r>
    </w:p>
    <w:p>
      <w:r>
        <w:rPr>
          <w:i w:val="0"/>
        </w:rPr>
        <w:t>The requirements that concern customers rather than staff.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93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How it is delivered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BB-01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Customer signs without an account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Unauthenticated signing portal reached by a unique, expiring link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BB-02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Execution free from signature failures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Idempotent responses and optimistic locking; a retry cannot double-sign or lose a signature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BB-03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Assisted signing at a branch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Tablet mode: larger targets, one step at a time, and a printable guide in English and Urdu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BB-04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Path for non-digitally-literate customers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Nothing is skipped or pre-agreed — the flow will not advance until the document has been opened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BB-05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Mobile-usable signing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Rebuilt for a phone, not merely reflowed; verified at a phone viewport in CI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BB-06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OTP identity verification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Attempt caps, resend caps and proof-of-work anti-automation. Needs the SMS gateway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BB-07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Urdu interface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Full right-to-left layout; interface strings translated, legal wording editable per locale by MMBL — see §11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BB-08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Accessibility (WCAG 2.1 AA)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Substantially conformant, with four named exceptions and automated checks on every change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BB-09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Bulk send to many counterparties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Milestone M4</w:t>
            </w:r>
          </w:p>
        </w:tc>
      </w:tr>
    </w:tbl>
    <w:p>
      <w:pPr>
        <w:spacing w:after="80"/>
      </w:pPr>
    </w:p>
    <w:p>
      <w:pPr>
        <w:pStyle w:val="Heading1"/>
      </w:pPr>
      <w:r>
        <w:t>5. Technical requirements — RFP §4b / §4c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93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8"/>
              </w:rPr>
              <w:t>How it is delivered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TEC-01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Multi-tier web architecture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Presentation, application, asynchronous and data tiers, independently scalable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TEC-02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Modular, API-driven, scalable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Every screen is built on the same public API; OpenAPI generated from the code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TEC-03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High availability across tiers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Multiple replicas, autoscaling, disruption budgets and network policy supplied. Database HA is the bank's platform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TEC-04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Oracle or MSSQL preferred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Delivered on Oracle 19c+. Workspace isolation by Virtual Private Database, encryption at rest by TDE; certified at the M1 acceptance gate before any data is loaded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TEC-05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Microservices on OKE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5B6660"/>
                <w:sz w:val="18"/>
              </w:rPr>
              <w:t>Out of scope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Modular monolith with a separate worker tier — reasoning in §2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TEC-06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Data purging and archiving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Scheduled sweeps, blocked by legal hold, fully audited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TEC-07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Segregated Dev / UAT / Prod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Three environments with promotion gates — see §10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TEC-08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CI/CD pipeline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Lint, type-check, tests, SAST, DAST, dependency and container scanning, SBOM, accessibility scan — all gating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TEC-09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Test-driven development with UAT scripts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1,108 automated tests; the UAT book is a separate submission document, keyed to the IDs used here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TEC-10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API documentation and user manuals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OpenAPI plus role-based manuals; in-product help covers the same ground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TEC-11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Patch management, 48-hour critical TAT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Committed in the SLA document; dependency scanning runs on every build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TEC-12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Backup, offsite and DR-ready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Scripted, encrypted, restore-verified. Enterprise backup tooling integrates at the storage layer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6. Information security — RFP §4d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93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8"/>
              </w:rPr>
              <w:t>How it is delivered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SEC-01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Role-based access control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Built-in and custom roles; an unknown role degrades to viewer rather than to no access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SEC-02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Multi-factor authentication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TOTP, recovery codes, email OTP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SEC-03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FIDO2 / WebAuthn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Passkeys with sign-counter clone detection; an account cannot delete its last remaining factor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SEC-04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Entra ID via SAML 2.0 and OIDC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Both flows implemented with signature verification delegated to a maintained library. Needs IdP metadata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SEC-05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SCIM 2.0 provisioning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Users and groups; needs the SCIM token from MMBL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SEC-06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Session management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Rotating refresh tokens with reuse detection — a replayed token revokes the whole chain and raises a SIEM alert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SEC-07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Step-up authentication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Bound to the action and the object, single-use, five-minute expiry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SEC-08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Separation of duties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Enforced server-side; refusals and overrides both audited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SEC-09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Need-to-know access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Access lists on confidential agreements; break-glass grants an hour and writes its own event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SEC-10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Encryption at rest — TDE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Column-level encryption delivered. TDE is enabled on the bank's database; the application cannot verify it from inside the connection and says so rather than attesting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SEC-11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Encryption in transit — TLS 1.2+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Enforced at the gateway with the bank's certificates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SEC-12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Tamper-evident audit trail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Every entry chained by HMAC to its predecessor, ordered by a monotonic sequence; verification names the first broken row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SEC-13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SIEM feed in CEF with severity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CEF over syslog, classified and severity-mapped. Needs the collector endpoint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SEC-14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Data masking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Applied to the response, not the template — a template-level mask leaves the API returning the real value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SEC-15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Watermarking and download control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Names the viewer, repeated up the page so a crop cannot remove the attribution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SEC-16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Antivirus scan on upload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ClamAV over INSTREAM, failing closed. Needs a reachable daemon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SEC-17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Anti-automation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Proof-of-work and per-identifier backoff. A visual CAPTCHA is deliberately not used — it excludes the customers the accessibility requirement protects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SEC-18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Input validation, secure errors, no hardcoded secrets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Schema validation at every boundary; secret scanning gates the build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SEC-19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Security headers and rate limiting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Redis-backed limiter with an atomic refill, consistent across replicas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SEC-20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OWASP Top 10 and ASVS L2 mapping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Mapped with code references; SAST and DAST both gate the build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SEC-21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Third-party VAPT with remediation SLA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Milestone M5. Facilitated by us, performed by a party MMBL appoints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SEC-22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Data residency — all data in Pakistan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The application refuses to start if any configured endpoint resolves outside the allowlist, and records the check as an audit entry at boot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SEC-23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ISO 27001 / SOC 2 / PCI certification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5B6660"/>
                <w:sz w:val="18"/>
              </w:rPr>
              <w:t>Out of scope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Certifications are held by an organisation, not a product. The control-by-control evidence pack is provided; certification of MMBL's deployment is MMBL's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7. PKI and eSignature</w:t>
      </w:r>
    </w:p>
    <w:p>
      <w:r>
        <w:rPr>
          <w:i w:val="0"/>
        </w:rPr>
        <w:t>The 11%-weighted criterion, and the one where the difference between suppliers is largest. A full technical description is submitted separately (PKI-ARCH-01); this states the scope.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93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8"/>
              </w:rPr>
              <w:t>How it is delivered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PKI-01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In-house Certificate Authority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Offline root, online issuing CA restricted so it cannot mint sub-CAs, delegated OCSP responder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PKI-02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Registration Authority with identity vetting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No certificate without an approved request; an officer cannot approve their own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PKI-03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Full certificate lifecycle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Enrol, issue, renew, suspend, resume, revoke — suspension reversible, revocation terminal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PKI-04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One certificate per signatory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Enforced at issuance and by a database constraint, so a code path that forgets still cannot create a second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PKI-05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CRL and OCSP publishing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Full and delta CRLs; RFC 6960 responder with nonce echo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PKI-06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HSM-protected keys, FIPS 140-2 Level 3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PKCS#11 keystore; keys generated inside the token and non-extractable. Verified against SoftHSM2 in CI — the hardware is MMBL's to supply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PKI-07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PAdES-LTV signing per signatory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Embedded chain, revocation data and RFC 3161 timestamp. Needs the production CA and a timestamp authority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PKI-08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Third-party certificate validation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RFC 5280 path validation for overseas signatories using DigiCert, GlobalSign, Sectigo or Entrust certificates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PKI-09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ECAC chaining readiness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Cross-certification: the accredited root is added later without reissuing a single existing certificate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8"/>
              </w:rPr>
              <w:t>PKI-10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SBOM for the signing stack</w:t>
            </w:r>
          </w:p>
        </w:tc>
        <w:tc>
          <w:tcPr>
            <w:tcW w:type="dxa" w:w="1296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Generated on every build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7EFDC"/>
          </w:tcPr>
          <w:p>
            <w:r/>
            <w:r>
              <w:rPr>
                <w:b/>
                <w:color w:val="7D5807"/>
                <w:sz w:val="16"/>
              </w:rPr>
              <w:t>OPEN COMMERCIAL QUESTION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Annexure item 11 requires a sworn undertaking that the PKI and eSignature engine is proprietary and not an open-source derivative. The certificate authority, registration authority, lifecycle, CRL and OCSP responder are our own implementation built on general-purpose cryptographic primitives. </w:t>
            </w:r>
            <w:r>
              <w:rPr>
                <w:b/>
                <w:sz w:val="19"/>
              </w:rPr>
              <w:t>PDF signature embedding uses pyHanko</w:t>
            </w:r>
            <w:r>
              <w:rPr>
                <w:b w:val="0"/>
                <w:sz w:val="19"/>
              </w:rPr>
              <w:t>, an open-source library, because byte-range embedding is a specification-conformance problem where a hand-rolled implementation would be less trustworthy, not more — and it never receives a private key.</w:t>
            </w:r>
          </w:p>
          <w:p>
            <w:pPr>
              <w:spacing w:after="40"/>
            </w:pPr>
            <w:r>
              <w:rPr>
                <w:sz w:val="19"/>
              </w:rPr>
              <w:t>Whether that composition satisfies the undertaking as drafted is a question for MMBL's counsel and ours. We raise it here rather than discovering it at signature.</w:t>
            </w:r>
          </w:p>
        </w:tc>
      </w:tr>
    </w:tbl>
    <w:p>
      <w:pPr>
        <w:spacing w:after="120"/>
      </w:pPr>
    </w:p>
    <w:p>
      <w:pPr>
        <w:pStyle w:val="Heading1"/>
      </w:pPr>
      <w:r>
        <w:t>8. Integration scope</w:t>
      </w:r>
    </w:p>
    <w:p>
      <w:r>
        <w:rPr>
          <w:i w:val="0"/>
        </w:rPr>
        <w:t>Each integration is delivered as a tested adapter with a documented contract. What MMBL supplies for each is listed in §11.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864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3960"/>
          </w:tcPr>
          <w:p>
            <w:r/>
            <w:r>
              <w:rPr>
                <w:b/>
                <w:sz w:val="18"/>
              </w:rPr>
              <w:t>Mechanism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INT-01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REST API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Bidirectional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3960"/>
          </w:tcPr>
          <w:p>
            <w:r/>
            <w:r>
              <w:rPr>
                <w:sz w:val="18"/>
              </w:rPr>
              <w:t>OpenAPI 3.1, versioned, API-key and OAuth authenticated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INT-02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SOAP facade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Inbound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3960"/>
          </w:tcPr>
          <w:p>
            <w:r/>
            <w:r>
              <w:rPr>
                <w:sz w:val="18"/>
              </w:rPr>
              <w:t>WSDL over the same authorisation model as REST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INT-03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Kong API Gateway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Inbound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3960"/>
          </w:tcPr>
          <w:p>
            <w:r/>
            <w:r>
              <w:rPr>
                <w:sz w:val="18"/>
              </w:rPr>
              <w:t>Declarative configuration supplied with route, auth and rate-limit plugin mapping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INT-04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Entra ID — SAML 2.0 / OIDC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Inbound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3960"/>
          </w:tcPr>
          <w:p>
            <w:r/>
            <w:r>
              <w:rPr>
                <w:sz w:val="18"/>
              </w:rPr>
              <w:t>Needs IdP metadata and a registered reply URL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INT-05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SCIM 2.0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Inbound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3960"/>
          </w:tcPr>
          <w:p>
            <w:r/>
            <w:r>
              <w:rPr>
                <w:sz w:val="18"/>
              </w:rPr>
              <w:t>Needs a bearer token issued by MMBL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INT-06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SIEM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Outbound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3960"/>
          </w:tcPr>
          <w:p>
            <w:r/>
            <w:r>
              <w:rPr>
                <w:sz w:val="18"/>
              </w:rPr>
              <w:t>CEF over syslog; replay endpoint for gaps during a collector outage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INT-07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SMTP relay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Outbound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3960"/>
          </w:tcPr>
          <w:p>
            <w:r/>
            <w:r>
              <w:rPr>
                <w:sz w:val="18"/>
              </w:rPr>
              <w:t>Outbox with retry; delivery state is recorded, not assumed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INT-08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SMS gateway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Outbound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3960"/>
          </w:tcPr>
          <w:p>
            <w:r/>
            <w:r>
              <w:rPr>
                <w:sz w:val="18"/>
              </w:rPr>
              <w:t>HTTP adapter; shares one delivery audit with email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INT-09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Sanctions screening lists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Inbound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3960"/>
          </w:tcPr>
          <w:p>
            <w:r/>
            <w:r>
              <w:rPr>
                <w:sz w:val="18"/>
              </w:rPr>
              <w:t>OFAC, UN, EU, HMT snapshots with alias-aware fuzzy matching; a near match is flagged, a human clears it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INT-10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Webhooks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Outbound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3960"/>
          </w:tcPr>
          <w:p>
            <w:r/>
            <w:r>
              <w:rPr>
                <w:sz w:val="18"/>
              </w:rPr>
              <w:t>HMAC-signed with the timestamp bound into the signature, so a delivery cannot be replayed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INT-11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Microsoft Teams / SharePoint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Outbound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3960"/>
          </w:tcPr>
          <w:p>
            <w:r/>
            <w:r>
              <w:rPr>
                <w:sz w:val="18"/>
              </w:rPr>
              <w:t>Notification and document-copy connectors; need a registered application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INT-12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Outlook calendar reminders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Outbound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3960"/>
          </w:tcPr>
          <w:p>
            <w:r/>
            <w:r>
              <w:rPr>
                <w:sz w:val="18"/>
              </w:rPr>
              <w:t>Standard calendar invitations, so no mailbox permission is required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INT-13</w:t>
            </w:r>
          </w:p>
        </w:tc>
        <w:tc>
          <w:tcPr>
            <w:tcW w:type="dxa" w:w="2088"/>
          </w:tcPr>
          <w:p>
            <w:r/>
            <w:r>
              <w:rPr>
                <w:sz w:val="18"/>
              </w:rPr>
              <w:t>Enterprise backup (Veeam / Commvault)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Outbound</w:t>
            </w:r>
          </w:p>
        </w:tc>
        <w:tc>
          <w:tcPr>
            <w:tcW w:type="dxa" w:w="1224"/>
          </w:tcPr>
          <w:p>
            <w:r/>
            <w:r>
              <w:rPr>
                <w:b/>
                <w:color w:val="0D5741"/>
                <w:sz w:val="18"/>
              </w:rPr>
              <w:t>Complied</w:t>
            </w:r>
          </w:p>
        </w:tc>
        <w:tc>
          <w:tcPr>
            <w:tcW w:type="dxa" w:w="3960"/>
          </w:tcPr>
          <w:p>
            <w:r/>
            <w:r>
              <w:rPr>
                <w:sz w:val="18"/>
              </w:rPr>
              <w:t>Integrates at the storage and database layer; no application agent required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9. Infrastructure and sizing</w:t>
      </w:r>
    </w:p>
    <w:p>
      <w:r>
        <w:rPr>
          <w:i w:val="0"/>
        </w:rPr>
        <w:t>Sized for the volumes in §1 with headroom for the assumed month-end peak. Figures are per environment.</w:t>
      </w:r>
    </w:p>
    <w:p>
      <w:pPr>
        <w:pStyle w:val="Heading2"/>
      </w:pPr>
      <w:r>
        <w:t>9.1 Production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8"/>
              </w:rPr>
              <w:t>Instances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8"/>
              </w:rPr>
              <w:t>vCPU each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8"/>
              </w:rPr>
              <w:t>Memory each</w:t>
            </w:r>
          </w:p>
        </w:tc>
        <w:tc>
          <w:tcPr>
            <w:tcW w:type="dxa" w:w="2376"/>
          </w:tcPr>
          <w:p>
            <w:r/>
            <w:r>
              <w:rPr>
                <w:b/>
                <w:sz w:val="18"/>
              </w:rPr>
              <w:t>Storage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Application (API)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2 → 6 autoscaled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2 GB</w:t>
            </w:r>
          </w:p>
        </w:tc>
        <w:tc>
          <w:tcPr>
            <w:tcW w:type="dxa" w:w="23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Web (UI)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1 GB</w:t>
            </w:r>
          </w:p>
        </w:tc>
        <w:tc>
          <w:tcPr>
            <w:tcW w:type="dxa" w:w="23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Worker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2 → 4 autoscaled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2 GB</w:t>
            </w:r>
          </w:p>
        </w:tc>
        <w:tc>
          <w:tcPr>
            <w:tcW w:type="dxa" w:w="23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Scheduler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1 (singleton)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256 MB</w:t>
            </w:r>
          </w:p>
        </w:tc>
        <w:tc>
          <w:tcPr>
            <w:tcW w:type="dxa" w:w="23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2 (HA pair)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32 GB</w:t>
            </w:r>
          </w:p>
        </w:tc>
        <w:tc>
          <w:tcPr>
            <w:tcW w:type="dxa" w:w="2376"/>
          </w:tcPr>
          <w:p>
            <w:r/>
            <w:r>
              <w:rPr>
                <w:sz w:val="18"/>
              </w:rPr>
              <w:t>2 TB, growing ~180 GB/year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Redis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2 (HA pair)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4 GB</w:t>
            </w:r>
          </w:p>
        </w:tc>
        <w:tc>
          <w:tcPr>
            <w:tcW w:type="dxa" w:w="23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Object storage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76"/>
          </w:tcPr>
          <w:p>
            <w:r/>
            <w:r>
              <w:rPr>
                <w:sz w:val="18"/>
              </w:rPr>
              <w:t>6 TB over 10 years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HSM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2 (HA pair)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76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</w:pPr>
      <w:r>
        <w:t>9.2 Non-production</w:t>
      </w:r>
    </w:p>
    <w:p>
      <w:r>
        <w:rPr>
          <w:i w:val="0"/>
        </w:rPr>
        <w:t>UAT is sized at approximately half of production so performance testing produces numbers that mean something. Development is minimal and shares no data with either.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E9F1EE"/>
          </w:tcPr>
          <w:p>
            <w:r/>
            <w:r>
              <w:rPr>
                <w:b/>
                <w:color w:val="0D5741"/>
                <w:sz w:val="16"/>
              </w:rPr>
              <w:t>STORAGE ARITHMETIC</w:t>
            </w:r>
          </w:p>
          <w:p>
            <w:pPr>
              <w:spacing w:after="40"/>
            </w:pPr>
            <w:r>
              <w:rPr>
                <w:sz w:val="19"/>
              </w:rPr>
              <w:t>100,000 signatures a year, each producing an executed PDF, a certificate of completion and retained versions, at a 2 MB median with allowance for scanned documents at the 50 MB cap. That is roughly 550 GB a year including versions, and about 6 TB across the 10-year retention period. The database itself is small — it holds metadata and the audit chain, not the documents.</w:t>
            </w:r>
          </w:p>
        </w:tc>
      </w:tr>
    </w:tbl>
    <w:p>
      <w:pPr>
        <w:spacing w:after="120"/>
      </w:pPr>
    </w:p>
    <w:p>
      <w:pPr>
        <w:pStyle w:val="Heading2"/>
      </w:pPr>
      <w:r>
        <w:t>9.3 Availability and recovery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Measure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Target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8"/>
              </w:rPr>
              <w:t>How it is met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Service availability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99.5% monthly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Multiple replicas per tier, rolling deployment, health-gated rollout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Recovery point (RPO)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15 minutes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Continuous archiving with point-in-time recovery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Recovery time (RTO)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4 hours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Documented runbook, rehearsed at M5 with evidence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Backup retention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35 days, plus monthly for 10 years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Encrypted, offsite, restore-verified — a backup nobody has restored is a hypothesis</w:t>
            </w:r>
          </w:p>
        </w:tc>
      </w:tr>
    </w:tbl>
    <w:p>
      <w:pPr>
        <w:spacing w:after="80"/>
      </w:pPr>
    </w:p>
    <w:p>
      <w:pPr>
        <w:pStyle w:val="Heading1"/>
      </w:pPr>
      <w:r>
        <w:t>10. Delivery and milestones</w:t>
      </w:r>
    </w:p>
    <w:p>
      <w:r>
        <w:rPr>
          <w:i w:val="0"/>
        </w:rPr>
        <w:t>Within the RFP's stated 2–3 month window, followed by two years of onsite support after go-live.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8"/>
              </w:rPr>
              <w:t>Weeks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2808"/>
          </w:tcPr>
          <w:p>
            <w:r/>
            <w:r>
              <w:rPr>
                <w:b/>
                <w:sz w:val="18"/>
              </w:rPr>
              <w:t>Exit criterion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M1 · Environments and integrations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1–3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Dev, UAT and Production stood up. IdP, gateway, SIEM, SMTP and SMS connected. HSM initialised and the key ceremony performed under dual witness.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An authenticated user can sign in through Entra ID and events reach the SIEM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M2 · Configuration and content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3–6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Templates, clause library, playbooks, approval matrix and workflows configured to MMBL's policies. Role model mapped to real job functions.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An agreement can be originated, approved and executed end to end in UAT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M3 · Data migration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5–8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Existing agreements loaded with metadata and documents, reconciled against source counts.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A reconciliation report accepted by the data owner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M4 · Remaining scope and UAT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6–10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Bulk send (BB-09) delivered. UAT executed against the numbered test book, defects triaged and resolved.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UAT sign-off with no open severity-1 or severity-2 defects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M5 · Assurance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9–11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Load and soak testing against the §1 volumes. DR drill with an evidenced restore. Third-party VAPT (SEC-21) facilitated, findings remediated to the SLA.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Performance, recovery and security reports accepted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M6 · Training and go-live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10–12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Onsite training for at least 15 named resources, recorded by attendance rather than by registration. Cutover, hypercare, then transition to steady-state support.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Production live with the training register complete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11. Exclusions and dependencies</w:t>
      </w:r>
    </w:p>
    <w:p>
      <w:r>
        <w:rPr>
          <w:i w:val="0"/>
        </w:rPr>
        <w:t>Everything the delivery depends on MMBL for, and everything deliberately not included. A dependency discovered in week six is a delay; one listed here is a plan.</w:t>
      </w:r>
    </w:p>
    <w:p>
      <w:pPr>
        <w:pStyle w:val="Heading2"/>
      </w:pPr>
      <w:r>
        <w:t>11.1 MMBL dependencies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Needed for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8"/>
              </w:rPr>
              <w:t>What MMBL supplies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Needed by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PKI-06, PKI-07, SOW-20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HSM appliances, and the certificate for the issuing CA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SEC-04, SEC-05, INT-04, INT-05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Entra ID metadata, reply URL registration, SCIM token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SEC-10, TEC-04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Database instance with TDE enabled, and a DBA contact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SEC-11, TEC-03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TLS certificates, WAF and load balancer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SEC-13, INT-06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SIEM collector endpoint and accepted CEF format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BB-06, INT-08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SMS gateway account and sender ID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SEC-16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Antivirus daemon reachable from the application network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M2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Approved template and clause content, and the approval matrix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M3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Source data extract and a named data owner to accept reconciliation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SEC-21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Appointed VAPT vendor and a testing window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M6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Fifteen named trainees, and a room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BB-07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Urdu legal terminology approved by MMBL's legal team — see 11.2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M2</w:t>
            </w:r>
          </w:p>
        </w:tc>
      </w:tr>
    </w:tbl>
    <w:p>
      <w:pPr>
        <w:spacing w:after="80"/>
      </w:pPr>
    </w:p>
    <w:p>
      <w:pPr>
        <w:pStyle w:val="Heading2"/>
      </w:pPr>
      <w:r>
        <w:t>11.2 Stated limitations</w:t>
      </w:r>
    </w:p>
    <w:p>
      <w:r>
        <w:rPr>
          <w:i w:val="0"/>
        </w:rPr>
        <w:t>Four points of detail an evaluator will want stated explicitly rather than discovered, each with the commitment that covers it.</w:t>
      </w:r>
    </w:p>
    <w:p>
      <w:pPr>
        <w:pStyle w:val="ListBullet"/>
      </w:pPr>
      <w:r>
        <w:rPr>
          <w:b/>
        </w:rPr>
        <w:t xml:space="preserve">Urdu covers the interface, not the legal wording. </w:t>
      </w:r>
      <w:r>
        <w:rPr>
          <w:b w:val="0"/>
        </w:rPr>
        <w:t>Screens, buttons, the signing flow and the customer guide are translated. Help topics, knowledge-base articles and clause text are per-locale content edited in the product, because “terminology aligned to MMBL's internal policy language” is something only MMBL's legal team can supply. Machine-translating legal guidance and shipping it as authoritative would be worse than showing English and saying so.</w:t>
      </w:r>
    </w:p>
    <w:p>
      <w:pPr>
        <w:pStyle w:val="ListBullet"/>
      </w:pPr>
      <w:r>
        <w:rPr>
          <w:b/>
        </w:rPr>
        <w:t xml:space="preserve">Oracle is certified before any data is loaded. </w:t>
      </w:r>
      <w:r>
        <w:rPr>
          <w:b w:val="0"/>
        </w:rPr>
        <w:t>The solution is delivered on Oracle 19c or later, with workspace isolation by Virtual Private Database and encryption at rest by TDE. Standard Edition 2 is sufficient — no Enterprise-only option is used. The M1 acceptance gate runs the complete schema migration, a cross-workspace isolation test and a representative query workload against MMBL’s own instance, and passing it is a condition of proceeding to UAT. We ask for that instance in week one.</w:t>
      </w:r>
    </w:p>
    <w:p>
      <w:pPr>
        <w:pStyle w:val="ListBullet"/>
      </w:pPr>
      <w:r>
        <w:rPr>
          <w:b/>
        </w:rPr>
        <w:t xml:space="preserve">Accessibility conformance is verified, not asserted. </w:t>
      </w:r>
      <w:r>
        <w:rPr>
          <w:b w:val="0"/>
        </w:rPr>
        <w:t>WCAG 2.1 AA conformance is checked automatically on every change at both desktop and phone viewports, and complemented by assisted-technology review with a person — automation finds roughly a third of accessibility defects and no more. A conformance report is delivered at M5.</w:t>
      </w:r>
    </w:p>
    <w:p>
      <w:pPr>
        <w:pStyle w:val="ListBullet"/>
      </w:pPr>
      <w:r>
        <w:rPr>
          <w:b/>
        </w:rPr>
        <w:t xml:space="preserve">Performance targets are evidenced by measurement at M5. </w:t>
      </w:r>
      <w:r>
        <w:rPr>
          <w:b w:val="0"/>
        </w:rPr>
        <w:t>Revocation responses under 200 ms and search under 500 ms are carried by specific design decisions — an indexed single-row lookup and an elliptic-curve responder key, because signature cost dominates the response. They are proven against a corpus sized to MMBL’s ten-year volumes rather than a demonstration set, because a number measured on a few hundred tidy rows is a number nobody should trust.</w:t>
      </w:r>
    </w:p>
    <w:p>
      <w:pPr>
        <w:pStyle w:val="Heading1"/>
      </w:pPr>
      <w:r>
        <w:t>12. Acceptance criteria</w:t>
      </w:r>
    </w:p>
    <w:p>
      <w:r>
        <w:rPr>
          <w:i w:val="0"/>
        </w:rPr>
        <w:t>What “done” means, stated so that neither party has to argue about it later. Each criterion is objective and evidenced.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AC-1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Every requirement marked Delivered or Configured passes its UAT script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Signed UAT book, keyed to the IDs in this document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AC-2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No open severity-1 or severity-2 defect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Defect register at cutover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AC-3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100 concurrent users sustained for one hour within response targets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Load test report with percentile distributions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AC-4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 day's peak signature volume processed without a failed or duplicated signature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Soak test report and the audit trail for the period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AC-5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OCSP p95 under 200 ms; search p95 under 500 ms on the migrated corpus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Measured against production-shaped data, not a synthetic set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AC-6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Restore from backup within the 4-hour RTO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DR drill report, with the restored system verified working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AC-7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Audit chain verifies across the full migrated history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Verification run output, naming zero broken rows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AC-8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VAPT findings remediated to the agreed SLA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Retest report from the appointed vendor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AC-9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Migration reconciles against source counts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Reconciliation report accepted by the data owner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AC-10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At least 15 named resources trained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Attendance register and certification records — attendance, not registration</w:t>
            </w:r>
          </w:p>
        </w:tc>
      </w:tr>
    </w:tbl>
    <w:p>
      <w:pPr>
        <w:spacing w:after="80"/>
      </w:pPr>
    </w:p>
    <w:p/>
    <w:p>
      <w:r>
        <w:rPr>
          <w:i/>
          <w:color w:val="6D7A72"/>
          <w:sz w:val="18"/>
        </w:rPr>
        <w:t>This document is the scope of supply. Where it and a marketing claim disagree, this governs. Where a requirement is not listed, it is not in scope — and if MMBL believes one is missing, raising it during clarification costs nothing and raising it after award costs a change request.</w:t>
      </w:r>
    </w:p>
    <w:p>
      <w:r>
        <w:rPr>
          <w:i/>
          <w:color w:val="6D7A72"/>
          <w:sz w:val="18"/>
        </w:rPr>
        <w:t>Companion submissions: Compliance Matrix · SLA · Implementation Plan · HLD/LLD · Risk Mitigation Strategy · Audit Trail Mechanism · Training Plan · Quality Assurance Plan · PKI Architecture · Hosting &amp; Data Residency Statement · SBOM.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151D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D574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D574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51D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