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3 · MOBILINK MICROFINANCE BANK · CONTRACT LIFECYCLE MANAGEMENT</w:t>
      </w:r>
    </w:p>
    <w:p>
      <w:pPr>
        <w:spacing w:after="200"/>
      </w:pPr>
      <w:r>
        <w:rPr>
          <w:b/>
          <w:color w:val="151D19"/>
          <w:sz w:val="52"/>
        </w:rPr>
        <w:t>Service Level Agreement</w:t>
      </w:r>
    </w:p>
    <w:p>
      <w:pPr>
        <w:spacing w:after="320"/>
      </w:pPr>
      <w:r>
        <w:rPr>
          <w:i w:val="0"/>
          <w:color w:val="4A564F"/>
          <w:sz w:val="24"/>
        </w:rPr>
        <w:t>Availability, response and resolution targets with service credits</w:t>
      </w:r>
    </w:p>
    <w:p>
      <w:pPr>
        <w:spacing w:after="280"/>
      </w:pPr>
      <w:r>
        <w:rPr>
          <w:b w:val="0"/>
        </w:rPr>
        <w:t xml:space="preserve">Each target is measurable from data the bank can see for itself, and each breach carries an </w:t>
      </w:r>
      <w:r>
        <w:rPr>
          <w:b/>
        </w:rPr>
        <w:t>automatic service credit</w:t>
      </w:r>
      <w:r>
        <w:rPr>
          <w:b w:val="0"/>
        </w:rPr>
        <w:t xml:space="preserve"> rather than a discretionary one. A target with no consequence is a statement of intent, not a service level.</w:t>
      </w:r>
    </w:p>
    <w:p>
      <w:r>
        <w:rPr>
          <w:b/>
        </w:rPr>
        <w:t>Annexure item 3.</w:t>
      </w:r>
      <w:r>
        <w:rPr>
          <w:b w:val="0"/>
        </w:rPr>
        <w:t xml:space="preserve"> Commitments for the two-year onsite support period following go-live.</w:t>
      </w:r>
    </w:p>
    <w:p>
      <w:r>
        <w:rPr>
          <w:b w:val="0"/>
        </w:rPr>
        <w:t xml:space="preserve">Every commitment below is measurable, and each states </w:t>
      </w:r>
      <w:r>
        <w:rPr>
          <w:b/>
        </w:rPr>
        <w:t>how it is measured</w:t>
      </w:r>
      <w:r>
        <w:rPr>
          <w:b w:val="0"/>
        </w:rPr>
        <w:t xml:space="preserve"> and </w:t>
      </w:r>
      <w:r>
        <w:rPr>
          <w:b/>
        </w:rPr>
        <w:t>what happens when it is missed</w:t>
      </w:r>
      <w:r>
        <w:rPr>
          <w:b w:val="0"/>
        </w:rPr>
        <w:t>. A target with no measurement method is a statement of intent; a target with no consequence is a statement of hope.</w:t>
      </w:r>
    </w:p>
    <w:p>
      <w:pPr>
        <w:pStyle w:val="Heading1"/>
      </w:pPr>
      <w:r>
        <w:t>1. Service availability</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Service</w:t>
            </w:r>
          </w:p>
        </w:tc>
        <w:tc>
          <w:tcPr>
            <w:tcW w:type="dxa" w:w="3168"/>
          </w:tcPr>
          <w:p>
            <w:r/>
            <w:r>
              <w:rPr>
                <w:b/>
                <w:sz w:val="17"/>
              </w:rPr>
              <w:t>Target</w:t>
            </w:r>
          </w:p>
        </w:tc>
        <w:tc>
          <w:tcPr>
            <w:tcW w:type="dxa" w:w="3168"/>
          </w:tcPr>
          <w:p>
            <w:r/>
            <w:r>
              <w:rPr>
                <w:b/>
                <w:sz w:val="17"/>
              </w:rPr>
              <w:t>Measurement window</w:t>
            </w:r>
          </w:p>
        </w:tc>
      </w:tr>
      <w:tr>
        <w:tc>
          <w:tcPr>
            <w:tcW w:type="dxa" w:w="3168"/>
          </w:tcPr>
          <w:p>
            <w:r/>
            <w:r>
              <w:rPr>
                <w:sz w:val="17"/>
              </w:rPr>
              <w:t>Application (web and API)</w:t>
            </w:r>
          </w:p>
        </w:tc>
        <w:tc>
          <w:tcPr>
            <w:tcW w:type="dxa" w:w="3168"/>
          </w:tcPr>
          <w:p>
            <w:r/>
            <w:r>
              <w:rPr>
                <w:sz w:val="17"/>
              </w:rPr>
              <w:t>99.5%</w:t>
            </w:r>
          </w:p>
        </w:tc>
        <w:tc>
          <w:tcPr>
            <w:tcW w:type="dxa" w:w="3168"/>
          </w:tcPr>
          <w:p>
            <w:r/>
            <w:r>
              <w:rPr>
                <w:sz w:val="17"/>
              </w:rPr>
              <w:t>Calendar month</w:t>
            </w:r>
          </w:p>
        </w:tc>
      </w:tr>
      <w:tr>
        <w:tc>
          <w:tcPr>
            <w:tcW w:type="dxa" w:w="3168"/>
          </w:tcPr>
          <w:p>
            <w:r/>
            <w:r>
              <w:rPr>
                <w:sz w:val="17"/>
              </w:rPr>
              <w:t>Signing portal</w:t>
            </w:r>
          </w:p>
        </w:tc>
        <w:tc>
          <w:tcPr>
            <w:tcW w:type="dxa" w:w="3168"/>
          </w:tcPr>
          <w:p>
            <w:r/>
            <w:r>
              <w:rPr>
                <w:sz w:val="17"/>
              </w:rPr>
              <w:t>99.5%</w:t>
            </w:r>
          </w:p>
        </w:tc>
        <w:tc>
          <w:tcPr>
            <w:tcW w:type="dxa" w:w="3168"/>
          </w:tcPr>
          <w:p>
            <w:r/>
            <w:r>
              <w:rPr>
                <w:sz w:val="17"/>
              </w:rPr>
              <w:t>Calendar month</w:t>
            </w:r>
          </w:p>
        </w:tc>
      </w:tr>
      <w:tr>
        <w:tc>
          <w:tcPr>
            <w:tcW w:type="dxa" w:w="3168"/>
          </w:tcPr>
          <w:p>
            <w:r/>
            <w:r>
              <w:rPr>
                <w:sz w:val="17"/>
              </w:rPr>
              <w:t>OCSP responder</w:t>
            </w:r>
          </w:p>
        </w:tc>
        <w:tc>
          <w:tcPr>
            <w:tcW w:type="dxa" w:w="3168"/>
          </w:tcPr>
          <w:p>
            <w:r/>
            <w:r>
              <w:rPr>
                <w:sz w:val="17"/>
              </w:rPr>
              <w:t>99.9%</w:t>
            </w:r>
          </w:p>
        </w:tc>
        <w:tc>
          <w:tcPr>
            <w:tcW w:type="dxa" w:w="3168"/>
          </w:tcPr>
          <w:p>
            <w:r/>
            <w:r>
              <w:rPr>
                <w:sz w:val="17"/>
              </w:rPr>
              <w:t>Calendar month</w:t>
            </w:r>
          </w:p>
        </w:tc>
      </w:tr>
      <w:tr>
        <w:tc>
          <w:tcPr>
            <w:tcW w:type="dxa" w:w="3168"/>
          </w:tcPr>
          <w:p>
            <w:r/>
            <w:r>
              <w:rPr>
                <w:sz w:val="17"/>
              </w:rPr>
              <w:t>Scheduled jobs (renewals, CRL, retention)</w:t>
            </w:r>
          </w:p>
        </w:tc>
        <w:tc>
          <w:tcPr>
            <w:tcW w:type="dxa" w:w="3168"/>
          </w:tcPr>
          <w:p>
            <w:r/>
            <w:r>
              <w:rPr>
                <w:sz w:val="17"/>
              </w:rPr>
              <w:t>99% of scheduled runs complete</w:t>
            </w:r>
          </w:p>
        </w:tc>
        <w:tc>
          <w:tcPr>
            <w:tcW w:type="dxa" w:w="3168"/>
          </w:tcPr>
          <w:p>
            <w:r/>
            <w:r>
              <w:rPr>
                <w:sz w:val="17"/>
              </w:rPr>
              <w:t>Calendar month</w:t>
            </w:r>
          </w:p>
        </w:tc>
      </w:tr>
    </w:tbl>
    <w:p>
      <w:pPr>
        <w:spacing w:after="80"/>
      </w:pPr>
    </w:p>
    <w:p>
      <w:r>
        <w:rPr>
          <w:b/>
        </w:rPr>
        <w:t>The OCSP responder carries a higher target than the application on purpose.</w:t>
      </w:r>
      <w:r>
        <w:rPr>
          <w:b w:val="0"/>
        </w:rPr>
        <w:t xml:space="preserve"> Relying parties check revocation while validating a signature that may have been made months ago. If the responder is down and the deployment is configured to fail closed, signature validation fails across the whole estate — the blast radius is wider than the application's own.</w:t>
      </w:r>
    </w:p>
    <w:p>
      <w:pPr>
        <w:pStyle w:val="Heading2"/>
      </w:pPr>
      <w:r>
        <w:t>Measured how</w:t>
      </w:r>
    </w:p>
    <w:p>
      <w:r>
        <w:rPr>
          <w:b w:val="0"/>
        </w:rPr>
        <w:t>From the monitoring endpoints, not from a ticket count. Availability is 1 − (unavailable minutes / minutes in month), where unavailable means the readiness probe failing or the error rate above 5% for more than 60 consecutive seconds.</w:t>
      </w:r>
    </w:p>
    <w:p>
      <w:pPr>
        <w:pStyle w:val="Heading2"/>
      </w:pPr>
      <w:r>
        <w:t>Excluded</w:t>
      </w:r>
    </w:p>
    <w:p>
      <w:r>
        <w:rPr>
          <w:b w:val="0"/>
        </w:rPr>
        <w:t xml:space="preserve">Agreed maintenance windows, failures in MMBL-operated infrastructure (network, database, HSM, IdP, gateway), and force majeure. </w:t>
      </w:r>
      <w:r>
        <w:rPr>
          <w:b/>
        </w:rPr>
        <w:t>Exclusions are agreed in advance and recorded</w:t>
      </w:r>
      <w:r>
        <w:rPr>
          <w:b w:val="0"/>
        </w:rPr>
        <w:t>, not claimed retrospectively when a month looks bad.</w:t>
      </w:r>
    </w:p>
    <w:p>
      <w:pPr>
        <w:pStyle w:val="Heading1"/>
      </w:pPr>
      <w:r>
        <w:t>2. Incident response</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Severity</w:t>
            </w:r>
          </w:p>
        </w:tc>
        <w:tc>
          <w:tcPr>
            <w:tcW w:type="dxa" w:w="1901"/>
          </w:tcPr>
          <w:p>
            <w:r/>
            <w:r>
              <w:rPr>
                <w:b/>
                <w:sz w:val="17"/>
              </w:rPr>
              <w:t>Definition</w:t>
            </w:r>
          </w:p>
        </w:tc>
        <w:tc>
          <w:tcPr>
            <w:tcW w:type="dxa" w:w="1901"/>
          </w:tcPr>
          <w:p>
            <w:r/>
            <w:r>
              <w:rPr>
                <w:b/>
                <w:sz w:val="17"/>
              </w:rPr>
              <w:t>Response</w:t>
            </w:r>
          </w:p>
        </w:tc>
        <w:tc>
          <w:tcPr>
            <w:tcW w:type="dxa" w:w="1901"/>
          </w:tcPr>
          <w:p>
            <w:r/>
            <w:r>
              <w:rPr>
                <w:b/>
                <w:sz w:val="17"/>
              </w:rPr>
              <w:t>Workaround</w:t>
            </w:r>
          </w:p>
        </w:tc>
        <w:tc>
          <w:tcPr>
            <w:tcW w:type="dxa" w:w="1901"/>
          </w:tcPr>
          <w:p>
            <w:r/>
            <w:r>
              <w:rPr>
                <w:b/>
                <w:sz w:val="17"/>
              </w:rPr>
              <w:t>Resolution</w:t>
            </w:r>
          </w:p>
        </w:tc>
      </w:tr>
      <w:tr>
        <w:tc>
          <w:tcPr>
            <w:tcW w:type="dxa" w:w="1901"/>
          </w:tcPr>
          <w:p>
            <w:r/>
            <w:r>
              <w:rPr>
                <w:sz w:val="17"/>
              </w:rPr>
              <w:t>P1</w:t>
            </w:r>
          </w:p>
        </w:tc>
        <w:tc>
          <w:tcPr>
            <w:tcW w:type="dxa" w:w="1901"/>
          </w:tcPr>
          <w:p>
            <w:r/>
            <w:r>
              <w:rPr>
                <w:sz w:val="17"/>
              </w:rPr>
              <w:t>Service down, data loss, security breach, or agreements cannot be executed</w:t>
            </w:r>
          </w:p>
        </w:tc>
        <w:tc>
          <w:tcPr>
            <w:tcW w:type="dxa" w:w="1901"/>
          </w:tcPr>
          <w:p>
            <w:r/>
            <w:r>
              <w:rPr>
                <w:b/>
                <w:color w:val="151D19"/>
                <w:sz w:val="17"/>
              </w:rPr>
              <w:t>30 minutes</w:t>
            </w:r>
          </w:p>
        </w:tc>
        <w:tc>
          <w:tcPr>
            <w:tcW w:type="dxa" w:w="1901"/>
          </w:tcPr>
          <w:p>
            <w:r/>
            <w:r>
              <w:rPr>
                <w:sz w:val="17"/>
              </w:rPr>
              <w:t>4 hours</w:t>
            </w:r>
          </w:p>
        </w:tc>
        <w:tc>
          <w:tcPr>
            <w:tcW w:type="dxa" w:w="1901"/>
          </w:tcPr>
          <w:p>
            <w:r/>
            <w:r>
              <w:rPr>
                <w:sz w:val="17"/>
              </w:rPr>
              <w:t>24 hours</w:t>
            </w:r>
          </w:p>
        </w:tc>
      </w:tr>
      <w:tr>
        <w:tc>
          <w:tcPr>
            <w:tcW w:type="dxa" w:w="1901"/>
          </w:tcPr>
          <w:p>
            <w:r/>
            <w:r>
              <w:rPr>
                <w:sz w:val="17"/>
              </w:rPr>
              <w:t>P2</w:t>
            </w:r>
          </w:p>
        </w:tc>
        <w:tc>
          <w:tcPr>
            <w:tcW w:type="dxa" w:w="1901"/>
          </w:tcPr>
          <w:p>
            <w:r/>
            <w:r>
              <w:rPr>
                <w:sz w:val="17"/>
              </w:rPr>
              <w:t>A core function unavailable with no workaround; significant degradation</w:t>
            </w:r>
          </w:p>
        </w:tc>
        <w:tc>
          <w:tcPr>
            <w:tcW w:type="dxa" w:w="1901"/>
          </w:tcPr>
          <w:p>
            <w:r/>
            <w:r>
              <w:rPr>
                <w:b/>
                <w:color w:val="151D19"/>
                <w:sz w:val="17"/>
              </w:rPr>
              <w:t>2 hours</w:t>
            </w:r>
          </w:p>
        </w:tc>
        <w:tc>
          <w:tcPr>
            <w:tcW w:type="dxa" w:w="1901"/>
          </w:tcPr>
          <w:p>
            <w:r/>
            <w:r>
              <w:rPr>
                <w:sz w:val="17"/>
              </w:rPr>
              <w:t>8 hours</w:t>
            </w:r>
          </w:p>
        </w:tc>
        <w:tc>
          <w:tcPr>
            <w:tcW w:type="dxa" w:w="1901"/>
          </w:tcPr>
          <w:p>
            <w:r/>
            <w:r>
              <w:rPr>
                <w:sz w:val="17"/>
              </w:rPr>
              <w:t>3 business days</w:t>
            </w:r>
          </w:p>
        </w:tc>
      </w:tr>
      <w:tr>
        <w:tc>
          <w:tcPr>
            <w:tcW w:type="dxa" w:w="1901"/>
          </w:tcPr>
          <w:p>
            <w:r/>
            <w:r>
              <w:rPr>
                <w:sz w:val="17"/>
              </w:rPr>
              <w:t>P3</w:t>
            </w:r>
          </w:p>
        </w:tc>
        <w:tc>
          <w:tcPr>
            <w:tcW w:type="dxa" w:w="1901"/>
          </w:tcPr>
          <w:p>
            <w:r/>
            <w:r>
              <w:rPr>
                <w:sz w:val="17"/>
              </w:rPr>
              <w:t>A function impaired with a workaround available</w:t>
            </w:r>
          </w:p>
        </w:tc>
        <w:tc>
          <w:tcPr>
            <w:tcW w:type="dxa" w:w="1901"/>
          </w:tcPr>
          <w:p>
            <w:r/>
            <w:r>
              <w:rPr>
                <w:b/>
                <w:color w:val="151D19"/>
                <w:sz w:val="17"/>
              </w:rPr>
              <w:t>8 business hours</w:t>
            </w:r>
          </w:p>
        </w:tc>
        <w:tc>
          <w:tcPr>
            <w:tcW w:type="dxa" w:w="1901"/>
          </w:tcPr>
          <w:p>
            <w:r/>
            <w:r>
              <w:rPr>
                <w:sz w:val="17"/>
              </w:rPr>
              <w:t>—</w:t>
            </w:r>
          </w:p>
        </w:tc>
        <w:tc>
          <w:tcPr>
            <w:tcW w:type="dxa" w:w="1901"/>
          </w:tcPr>
          <w:p>
            <w:r/>
            <w:r>
              <w:rPr>
                <w:sz w:val="17"/>
              </w:rPr>
              <w:t>10 business days</w:t>
            </w:r>
          </w:p>
        </w:tc>
      </w:tr>
      <w:tr>
        <w:tc>
          <w:tcPr>
            <w:tcW w:type="dxa" w:w="1901"/>
          </w:tcPr>
          <w:p>
            <w:r/>
            <w:r>
              <w:rPr>
                <w:sz w:val="17"/>
              </w:rPr>
              <w:t>P4</w:t>
            </w:r>
          </w:p>
        </w:tc>
        <w:tc>
          <w:tcPr>
            <w:tcW w:type="dxa" w:w="1901"/>
          </w:tcPr>
          <w:p>
            <w:r/>
            <w:r>
              <w:rPr>
                <w:sz w:val="17"/>
              </w:rPr>
              <w:t>Cosmetic, or a question</w:t>
            </w:r>
          </w:p>
        </w:tc>
        <w:tc>
          <w:tcPr>
            <w:tcW w:type="dxa" w:w="1901"/>
          </w:tcPr>
          <w:p>
            <w:r/>
            <w:r>
              <w:rPr>
                <w:b/>
                <w:color w:val="151D19"/>
                <w:sz w:val="17"/>
              </w:rPr>
              <w:t>2 business days</w:t>
            </w:r>
          </w:p>
        </w:tc>
        <w:tc>
          <w:tcPr>
            <w:tcW w:type="dxa" w:w="1901"/>
          </w:tcPr>
          <w:p>
            <w:r/>
            <w:r>
              <w:rPr>
                <w:sz w:val="17"/>
              </w:rPr>
              <w:t>—</w:t>
            </w:r>
          </w:p>
        </w:tc>
        <w:tc>
          <w:tcPr>
            <w:tcW w:type="dxa" w:w="1901"/>
          </w:tcPr>
          <w:p>
            <w:r/>
            <w:r>
              <w:rPr>
                <w:sz w:val="17"/>
              </w:rPr>
              <w:t>Next release</w:t>
            </w:r>
          </w:p>
        </w:tc>
      </w:tr>
    </w:tbl>
    <w:p>
      <w:pPr>
        <w:spacing w:after="80"/>
      </w:pPr>
    </w:p>
    <w:p>
      <w:r>
        <w:rPr>
          <w:b/>
        </w:rPr>
        <w:t>Response</w:t>
      </w:r>
      <w:r>
        <w:rPr>
          <w:b w:val="0"/>
        </w:rPr>
        <w:t xml:space="preserve"> means a named engineer is engaged and MMBL has been told who. An automated acknowledgement is not a response.</w:t>
      </w:r>
    </w:p>
    <w:p>
      <w:pPr>
        <w:pStyle w:val="Heading2"/>
      </w:pPr>
      <w:r>
        <w:t>Severity is agreed, not assigned</w:t>
      </w:r>
    </w:p>
    <w:p>
      <w:r>
        <w:rPr>
          <w:b w:val="0"/>
        </w:rPr>
        <w:t xml:space="preserve">Severity is set jointly by MMBL and our support lead. </w:t>
      </w:r>
      <w:r>
        <w:rPr>
          <w:b/>
        </w:rPr>
        <w:t>A supplier who assigns severity alone will always find reasons why a P2 is really a P3</w:t>
      </w:r>
      <w:r>
        <w:rPr>
          <w:b w:val="0"/>
        </w:rPr>
        <w:t>, and the mechanism that prevents that is a shared decision, not good intentions.</w:t>
      </w:r>
    </w:p>
    <w:p>
      <w:pPr>
        <w:pStyle w:val="Heading2"/>
      </w:pPr>
      <w:r>
        <w:t>P1 examples, so there is no argument at 2 a.m.</w:t>
      </w:r>
    </w:p>
    <w:p>
      <w:pPr>
        <w:pStyle w:val="ListBullet"/>
      </w:pPr>
      <w:r>
        <w:rPr>
          <w:b w:val="0"/>
        </w:rPr>
        <w:t>Nobody can sign in</w:t>
      </w:r>
    </w:p>
    <w:p>
      <w:pPr>
        <w:pStyle w:val="ListBullet"/>
      </w:pPr>
      <w:r>
        <w:rPr>
          <w:b w:val="0"/>
        </w:rPr>
        <w:t>An agreement cannot be executed</w:t>
      </w:r>
    </w:p>
    <w:p>
      <w:pPr>
        <w:pStyle w:val="ListBullet"/>
      </w:pPr>
      <w:r>
        <w:rPr>
          <w:b w:val="0"/>
        </w:rPr>
        <w:t>The audit chain fails verification</w:t>
      </w:r>
    </w:p>
    <w:p>
      <w:pPr>
        <w:pStyle w:val="ListBullet"/>
      </w:pPr>
      <w:r>
        <w:rPr>
          <w:b w:val="0"/>
        </w:rPr>
        <w:t>Any confirmed unauthorised data access</w:t>
      </w:r>
    </w:p>
    <w:p>
      <w:pPr>
        <w:pStyle w:val="ListBullet"/>
      </w:pPr>
      <w:r>
        <w:rPr>
          <w:b w:val="0"/>
        </w:rPr>
        <w:t>The OCSP responder returns incorrect status</w:t>
      </w:r>
    </w:p>
    <w:p>
      <w:pPr>
        <w:pStyle w:val="ListBullet"/>
      </w:pPr>
      <w:r>
        <w:rPr>
          <w:b w:val="0"/>
        </w:rPr>
        <w:t>The CA private key is suspected compromised</w:t>
      </w:r>
    </w:p>
    <w:p>
      <w:pPr>
        <w:pStyle w:val="Heading1"/>
      </w:pPr>
      <w:r>
        <w:t>3. Support hours</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Tier</w:t>
            </w:r>
          </w:p>
        </w:tc>
        <w:tc>
          <w:tcPr>
            <w:tcW w:type="dxa" w:w="3168"/>
          </w:tcPr>
          <w:p>
            <w:r/>
            <w:r>
              <w:rPr>
                <w:b/>
                <w:sz w:val="17"/>
              </w:rPr>
              <w:t>Coverage</w:t>
            </w:r>
          </w:p>
        </w:tc>
        <w:tc>
          <w:tcPr>
            <w:tcW w:type="dxa" w:w="3168"/>
          </w:tcPr>
          <w:p>
            <w:r/>
            <w:r>
              <w:rPr>
                <w:b/>
                <w:sz w:val="17"/>
              </w:rPr>
              <w:t>Channel</w:t>
            </w:r>
          </w:p>
        </w:tc>
      </w:tr>
      <w:tr>
        <w:tc>
          <w:tcPr>
            <w:tcW w:type="dxa" w:w="3168"/>
          </w:tcPr>
          <w:p>
            <w:r/>
            <w:r>
              <w:rPr>
                <w:sz w:val="17"/>
              </w:rPr>
              <w:t>L1 — triage, known issues, how-to</w:t>
            </w:r>
          </w:p>
        </w:tc>
        <w:tc>
          <w:tcPr>
            <w:tcW w:type="dxa" w:w="3168"/>
          </w:tcPr>
          <w:p>
            <w:r/>
            <w:r>
              <w:rPr>
                <w:sz w:val="17"/>
              </w:rPr>
              <w:t>24×7</w:t>
            </w:r>
          </w:p>
        </w:tc>
        <w:tc>
          <w:tcPr>
            <w:tcW w:type="dxa" w:w="3168"/>
          </w:tcPr>
          <w:p>
            <w:r/>
            <w:r>
              <w:rPr>
                <w:sz w:val="17"/>
              </w:rPr>
              <w:t>Phone, email, portal</w:t>
            </w:r>
          </w:p>
        </w:tc>
      </w:tr>
      <w:tr>
        <w:tc>
          <w:tcPr>
            <w:tcW w:type="dxa" w:w="3168"/>
          </w:tcPr>
          <w:p>
            <w:r/>
            <w:r>
              <w:rPr>
                <w:sz w:val="17"/>
              </w:rPr>
              <w:t>L2 — configuration, data, integration</w:t>
            </w:r>
          </w:p>
        </w:tc>
        <w:tc>
          <w:tcPr>
            <w:tcW w:type="dxa" w:w="3168"/>
          </w:tcPr>
          <w:p>
            <w:r/>
            <w:r>
              <w:rPr>
                <w:sz w:val="17"/>
              </w:rPr>
              <w:t>Business hours, on-call for P1/P2</w:t>
            </w:r>
          </w:p>
        </w:tc>
        <w:tc>
          <w:tcPr>
            <w:tcW w:type="dxa" w:w="3168"/>
          </w:tcPr>
          <w:p>
            <w:r/>
            <w:r>
              <w:rPr>
                <w:sz w:val="17"/>
              </w:rPr>
              <w:t>Portal, escalated from L1</w:t>
            </w:r>
          </w:p>
        </w:tc>
      </w:tr>
      <w:tr>
        <w:tc>
          <w:tcPr>
            <w:tcW w:type="dxa" w:w="3168"/>
          </w:tcPr>
          <w:p>
            <w:r/>
            <w:r>
              <w:rPr>
                <w:sz w:val="17"/>
              </w:rPr>
              <w:t>L3 — engineering</w:t>
            </w:r>
          </w:p>
        </w:tc>
        <w:tc>
          <w:tcPr>
            <w:tcW w:type="dxa" w:w="3168"/>
          </w:tcPr>
          <w:p>
            <w:r/>
            <w:r>
              <w:rPr>
                <w:sz w:val="17"/>
              </w:rPr>
              <w:t>Business hours, on-call for P1</w:t>
            </w:r>
          </w:p>
        </w:tc>
        <w:tc>
          <w:tcPr>
            <w:tcW w:type="dxa" w:w="3168"/>
          </w:tcPr>
          <w:p>
            <w:r/>
            <w:r>
              <w:rPr>
                <w:sz w:val="17"/>
              </w:rPr>
              <w:t>Escalated from L2</w:t>
            </w:r>
          </w:p>
        </w:tc>
      </w:tr>
      <w:tr>
        <w:tc>
          <w:tcPr>
            <w:tcW w:type="dxa" w:w="3168"/>
          </w:tcPr>
          <w:p>
            <w:r/>
            <w:r>
              <w:rPr>
                <w:sz w:val="17"/>
              </w:rPr>
              <w:t>Onsite presence</w:t>
            </w:r>
          </w:p>
        </w:tc>
        <w:tc>
          <w:tcPr>
            <w:tcW w:type="dxa" w:w="3168"/>
          </w:tcPr>
          <w:p>
            <w:r/>
            <w:r>
              <w:rPr>
                <w:sz w:val="17"/>
              </w:rPr>
              <w:t>Business hours, first 6 months; then on request</w:t>
            </w:r>
          </w:p>
        </w:tc>
        <w:tc>
          <w:tcPr>
            <w:tcW w:type="dxa" w:w="3168"/>
          </w:tcPr>
          <w:p>
            <w:r/>
            <w:r>
              <w:rPr>
                <w:sz w:val="17"/>
              </w:rPr>
              <w:t>On site</w:t>
            </w:r>
          </w:p>
        </w:tc>
      </w:tr>
    </w:tbl>
    <w:p>
      <w:pPr>
        <w:spacing w:after="80"/>
      </w:pPr>
    </w:p>
    <w:p>
      <w:r>
        <w:rPr>
          <w:b w:val="0"/>
        </w:rPr>
        <w:t xml:space="preserve">Business hours: Monday–Friday, 09:00–18:00 PKT, excluding Pakistan public holidays. </w:t>
      </w:r>
      <w:r>
        <w:rPr>
          <w:b/>
        </w:rPr>
        <w:t>P1 response is 24×7 regardless of tier.</w:t>
      </w:r>
    </w:p>
    <w:p>
      <w:pPr>
        <w:pStyle w:val="Heading1"/>
      </w:pPr>
      <w:r>
        <w:t>4. Security patching</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Severity</w:t>
            </w:r>
          </w:p>
        </w:tc>
        <w:tc>
          <w:tcPr>
            <w:tcW w:type="dxa" w:w="3168"/>
          </w:tcPr>
          <w:p>
            <w:r/>
            <w:r>
              <w:rPr>
                <w:b/>
                <w:sz w:val="17"/>
              </w:rPr>
              <w:t>Assessed within</w:t>
            </w:r>
          </w:p>
        </w:tc>
        <w:tc>
          <w:tcPr>
            <w:tcW w:type="dxa" w:w="3168"/>
          </w:tcPr>
          <w:p>
            <w:r/>
            <w:r>
              <w:rPr>
                <w:b/>
                <w:sz w:val="17"/>
              </w:rPr>
              <w:t>Patched within</w:t>
            </w:r>
          </w:p>
        </w:tc>
      </w:tr>
      <w:tr>
        <w:tc>
          <w:tcPr>
            <w:tcW w:type="dxa" w:w="3168"/>
          </w:tcPr>
          <w:p>
            <w:r/>
            <w:r>
              <w:rPr>
                <w:sz w:val="17"/>
              </w:rPr>
              <w:t>Critical (CVSS ≥ 9.0, or actively exploited)</w:t>
            </w:r>
          </w:p>
        </w:tc>
        <w:tc>
          <w:tcPr>
            <w:tcW w:type="dxa" w:w="3168"/>
          </w:tcPr>
          <w:p>
            <w:r/>
            <w:r>
              <w:rPr>
                <w:sz w:val="17"/>
              </w:rPr>
              <w:t>4 hours</w:t>
            </w:r>
          </w:p>
        </w:tc>
        <w:tc>
          <w:tcPr>
            <w:tcW w:type="dxa" w:w="3168"/>
          </w:tcPr>
          <w:p>
            <w:r/>
            <w:r>
              <w:rPr>
                <w:sz w:val="17"/>
              </w:rPr>
              <w:t>48 hours</w:t>
            </w:r>
          </w:p>
        </w:tc>
      </w:tr>
      <w:tr>
        <w:tc>
          <w:tcPr>
            <w:tcW w:type="dxa" w:w="3168"/>
          </w:tcPr>
          <w:p>
            <w:r/>
            <w:r>
              <w:rPr>
                <w:sz w:val="17"/>
              </w:rPr>
              <w:t>High (CVSS 7.0–8.9)</w:t>
            </w:r>
          </w:p>
        </w:tc>
        <w:tc>
          <w:tcPr>
            <w:tcW w:type="dxa" w:w="3168"/>
          </w:tcPr>
          <w:p>
            <w:r/>
            <w:r>
              <w:rPr>
                <w:sz w:val="17"/>
              </w:rPr>
              <w:t>1 business day</w:t>
            </w:r>
          </w:p>
        </w:tc>
        <w:tc>
          <w:tcPr>
            <w:tcW w:type="dxa" w:w="3168"/>
          </w:tcPr>
          <w:p>
            <w:r/>
            <w:r>
              <w:rPr>
                <w:sz w:val="17"/>
              </w:rPr>
              <w:t>7 days</w:t>
            </w:r>
          </w:p>
        </w:tc>
      </w:tr>
      <w:tr>
        <w:tc>
          <w:tcPr>
            <w:tcW w:type="dxa" w:w="3168"/>
          </w:tcPr>
          <w:p>
            <w:r/>
            <w:r>
              <w:rPr>
                <w:sz w:val="17"/>
              </w:rPr>
              <w:t>Medium (CVSS 4.0–6.9)</w:t>
            </w:r>
          </w:p>
        </w:tc>
        <w:tc>
          <w:tcPr>
            <w:tcW w:type="dxa" w:w="3168"/>
          </w:tcPr>
          <w:p>
            <w:r/>
            <w:r>
              <w:rPr>
                <w:sz w:val="17"/>
              </w:rPr>
              <w:t>3 business days</w:t>
            </w:r>
          </w:p>
        </w:tc>
        <w:tc>
          <w:tcPr>
            <w:tcW w:type="dxa" w:w="3168"/>
          </w:tcPr>
          <w:p>
            <w:r/>
            <w:r>
              <w:rPr>
                <w:sz w:val="17"/>
              </w:rPr>
              <w:t>30 days</w:t>
            </w:r>
          </w:p>
        </w:tc>
      </w:tr>
      <w:tr>
        <w:tc>
          <w:tcPr>
            <w:tcW w:type="dxa" w:w="3168"/>
          </w:tcPr>
          <w:p>
            <w:r/>
            <w:r>
              <w:rPr>
                <w:sz w:val="17"/>
              </w:rPr>
              <w:t>Low (CVSS &lt; 4.0)</w:t>
            </w:r>
          </w:p>
        </w:tc>
        <w:tc>
          <w:tcPr>
            <w:tcW w:type="dxa" w:w="3168"/>
          </w:tcPr>
          <w:p>
            <w:r/>
            <w:r>
              <w:rPr>
                <w:sz w:val="17"/>
              </w:rPr>
              <w:t>10 business days</w:t>
            </w:r>
          </w:p>
        </w:tc>
        <w:tc>
          <w:tcPr>
            <w:tcW w:type="dxa" w:w="3168"/>
          </w:tcPr>
          <w:p>
            <w:r/>
            <w:r>
              <w:rPr>
                <w:sz w:val="17"/>
              </w:rPr>
              <w:t>Next scheduled release</w:t>
            </w:r>
          </w:p>
        </w:tc>
      </w:tr>
    </w:tbl>
    <w:p>
      <w:pPr>
        <w:spacing w:after="80"/>
      </w:pPr>
    </w:p>
    <w:p>
      <w:r>
        <w:rPr>
          <w:b w:val="0"/>
        </w:rPr>
        <w:t>The 48-hour critical turnaround is the RFP's requirement and is committed.</w:t>
      </w:r>
    </w:p>
    <w:p>
      <w:r>
        <w:rPr>
          <w:b/>
        </w:rPr>
        <w:t>Assessment is separate from patching for a reason.</w:t>
      </w:r>
      <w:r>
        <w:rPr>
          <w:b w:val="0"/>
        </w:rPr>
        <w:t xml:space="preserve"> Not every critical CVE is exploitable in this deployment — an advisory against a code path the application does not reach is still worth assessing quickly and is not worth an emergency change window. The assessment is written down either way, so "not applicable" is a documented judgement rather than an omission.</w:t>
      </w:r>
    </w:p>
    <w:p>
      <w:r>
        <w:rPr>
          <w:b w:val="0"/>
        </w:rPr>
        <w:t>Dependency and container scanning run on every build, so an advisory is usually known before it is reported.</w:t>
      </w:r>
    </w:p>
    <w:p>
      <w:pPr>
        <w:pStyle w:val="Heading1"/>
      </w:pPr>
      <w:r>
        <w:t>5. Recovery</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Measure</w:t>
            </w:r>
          </w:p>
        </w:tc>
        <w:tc>
          <w:tcPr>
            <w:tcW w:type="dxa" w:w="3168"/>
          </w:tcPr>
          <w:p>
            <w:r/>
            <w:r>
              <w:rPr>
                <w:b/>
                <w:sz w:val="17"/>
              </w:rPr>
              <w:t>Commitment</w:t>
            </w:r>
          </w:p>
        </w:tc>
        <w:tc>
          <w:tcPr>
            <w:tcW w:type="dxa" w:w="3168"/>
          </w:tcPr>
          <w:p>
            <w:r/>
            <w:r>
              <w:rPr>
                <w:b/>
                <w:sz w:val="17"/>
              </w:rPr>
              <w:t>Evidenced by</w:t>
            </w:r>
          </w:p>
        </w:tc>
      </w:tr>
      <w:tr>
        <w:tc>
          <w:tcPr>
            <w:tcW w:type="dxa" w:w="3168"/>
          </w:tcPr>
          <w:p>
            <w:r/>
            <w:r>
              <w:rPr>
                <w:sz w:val="17"/>
              </w:rPr>
              <w:t>RPO — maximum data loss</w:t>
            </w:r>
          </w:p>
        </w:tc>
        <w:tc>
          <w:tcPr>
            <w:tcW w:type="dxa" w:w="3168"/>
          </w:tcPr>
          <w:p>
            <w:r/>
            <w:r>
              <w:rPr>
                <w:sz w:val="17"/>
              </w:rPr>
              <w:t>15 minutes</w:t>
            </w:r>
          </w:p>
        </w:tc>
        <w:tc>
          <w:tcPr>
            <w:tcW w:type="dxa" w:w="3168"/>
          </w:tcPr>
          <w:p>
            <w:r/>
            <w:r>
              <w:rPr>
                <w:sz w:val="17"/>
              </w:rPr>
              <w:t>Continuous archiving with point-in-time recovery</w:t>
            </w:r>
          </w:p>
        </w:tc>
      </w:tr>
      <w:tr>
        <w:tc>
          <w:tcPr>
            <w:tcW w:type="dxa" w:w="3168"/>
          </w:tcPr>
          <w:p>
            <w:r/>
            <w:r>
              <w:rPr>
                <w:sz w:val="17"/>
              </w:rPr>
              <w:t>RTO — time to restore service</w:t>
            </w:r>
          </w:p>
        </w:tc>
        <w:tc>
          <w:tcPr>
            <w:tcW w:type="dxa" w:w="3168"/>
          </w:tcPr>
          <w:p>
            <w:r/>
            <w:r>
              <w:rPr>
                <w:sz w:val="17"/>
              </w:rPr>
              <w:t>4 hours</w:t>
            </w:r>
          </w:p>
        </w:tc>
        <w:tc>
          <w:tcPr>
            <w:tcW w:type="dxa" w:w="3168"/>
          </w:tcPr>
          <w:p>
            <w:r/>
            <w:r>
              <w:rPr>
                <w:sz w:val="17"/>
              </w:rPr>
              <w:t>DR drill with the restored system verified working</w:t>
            </w:r>
          </w:p>
        </w:tc>
      </w:tr>
      <w:tr>
        <w:tc>
          <w:tcPr>
            <w:tcW w:type="dxa" w:w="3168"/>
          </w:tcPr>
          <w:p>
            <w:r/>
            <w:r>
              <w:rPr>
                <w:sz w:val="17"/>
              </w:rPr>
              <w:t>Backup retention</w:t>
            </w:r>
          </w:p>
        </w:tc>
        <w:tc>
          <w:tcPr>
            <w:tcW w:type="dxa" w:w="3168"/>
          </w:tcPr>
          <w:p>
            <w:r/>
            <w:r>
              <w:rPr>
                <w:sz w:val="17"/>
              </w:rPr>
              <w:t>35 days, plus monthly copies for 10 years</w:t>
            </w:r>
          </w:p>
        </w:tc>
        <w:tc>
          <w:tcPr>
            <w:tcW w:type="dxa" w:w="3168"/>
          </w:tcPr>
          <w:p>
            <w:r/>
            <w:r>
              <w:rPr>
                <w:sz w:val="17"/>
              </w:rPr>
              <w:t>Backup catalogue</w:t>
            </w:r>
          </w:p>
        </w:tc>
      </w:tr>
      <w:tr>
        <w:tc>
          <w:tcPr>
            <w:tcW w:type="dxa" w:w="3168"/>
          </w:tcPr>
          <w:p>
            <w:r/>
            <w:r>
              <w:rPr>
                <w:sz w:val="17"/>
              </w:rPr>
              <w:t>Restore verification</w:t>
            </w:r>
          </w:p>
        </w:tc>
        <w:tc>
          <w:tcPr>
            <w:tcW w:type="dxa" w:w="3168"/>
          </w:tcPr>
          <w:p>
            <w:r/>
            <w:r>
              <w:rPr>
                <w:sz w:val="17"/>
              </w:rPr>
              <w:t>Quarterly</w:t>
            </w:r>
          </w:p>
        </w:tc>
        <w:tc>
          <w:tcPr>
            <w:tcW w:type="dxa" w:w="3168"/>
          </w:tcPr>
          <w:p>
            <w:r/>
            <w:r>
              <w:rPr>
                <w:sz w:val="17"/>
              </w:rPr>
              <w:t>Restore test report</w:t>
            </w:r>
          </w:p>
        </w:tc>
      </w:tr>
    </w:tbl>
    <w:p>
      <w:pPr>
        <w:spacing w:after="80"/>
      </w:pPr>
    </w:p>
    <w:p>
      <w:r>
        <w:rPr>
          <w:b/>
        </w:rPr>
        <w:t>Backups are restored quarterly, not merely taken.</w:t>
      </w:r>
      <w:r>
        <w:rPr>
          <w:b w:val="0"/>
        </w:rPr>
        <w:t xml:space="preserve"> A backup nobody has restored is a hypothesis. The quarterly test restores to an isolated environment and verifies that the application starts, data is intact, and the audit chain still verifies across the restored history.</w:t>
      </w:r>
    </w:p>
    <w:p>
      <w:pPr>
        <w:pStyle w:val="Heading1"/>
      </w:pPr>
      <w:r>
        <w:t>6. Change management</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7"/>
              </w:rPr>
              <w:t>Change type</w:t>
            </w:r>
          </w:p>
        </w:tc>
        <w:tc>
          <w:tcPr>
            <w:tcW w:type="dxa" w:w="2376"/>
          </w:tcPr>
          <w:p>
            <w:r/>
            <w:r>
              <w:rPr>
                <w:b/>
                <w:sz w:val="17"/>
              </w:rPr>
              <w:t>Notice</w:t>
            </w:r>
          </w:p>
        </w:tc>
        <w:tc>
          <w:tcPr>
            <w:tcW w:type="dxa" w:w="2376"/>
          </w:tcPr>
          <w:p>
            <w:r/>
            <w:r>
              <w:rPr>
                <w:b/>
                <w:sz w:val="17"/>
              </w:rPr>
              <w:t>Window</w:t>
            </w:r>
          </w:p>
        </w:tc>
        <w:tc>
          <w:tcPr>
            <w:tcW w:type="dxa" w:w="2376"/>
          </w:tcPr>
          <w:p>
            <w:r/>
            <w:r>
              <w:rPr>
                <w:b/>
                <w:sz w:val="17"/>
              </w:rPr>
              <w:t>Approval</w:t>
            </w:r>
          </w:p>
        </w:tc>
      </w:tr>
      <w:tr>
        <w:tc>
          <w:tcPr>
            <w:tcW w:type="dxa" w:w="2376"/>
          </w:tcPr>
          <w:p>
            <w:r/>
            <w:r>
              <w:rPr>
                <w:sz w:val="17"/>
              </w:rPr>
              <w:t>Emergency (P1 fix)</w:t>
            </w:r>
          </w:p>
        </w:tc>
        <w:tc>
          <w:tcPr>
            <w:tcW w:type="dxa" w:w="2376"/>
          </w:tcPr>
          <w:p>
            <w:r/>
            <w:r>
              <w:rPr>
                <w:sz w:val="17"/>
              </w:rPr>
              <w:t>Immediate, notified during</w:t>
            </w:r>
          </w:p>
        </w:tc>
        <w:tc>
          <w:tcPr>
            <w:tcW w:type="dxa" w:w="2376"/>
          </w:tcPr>
          <w:p>
            <w:r/>
            <w:r>
              <w:rPr>
                <w:sz w:val="17"/>
              </w:rPr>
              <w:t>Any</w:t>
            </w:r>
          </w:p>
        </w:tc>
        <w:tc>
          <w:tcPr>
            <w:tcW w:type="dxa" w:w="2376"/>
          </w:tcPr>
          <w:p>
            <w:r/>
            <w:r>
              <w:rPr>
                <w:sz w:val="17"/>
              </w:rPr>
              <w:t>Post-hoc, within 24 h</w:t>
            </w:r>
          </w:p>
        </w:tc>
      </w:tr>
      <w:tr>
        <w:tc>
          <w:tcPr>
            <w:tcW w:type="dxa" w:w="2376"/>
          </w:tcPr>
          <w:p>
            <w:r/>
            <w:r>
              <w:rPr>
                <w:sz w:val="17"/>
              </w:rPr>
              <w:t>Standard release</w:t>
            </w:r>
          </w:p>
        </w:tc>
        <w:tc>
          <w:tcPr>
            <w:tcW w:type="dxa" w:w="2376"/>
          </w:tcPr>
          <w:p>
            <w:r/>
            <w:r>
              <w:rPr>
                <w:sz w:val="17"/>
              </w:rPr>
              <w:t>5 business days</w:t>
            </w:r>
          </w:p>
        </w:tc>
        <w:tc>
          <w:tcPr>
            <w:tcW w:type="dxa" w:w="2376"/>
          </w:tcPr>
          <w:p>
            <w:r/>
            <w:r>
              <w:rPr>
                <w:sz w:val="17"/>
              </w:rPr>
              <w:t>Agreed maintenance window</w:t>
            </w:r>
          </w:p>
        </w:tc>
        <w:tc>
          <w:tcPr>
            <w:tcW w:type="dxa" w:w="2376"/>
          </w:tcPr>
          <w:p>
            <w:r/>
            <w:r>
              <w:rPr>
                <w:sz w:val="17"/>
              </w:rPr>
              <w:t>MMBL change board</w:t>
            </w:r>
          </w:p>
        </w:tc>
      </w:tr>
      <w:tr>
        <w:tc>
          <w:tcPr>
            <w:tcW w:type="dxa" w:w="2376"/>
          </w:tcPr>
          <w:p>
            <w:r/>
            <w:r>
              <w:rPr>
                <w:sz w:val="17"/>
              </w:rPr>
              <w:t>Configuration</w:t>
            </w:r>
          </w:p>
        </w:tc>
        <w:tc>
          <w:tcPr>
            <w:tcW w:type="dxa" w:w="2376"/>
          </w:tcPr>
          <w:p>
            <w:r/>
            <w:r>
              <w:rPr>
                <w:sz w:val="17"/>
              </w:rPr>
              <w:t>2 business days</w:t>
            </w:r>
          </w:p>
        </w:tc>
        <w:tc>
          <w:tcPr>
            <w:tcW w:type="dxa" w:w="2376"/>
          </w:tcPr>
          <w:p>
            <w:r/>
            <w:r>
              <w:rPr>
                <w:sz w:val="17"/>
              </w:rPr>
              <w:t>Business hours</w:t>
            </w:r>
          </w:p>
        </w:tc>
        <w:tc>
          <w:tcPr>
            <w:tcW w:type="dxa" w:w="2376"/>
          </w:tcPr>
          <w:p>
            <w:r/>
            <w:r>
              <w:rPr>
                <w:sz w:val="17"/>
              </w:rPr>
              <w:t>MMBL business owner</w:t>
            </w:r>
          </w:p>
        </w:tc>
      </w:tr>
      <w:tr>
        <w:tc>
          <w:tcPr>
            <w:tcW w:type="dxa" w:w="2376"/>
          </w:tcPr>
          <w:p>
            <w:r/>
            <w:r>
              <w:rPr>
                <w:sz w:val="17"/>
              </w:rPr>
              <w:t>Infrastructure</w:t>
            </w:r>
          </w:p>
        </w:tc>
        <w:tc>
          <w:tcPr>
            <w:tcW w:type="dxa" w:w="2376"/>
          </w:tcPr>
          <w:p>
            <w:r/>
            <w:r>
              <w:rPr>
                <w:sz w:val="17"/>
              </w:rPr>
              <w:t>10 business days</w:t>
            </w:r>
          </w:p>
        </w:tc>
        <w:tc>
          <w:tcPr>
            <w:tcW w:type="dxa" w:w="2376"/>
          </w:tcPr>
          <w:p>
            <w:r/>
            <w:r>
              <w:rPr>
                <w:sz w:val="17"/>
              </w:rPr>
              <w:t>Agreed window</w:t>
            </w:r>
          </w:p>
        </w:tc>
        <w:tc>
          <w:tcPr>
            <w:tcW w:type="dxa" w:w="2376"/>
          </w:tcPr>
          <w:p>
            <w:r/>
            <w:r>
              <w:rPr>
                <w:sz w:val="17"/>
              </w:rPr>
              <w:t>MMBL change board</w:t>
            </w:r>
          </w:p>
        </w:tc>
      </w:tr>
    </w:tbl>
    <w:p>
      <w:pPr>
        <w:spacing w:after="80"/>
      </w:pPr>
    </w:p>
    <w:p>
      <w:r>
        <w:rPr>
          <w:b w:val="0"/>
        </w:rPr>
        <w:t xml:space="preserve">Every release passes the full CI gate set before it is offered. A release that cannot pass the gates is not deployed, including under P1 pressure — </w:t>
      </w:r>
      <w:r>
        <w:rPr>
          <w:b/>
        </w:rPr>
        <w:t>the emergency path is a faster review, not a skipped one</w:t>
      </w:r>
      <w:r>
        <w:rPr>
          <w:b w:val="0"/>
        </w:rPr>
        <w:t>, because a hotfix that causes a second incident is how a bad day becomes a bad week.</w:t>
      </w:r>
    </w:p>
    <w:p>
      <w:pPr>
        <w:pStyle w:val="Heading1"/>
      </w:pPr>
      <w:r>
        <w:t>7. Reporting</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Report</w:t>
            </w:r>
          </w:p>
        </w:tc>
        <w:tc>
          <w:tcPr>
            <w:tcW w:type="dxa" w:w="3168"/>
          </w:tcPr>
          <w:p>
            <w:r/>
            <w:r>
              <w:rPr>
                <w:b/>
                <w:sz w:val="17"/>
              </w:rPr>
              <w:t>Frequency</w:t>
            </w:r>
          </w:p>
        </w:tc>
        <w:tc>
          <w:tcPr>
            <w:tcW w:type="dxa" w:w="3168"/>
          </w:tcPr>
          <w:p>
            <w:r/>
            <w:r>
              <w:rPr>
                <w:b/>
                <w:sz w:val="17"/>
              </w:rPr>
              <w:t>Contents</w:t>
            </w:r>
          </w:p>
        </w:tc>
      </w:tr>
      <w:tr>
        <w:tc>
          <w:tcPr>
            <w:tcW w:type="dxa" w:w="3168"/>
          </w:tcPr>
          <w:p>
            <w:r/>
            <w:r>
              <w:rPr>
                <w:sz w:val="17"/>
              </w:rPr>
              <w:t>Service report</w:t>
            </w:r>
          </w:p>
        </w:tc>
        <w:tc>
          <w:tcPr>
            <w:tcW w:type="dxa" w:w="3168"/>
          </w:tcPr>
          <w:p>
            <w:r/>
            <w:r>
              <w:rPr>
                <w:sz w:val="17"/>
              </w:rPr>
              <w:t>Monthly</w:t>
            </w:r>
          </w:p>
        </w:tc>
        <w:tc>
          <w:tcPr>
            <w:tcW w:type="dxa" w:w="3168"/>
          </w:tcPr>
          <w:p>
            <w:r/>
            <w:r>
              <w:rPr>
                <w:sz w:val="17"/>
              </w:rPr>
              <w:t>Availability against target, incidents by severity, response and resolution against SLA, patches applied, changes made</w:t>
            </w:r>
          </w:p>
        </w:tc>
      </w:tr>
      <w:tr>
        <w:tc>
          <w:tcPr>
            <w:tcW w:type="dxa" w:w="3168"/>
          </w:tcPr>
          <w:p>
            <w:r/>
            <w:r>
              <w:rPr>
                <w:sz w:val="17"/>
              </w:rPr>
              <w:t>Security report</w:t>
            </w:r>
          </w:p>
        </w:tc>
        <w:tc>
          <w:tcPr>
            <w:tcW w:type="dxa" w:w="3168"/>
          </w:tcPr>
          <w:p>
            <w:r/>
            <w:r>
              <w:rPr>
                <w:sz w:val="17"/>
              </w:rPr>
              <w:t>Monthly</w:t>
            </w:r>
          </w:p>
        </w:tc>
        <w:tc>
          <w:tcPr>
            <w:tcW w:type="dxa" w:w="3168"/>
          </w:tcPr>
          <w:p>
            <w:r/>
            <w:r>
              <w:rPr>
                <w:sz w:val="17"/>
              </w:rPr>
              <w:t>Vulnerabilities found and remediated, scan results, SIEM alert summary, access reviews</w:t>
            </w:r>
          </w:p>
        </w:tc>
      </w:tr>
      <w:tr>
        <w:tc>
          <w:tcPr>
            <w:tcW w:type="dxa" w:w="3168"/>
          </w:tcPr>
          <w:p>
            <w:r/>
            <w:r>
              <w:rPr>
                <w:sz w:val="17"/>
              </w:rPr>
              <w:t>Risk review</w:t>
            </w:r>
          </w:p>
        </w:tc>
        <w:tc>
          <w:tcPr>
            <w:tcW w:type="dxa" w:w="3168"/>
          </w:tcPr>
          <w:p>
            <w:r/>
            <w:r>
              <w:rPr>
                <w:sz w:val="17"/>
              </w:rPr>
              <w:t>Fortnightly</w:t>
            </w:r>
          </w:p>
        </w:tc>
        <w:tc>
          <w:tcPr>
            <w:tcW w:type="dxa" w:w="3168"/>
          </w:tcPr>
          <w:p>
            <w:r/>
            <w:r>
              <w:rPr>
                <w:sz w:val="17"/>
              </w:rPr>
              <w:t>The risk register — residuals, triggers fired, new entries</w:t>
            </w:r>
          </w:p>
        </w:tc>
      </w:tr>
      <w:tr>
        <w:tc>
          <w:tcPr>
            <w:tcW w:type="dxa" w:w="3168"/>
          </w:tcPr>
          <w:p>
            <w:r/>
            <w:r>
              <w:rPr>
                <w:sz w:val="17"/>
              </w:rPr>
              <w:t>Capacity report</w:t>
            </w:r>
          </w:p>
        </w:tc>
        <w:tc>
          <w:tcPr>
            <w:tcW w:type="dxa" w:w="3168"/>
          </w:tcPr>
          <w:p>
            <w:r/>
            <w:r>
              <w:rPr>
                <w:sz w:val="17"/>
              </w:rPr>
              <w:t>Quarterly</w:t>
            </w:r>
          </w:p>
        </w:tc>
        <w:tc>
          <w:tcPr>
            <w:tcW w:type="dxa" w:w="3168"/>
          </w:tcPr>
          <w:p>
            <w:r/>
            <w:r>
              <w:rPr>
                <w:sz w:val="17"/>
              </w:rPr>
              <w:t>Storage growth, response-time trends, headroom against sizing</w:t>
            </w:r>
          </w:p>
        </w:tc>
      </w:tr>
      <w:tr>
        <w:tc>
          <w:tcPr>
            <w:tcW w:type="dxa" w:w="3168"/>
          </w:tcPr>
          <w:p>
            <w:r/>
            <w:r>
              <w:rPr>
                <w:sz w:val="17"/>
              </w:rPr>
              <w:t>DR test report</w:t>
            </w:r>
          </w:p>
        </w:tc>
        <w:tc>
          <w:tcPr>
            <w:tcW w:type="dxa" w:w="3168"/>
          </w:tcPr>
          <w:p>
            <w:r/>
            <w:r>
              <w:rPr>
                <w:sz w:val="17"/>
              </w:rPr>
              <w:t>Quarterly</w:t>
            </w:r>
          </w:p>
        </w:tc>
        <w:tc>
          <w:tcPr>
            <w:tcW w:type="dxa" w:w="3168"/>
          </w:tcPr>
          <w:p>
            <w:r/>
            <w:r>
              <w:rPr>
                <w:sz w:val="17"/>
              </w:rPr>
              <w:t>Restore test result with evidence</w:t>
            </w:r>
          </w:p>
        </w:tc>
      </w:tr>
    </w:tbl>
    <w:p>
      <w:pPr>
        <w:spacing w:after="80"/>
      </w:pPr>
    </w:p>
    <w:p>
      <w:r>
        <w:rPr>
          <w:b/>
        </w:rPr>
        <w:t>A missed SLA appears in the monthly report whether or not MMBL raised it.</w:t>
      </w:r>
      <w:r>
        <w:rPr>
          <w:b w:val="0"/>
        </w:rPr>
        <w:t xml:space="preserve"> Self-reporting is the difference between a service report and a marketing document.</w:t>
      </w:r>
    </w:p>
    <w:p>
      <w:pPr>
        <w:pStyle w:val="Heading1"/>
      </w:pPr>
      <w:r>
        <w:t>8. Service credits</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Monthly availability</w:t>
            </w:r>
          </w:p>
        </w:tc>
        <w:tc>
          <w:tcPr>
            <w:tcW w:type="dxa" w:w="4752"/>
          </w:tcPr>
          <w:p>
            <w:r/>
            <w:r>
              <w:rPr>
                <w:b/>
                <w:sz w:val="17"/>
              </w:rPr>
              <w:t>Credit (% of monthly fee)</w:t>
            </w:r>
          </w:p>
        </w:tc>
      </w:tr>
      <w:tr>
        <w:tc>
          <w:tcPr>
            <w:tcW w:type="dxa" w:w="4752"/>
          </w:tcPr>
          <w:p>
            <w:r/>
            <w:r>
              <w:rPr>
                <w:sz w:val="17"/>
              </w:rPr>
              <w:t>≥ 99.5%</w:t>
            </w:r>
          </w:p>
        </w:tc>
        <w:tc>
          <w:tcPr>
            <w:tcW w:type="dxa" w:w="4752"/>
          </w:tcPr>
          <w:p>
            <w:r/>
            <w:r>
              <w:rPr>
                <w:sz w:val="17"/>
              </w:rPr>
              <w:t>None — target met</w:t>
            </w:r>
          </w:p>
        </w:tc>
      </w:tr>
      <w:tr>
        <w:tc>
          <w:tcPr>
            <w:tcW w:type="dxa" w:w="4752"/>
          </w:tcPr>
          <w:p>
            <w:r/>
            <w:r>
              <w:rPr>
                <w:sz w:val="17"/>
              </w:rPr>
              <w:t>99.0% – 99.49%</w:t>
            </w:r>
          </w:p>
        </w:tc>
        <w:tc>
          <w:tcPr>
            <w:tcW w:type="dxa" w:w="4752"/>
          </w:tcPr>
          <w:p>
            <w:r/>
            <w:r>
              <w:rPr>
                <w:sz w:val="17"/>
              </w:rPr>
              <w:t>5%</w:t>
            </w:r>
          </w:p>
        </w:tc>
      </w:tr>
      <w:tr>
        <w:tc>
          <w:tcPr>
            <w:tcW w:type="dxa" w:w="4752"/>
          </w:tcPr>
          <w:p>
            <w:r/>
            <w:r>
              <w:rPr>
                <w:sz w:val="17"/>
              </w:rPr>
              <w:t>98.0% – 98.99%</w:t>
            </w:r>
          </w:p>
        </w:tc>
        <w:tc>
          <w:tcPr>
            <w:tcW w:type="dxa" w:w="4752"/>
          </w:tcPr>
          <w:p>
            <w:r/>
            <w:r>
              <w:rPr>
                <w:sz w:val="17"/>
              </w:rPr>
              <w:t>10%</w:t>
            </w:r>
          </w:p>
        </w:tc>
      </w:tr>
      <w:tr>
        <w:tc>
          <w:tcPr>
            <w:tcW w:type="dxa" w:w="4752"/>
          </w:tcPr>
          <w:p>
            <w:r/>
            <w:r>
              <w:rPr>
                <w:sz w:val="17"/>
              </w:rPr>
              <w:t>95.0% – 97.99%</w:t>
            </w:r>
          </w:p>
        </w:tc>
        <w:tc>
          <w:tcPr>
            <w:tcW w:type="dxa" w:w="4752"/>
          </w:tcPr>
          <w:p>
            <w:r/>
            <w:r>
              <w:rPr>
                <w:sz w:val="17"/>
              </w:rPr>
              <w:t>20%</w:t>
            </w:r>
          </w:p>
        </w:tc>
      </w:tr>
      <w:tr>
        <w:tc>
          <w:tcPr>
            <w:tcW w:type="dxa" w:w="4752"/>
          </w:tcPr>
          <w:p>
            <w:r/>
            <w:r>
              <w:rPr>
                <w:sz w:val="17"/>
              </w:rPr>
              <w:t>&lt; 95.0%</w:t>
            </w:r>
          </w:p>
        </w:tc>
        <w:tc>
          <w:tcPr>
            <w:tcW w:type="dxa" w:w="4752"/>
          </w:tcPr>
          <w:p>
            <w:r/>
            <w:r>
              <w:rPr>
                <w:sz w:val="17"/>
              </w:rPr>
              <w:t>30%</w:t>
            </w:r>
          </w:p>
        </w:tc>
      </w:tr>
    </w:tbl>
    <w:p>
      <w:pPr>
        <w:spacing w:after="80"/>
      </w:pP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SLA breached</w:t>
            </w:r>
          </w:p>
        </w:tc>
        <w:tc>
          <w:tcPr>
            <w:tcW w:type="dxa" w:w="4752"/>
          </w:tcPr>
          <w:p>
            <w:r/>
            <w:r>
              <w:rPr>
                <w:b/>
                <w:sz w:val="17"/>
              </w:rPr>
              <w:t>Credit</w:t>
            </w:r>
          </w:p>
        </w:tc>
      </w:tr>
      <w:tr>
        <w:tc>
          <w:tcPr>
            <w:tcW w:type="dxa" w:w="4752"/>
          </w:tcPr>
          <w:p>
            <w:r/>
            <w:r>
              <w:rPr>
                <w:sz w:val="17"/>
              </w:rPr>
              <w:t>P1 response missed</w:t>
            </w:r>
          </w:p>
        </w:tc>
        <w:tc>
          <w:tcPr>
            <w:tcW w:type="dxa" w:w="4752"/>
          </w:tcPr>
          <w:p>
            <w:r/>
            <w:r>
              <w:rPr>
                <w:sz w:val="17"/>
              </w:rPr>
              <w:t>5% per occurrence</w:t>
            </w:r>
          </w:p>
        </w:tc>
      </w:tr>
      <w:tr>
        <w:tc>
          <w:tcPr>
            <w:tcW w:type="dxa" w:w="4752"/>
          </w:tcPr>
          <w:p>
            <w:r/>
            <w:r>
              <w:rPr>
                <w:sz w:val="17"/>
              </w:rPr>
              <w:t>P1 resolution missed</w:t>
            </w:r>
          </w:p>
        </w:tc>
        <w:tc>
          <w:tcPr>
            <w:tcW w:type="dxa" w:w="4752"/>
          </w:tcPr>
          <w:p>
            <w:r/>
            <w:r>
              <w:rPr>
                <w:sz w:val="17"/>
              </w:rPr>
              <w:t>10% per occurrence</w:t>
            </w:r>
          </w:p>
        </w:tc>
      </w:tr>
      <w:tr>
        <w:tc>
          <w:tcPr>
            <w:tcW w:type="dxa" w:w="4752"/>
          </w:tcPr>
          <w:p>
            <w:r/>
            <w:r>
              <w:rPr>
                <w:sz w:val="17"/>
              </w:rPr>
              <w:t>Critical patch beyond 48 hours</w:t>
            </w:r>
          </w:p>
        </w:tc>
        <w:tc>
          <w:tcPr>
            <w:tcW w:type="dxa" w:w="4752"/>
          </w:tcPr>
          <w:p>
            <w:r/>
            <w:r>
              <w:rPr>
                <w:sz w:val="17"/>
              </w:rPr>
              <w:t>10% per occurrence</w:t>
            </w:r>
          </w:p>
        </w:tc>
      </w:tr>
    </w:tbl>
    <w:p>
      <w:pPr>
        <w:spacing w:after="80"/>
      </w:pPr>
    </w:p>
    <w:p>
      <w:r>
        <w:rPr>
          <w:b w:val="0"/>
        </w:rPr>
        <w:t xml:space="preserve">Credits are capped at 30% of the monthly fee and are applied automatically from our own service report — </w:t>
      </w:r>
      <w:r>
        <w:rPr>
          <w:b/>
        </w:rPr>
        <w:t>MMBL does not have to claim them</w:t>
      </w:r>
      <w:r>
        <w:rPr>
          <w:b w:val="0"/>
        </w:rPr>
        <w:t>. A credit regime that depends on the customer noticing is one the supplier profits from when the customer is busy.</w:t>
      </w:r>
    </w:p>
    <w:p>
      <w:r>
        <w:rPr>
          <w:b w:val="0"/>
        </w:rPr>
        <w:t>Credits are the agreed remedy for service failures and do not limit liability for data loss, security breach, or breach of the data residency commitment.</w:t>
      </w:r>
    </w:p>
    <w:p>
      <w:pPr>
        <w:pStyle w:val="Heading1"/>
      </w:pPr>
      <w:r>
        <w:t>9. What is excluded, and who owns it</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Excluded</w:t>
            </w:r>
          </w:p>
        </w:tc>
        <w:tc>
          <w:tcPr>
            <w:tcW w:type="dxa" w:w="4752"/>
          </w:tcPr>
          <w:p>
            <w:r/>
            <w:r>
              <w:rPr>
                <w:b/>
                <w:sz w:val="17"/>
              </w:rPr>
              <w:t>Owner</w:t>
            </w:r>
          </w:p>
        </w:tc>
      </w:tr>
      <w:tr>
        <w:tc>
          <w:tcPr>
            <w:tcW w:type="dxa" w:w="4752"/>
          </w:tcPr>
          <w:p>
            <w:r/>
            <w:r>
              <w:rPr>
                <w:sz w:val="17"/>
              </w:rPr>
              <w:t>Network, firewall, WAF, load balancer</w:t>
            </w:r>
          </w:p>
        </w:tc>
        <w:tc>
          <w:tcPr>
            <w:tcW w:type="dxa" w:w="4752"/>
          </w:tcPr>
          <w:p>
            <w:r/>
            <w:r>
              <w:rPr>
                <w:sz w:val="17"/>
              </w:rPr>
              <w:t>MMBL</w:t>
            </w:r>
          </w:p>
        </w:tc>
      </w:tr>
      <w:tr>
        <w:tc>
          <w:tcPr>
            <w:tcW w:type="dxa" w:w="4752"/>
          </w:tcPr>
          <w:p>
            <w:r/>
            <w:r>
              <w:rPr>
                <w:sz w:val="17"/>
              </w:rPr>
              <w:t>Database platform, licensing, HA, TDE</w:t>
            </w:r>
          </w:p>
        </w:tc>
        <w:tc>
          <w:tcPr>
            <w:tcW w:type="dxa" w:w="4752"/>
          </w:tcPr>
          <w:p>
            <w:r/>
            <w:r>
              <w:rPr>
                <w:sz w:val="17"/>
              </w:rPr>
              <w:t>MMBL</w:t>
            </w:r>
          </w:p>
        </w:tc>
      </w:tr>
      <w:tr>
        <w:tc>
          <w:tcPr>
            <w:tcW w:type="dxa" w:w="4752"/>
          </w:tcPr>
          <w:p>
            <w:r/>
            <w:r>
              <w:rPr>
                <w:sz w:val="17"/>
              </w:rPr>
              <w:t>HSM hardware, firmware, PKI accreditation</w:t>
            </w:r>
          </w:p>
        </w:tc>
        <w:tc>
          <w:tcPr>
            <w:tcW w:type="dxa" w:w="4752"/>
          </w:tcPr>
          <w:p>
            <w:r/>
            <w:r>
              <w:rPr>
                <w:sz w:val="17"/>
              </w:rPr>
              <w:t>MMBL</w:t>
            </w:r>
          </w:p>
        </w:tc>
      </w:tr>
      <w:tr>
        <w:tc>
          <w:tcPr>
            <w:tcW w:type="dxa" w:w="4752"/>
          </w:tcPr>
          <w:p>
            <w:r/>
            <w:r>
              <w:rPr>
                <w:sz w:val="17"/>
              </w:rPr>
              <w:t>Identity provider availability</w:t>
            </w:r>
          </w:p>
        </w:tc>
        <w:tc>
          <w:tcPr>
            <w:tcW w:type="dxa" w:w="4752"/>
          </w:tcPr>
          <w:p>
            <w:r/>
            <w:r>
              <w:rPr>
                <w:sz w:val="17"/>
              </w:rPr>
              <w:t>MMBL</w:t>
            </w:r>
          </w:p>
        </w:tc>
      </w:tr>
      <w:tr>
        <w:tc>
          <w:tcPr>
            <w:tcW w:type="dxa" w:w="4752"/>
          </w:tcPr>
          <w:p>
            <w:r/>
            <w:r>
              <w:rPr>
                <w:sz w:val="17"/>
              </w:rPr>
              <w:t>SMS gateway and mail relay availability</w:t>
            </w:r>
          </w:p>
        </w:tc>
        <w:tc>
          <w:tcPr>
            <w:tcW w:type="dxa" w:w="4752"/>
          </w:tcPr>
          <w:p>
            <w:r/>
            <w:r>
              <w:rPr>
                <w:sz w:val="17"/>
              </w:rPr>
              <w:t>MMBL</w:t>
            </w:r>
          </w:p>
        </w:tc>
      </w:tr>
      <w:tr>
        <w:tc>
          <w:tcPr>
            <w:tcW w:type="dxa" w:w="4752"/>
          </w:tcPr>
          <w:p>
            <w:r/>
            <w:r>
              <w:rPr>
                <w:sz w:val="17"/>
              </w:rPr>
              <w:t>Operating system and Kubernetes platform</w:t>
            </w:r>
          </w:p>
        </w:tc>
        <w:tc>
          <w:tcPr>
            <w:tcW w:type="dxa" w:w="4752"/>
          </w:tcPr>
          <w:p>
            <w:r/>
            <w:r>
              <w:rPr>
                <w:sz w:val="17"/>
              </w:rPr>
              <w:t>MMBL</w:t>
            </w:r>
          </w:p>
        </w:tc>
      </w:tr>
      <w:tr>
        <w:tc>
          <w:tcPr>
            <w:tcW w:type="dxa" w:w="4752"/>
          </w:tcPr>
          <w:p>
            <w:r/>
            <w:r>
              <w:rPr>
                <w:sz w:val="17"/>
              </w:rPr>
              <w:t>Third-party penetration testing</w:t>
            </w:r>
          </w:p>
        </w:tc>
        <w:tc>
          <w:tcPr>
            <w:tcW w:type="dxa" w:w="4752"/>
          </w:tcPr>
          <w:p>
            <w:r/>
            <w:r>
              <w:rPr>
                <w:sz w:val="17"/>
              </w:rPr>
              <w:t>MMBL appoints; we facilitate and remediate</w:t>
            </w:r>
          </w:p>
        </w:tc>
      </w:tr>
      <w:tr>
        <w:tc>
          <w:tcPr>
            <w:tcW w:type="dxa" w:w="4752"/>
          </w:tcPr>
          <w:p>
            <w:r/>
            <w:r>
              <w:rPr>
                <w:sz w:val="17"/>
              </w:rPr>
              <w:t>MMBL's own template and clause content</w:t>
            </w:r>
          </w:p>
        </w:tc>
        <w:tc>
          <w:tcPr>
            <w:tcW w:type="dxa" w:w="4752"/>
          </w:tcPr>
          <w:p>
            <w:r/>
            <w:r>
              <w:rPr>
                <w:sz w:val="17"/>
              </w:rPr>
              <w:t>MMBL Legal</w:t>
            </w:r>
          </w:p>
        </w:tc>
      </w:tr>
    </w:tbl>
    <w:p>
      <w:pPr>
        <w:spacing w:after="80"/>
      </w:pPr>
    </w:p>
    <w:p>
      <w:r>
        <w:rPr>
          <w:b/>
        </w:rPr>
        <w:t>An incident caused by an excluded component is still triaged by us</w:t>
      </w:r>
      <w:r>
        <w:rPr>
          <w:b w:val="0"/>
        </w:rPr>
        <w:t xml:space="preserve"> — the customer should not have to work out which supplier to call. It is diagnosed, attributed with evidence, and handed over with that evidence. What is excluded is the remedy, not the diagnosis.</w:t>
      </w:r>
    </w:p>
    <w:p>
      <w:pPr>
        <w:pStyle w:val="Heading1"/>
      </w:pPr>
      <w:r>
        <w:t>10. Escalation</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Level</w:t>
            </w:r>
          </w:p>
        </w:tc>
        <w:tc>
          <w:tcPr>
            <w:tcW w:type="dxa" w:w="3168"/>
          </w:tcPr>
          <w:p>
            <w:r/>
            <w:r>
              <w:rPr>
                <w:b/>
                <w:sz w:val="17"/>
              </w:rPr>
              <w:t>Contact</w:t>
            </w:r>
          </w:p>
        </w:tc>
        <w:tc>
          <w:tcPr>
            <w:tcW w:type="dxa" w:w="3168"/>
          </w:tcPr>
          <w:p>
            <w:r/>
            <w:r>
              <w:rPr>
                <w:b/>
                <w:sz w:val="17"/>
              </w:rPr>
              <w:t>When</w:t>
            </w:r>
          </w:p>
        </w:tc>
      </w:tr>
      <w:tr>
        <w:tc>
          <w:tcPr>
            <w:tcW w:type="dxa" w:w="3168"/>
          </w:tcPr>
          <w:p>
            <w:r/>
            <w:r>
              <w:rPr>
                <w:sz w:val="17"/>
              </w:rPr>
              <w:t>1</w:t>
            </w:r>
          </w:p>
        </w:tc>
        <w:tc>
          <w:tcPr>
            <w:tcW w:type="dxa" w:w="3168"/>
          </w:tcPr>
          <w:p>
            <w:r/>
            <w:r>
              <w:rPr>
                <w:sz w:val="17"/>
              </w:rPr>
              <w:t>Support lead</w:t>
            </w:r>
          </w:p>
        </w:tc>
        <w:tc>
          <w:tcPr>
            <w:tcW w:type="dxa" w:w="3168"/>
          </w:tcPr>
          <w:p>
            <w:r/>
            <w:r>
              <w:rPr>
                <w:sz w:val="17"/>
              </w:rPr>
              <w:t>Any incident</w:t>
            </w:r>
          </w:p>
        </w:tc>
      </w:tr>
      <w:tr>
        <w:tc>
          <w:tcPr>
            <w:tcW w:type="dxa" w:w="3168"/>
          </w:tcPr>
          <w:p>
            <w:r/>
            <w:r>
              <w:rPr>
                <w:sz w:val="17"/>
              </w:rPr>
              <w:t>2</w:t>
            </w:r>
          </w:p>
        </w:tc>
        <w:tc>
          <w:tcPr>
            <w:tcW w:type="dxa" w:w="3168"/>
          </w:tcPr>
          <w:p>
            <w:r/>
            <w:r>
              <w:rPr>
                <w:sz w:val="17"/>
              </w:rPr>
              <w:t>Delivery manager</w:t>
            </w:r>
          </w:p>
        </w:tc>
        <w:tc>
          <w:tcPr>
            <w:tcW w:type="dxa" w:w="3168"/>
          </w:tcPr>
          <w:p>
            <w:r/>
            <w:r>
              <w:rPr>
                <w:sz w:val="17"/>
              </w:rPr>
              <w:t>P1 beyond 4 hours; P2 beyond 1 business day</w:t>
            </w:r>
          </w:p>
        </w:tc>
      </w:tr>
      <w:tr>
        <w:tc>
          <w:tcPr>
            <w:tcW w:type="dxa" w:w="3168"/>
          </w:tcPr>
          <w:p>
            <w:r/>
            <w:r>
              <w:rPr>
                <w:sz w:val="17"/>
              </w:rPr>
              <w:t>3</w:t>
            </w:r>
          </w:p>
        </w:tc>
        <w:tc>
          <w:tcPr>
            <w:tcW w:type="dxa" w:w="3168"/>
          </w:tcPr>
          <w:p>
            <w:r/>
            <w:r>
              <w:rPr>
                <w:sz w:val="17"/>
              </w:rPr>
              <w:t>Account director</w:t>
            </w:r>
          </w:p>
        </w:tc>
        <w:tc>
          <w:tcPr>
            <w:tcW w:type="dxa" w:w="3168"/>
          </w:tcPr>
          <w:p>
            <w:r/>
            <w:r>
              <w:rPr>
                <w:sz w:val="17"/>
              </w:rPr>
              <w:t>P1 beyond 12 hours; any SLA breach two months running</w:t>
            </w:r>
          </w:p>
        </w:tc>
      </w:tr>
      <w:tr>
        <w:tc>
          <w:tcPr>
            <w:tcW w:type="dxa" w:w="3168"/>
          </w:tcPr>
          <w:p>
            <w:r/>
            <w:r>
              <w:rPr>
                <w:sz w:val="17"/>
              </w:rPr>
              <w:t>4</w:t>
            </w:r>
          </w:p>
        </w:tc>
        <w:tc>
          <w:tcPr>
            <w:tcW w:type="dxa" w:w="3168"/>
          </w:tcPr>
          <w:p>
            <w:r/>
            <w:r>
              <w:rPr>
                <w:sz w:val="17"/>
              </w:rPr>
              <w:t>Managing director</w:t>
            </w:r>
          </w:p>
        </w:tc>
        <w:tc>
          <w:tcPr>
            <w:tcW w:type="dxa" w:w="3168"/>
          </w:tcPr>
          <w:p>
            <w:r/>
            <w:r>
              <w:rPr>
                <w:sz w:val="17"/>
              </w:rPr>
              <w:t>Systemic failure; any unresolved P1 beyond 24 hours</w:t>
            </w:r>
          </w:p>
        </w:tc>
      </w:tr>
    </w:tbl>
    <w:p>
      <w:pPr>
        <w:spacing w:after="80"/>
      </w:pPr>
    </w:p>
    <w:p>
      <w:r>
        <w:rPr>
          <w:b w:val="0"/>
        </w:rPr>
        <w:t>Named individuals with direct numbers are provided at contract signature and kept current. An escalation path that resolves to a shared inbox is not one.</w:t>
      </w:r>
    </w:p>
    <w:p>
      <w:pPr>
        <w:pStyle w:val="Heading1"/>
      </w:pPr>
      <w:r>
        <w:t>11. Two commitments not usually written down</w:t>
      </w:r>
    </w:p>
    <w:p>
      <w:r>
        <w:rPr>
          <w:b/>
        </w:rPr>
        <w:t>We report our own breaches.</w:t>
      </w:r>
      <w:r>
        <w:rPr>
          <w:b w:val="0"/>
        </w:rPr>
        <w:t xml:space="preserve"> Every missed target appears in the monthly service report, self-identified, whether or not MMBL noticed.</w:t>
      </w:r>
    </w:p>
    <w:p>
      <w:r>
        <w:rPr>
          <w:b/>
        </w:rPr>
        <w:t>We tell MMBL when a control is not working, not only when a service is down.</w:t>
      </w:r>
      <w:r>
        <w:rPr>
          <w:b w:val="0"/>
        </w:rPr>
        <w:t xml:space="preserve"> If the antivirus daemon is unreachable, if the SIEM feed has gapped, if the software keystore is in use where the HSM should be — MMBL is told, because a security control that has quietly stopped working is more dangerous than an outage, and it will not appear in an availability figure.</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