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spacing w:before="0" w:after="120"/>
      </w:pPr>
      <w:r>
        <w:rPr>
          <w:b/>
          <w:sz w:val="28"/>
        </w:rPr>
        <w:t>PREFEITURA MUNICIPAL DE JOINVILLE</w:t>
      </w:r>
    </w:p>
    <w:p>
      <w:pPr>
        <w:jc w:val="center"/>
        <w:spacing w:before="0" w:after="80"/>
      </w:pPr>
      <w:r>
        <w:rPr>
          <w:sz w:val="24"/>
        </w:rPr>
        <w:t>MINUTAS DE DECRETO — ROTA A</w:t>
      </w:r>
    </w:p>
    <w:p>
      <w:pPr>
        <w:jc w:val="center"/>
        <w:spacing w:before="0" w:after="80"/>
      </w:pPr>
      <w:r>
        <w:rPr>
          <w:i/>
          <w:sz w:val="20"/>
        </w:rPr>
        <w:t>Versão consolidada para análise jurídica</w:t>
      </w:r>
    </w:p>
    <w:p>
      <w:pPr>
        <w:jc w:val="center"/>
        <w:spacing w:before="0" w:after="800"/>
      </w:pPr>
      <w:r>
        <w:rPr>
          <w:sz w:val="20"/>
        </w:rPr>
        <w:t>BRZ Capacitação × Consultoria SEBRAE/SC · abril/2026</w:t>
      </w:r>
    </w:p>
    <w:p>
      <w:pPr>
        <w:jc w:val="left"/>
        <w:spacing w:before="0" w:after="120"/>
      </w:pPr>
      <w:r>
        <w:rPr>
          <w:b/>
          <w:sz w:val="22"/>
        </w:rPr>
        <w:t>CONTEÚDO DESTE DOCUMENTO</w:t>
      </w:r>
    </w:p>
    <w:p>
      <w:pPr>
        <w:ind w:left="283"/>
        <w:spacing w:before="0" w:after="80"/>
      </w:pPr>
      <w:r>
        <w:rPr>
          <w:sz w:val="22"/>
        </w:rPr>
        <w:t>PARTE I  ·  Decreto do Programa Municipal de Inovação — Rota A</w:t>
      </w:r>
    </w:p>
    <w:p>
      <w:pPr>
        <w:ind w:left="283"/>
        <w:spacing w:before="0" w:after="80"/>
      </w:pPr>
      <w:r>
        <w:rPr>
          <w:sz w:val="22"/>
        </w:rPr>
        <w:t>PARTE II  ·  Decreto dos Ambientes de Programas de Inovação (APIs)</w:t>
      </w:r>
    </w:p>
    <w:p>
      <w:r>
        <w:br w:type="page"/>
      </w:r>
    </w:p>
    <w:p>
      <w:pPr>
        <w:jc w:val="center"/>
        <w:spacing w:before="0" w:after="360"/>
      </w:pPr>
      <w:r>
        <w:rPr>
          <w:b/>
          <w:sz w:val="22"/>
        </w:rPr>
        <w:t>PARTE I — DECRETO DO PROGRAMA DE INOVAÇÃO (ROTA A)</w:t>
      </w:r>
    </w:p>
    <w:p>
      <w:pPr>
        <w:jc w:val="center"/>
        <w:spacing w:before="320" w:after="80"/>
      </w:pPr>
      <w:r>
        <w:rPr>
          <w:b/>
          <w:sz w:val="24"/>
        </w:rPr>
        <w:t>PREÂMBULO E CONSIDERANDOS</w:t>
      </w:r>
    </w:p>
    <w:p>
      <w:pPr>
        <w:jc w:val="center"/>
        <w:spacing w:before="0" w:after="200"/>
      </w:pPr>
      <w:r>
        <w:rPr>
          <w:b/>
          <w:sz w:val="26"/>
        </w:rPr>
        <w:t>DECRETO Nº ______, DE __ DE ________ DE 2026.</w:t>
      </w:r>
    </w:p>
    <w:p>
      <w:pPr>
        <w:jc w:val="center"/>
        <w:spacing w:before="80" w:after="200"/>
      </w:pPr>
      <w:r>
        <w:rPr>
          <w:i/>
          <w:sz w:val="22"/>
        </w:rPr>
        <w:t>Regulamenta o Programa Municipal de Incentivo à Inovação de Joinville (PII/Jlle), nos termos da Lei Municipal nº 7.170, de 19 de dezembro de 2011; ativa e regulamenta o Fundo Municipal de Inovação Tecnológica de Joinville (FIT/Jlle); institui órgãos de governança; define os critérios, o fluxo e as condições para apoio financeiro a projetos de inovação no Município; e dá outras providências.</w:t>
      </w:r>
    </w:p>
    <w:p>
      <w:pPr>
        <w:jc w:val="both"/>
        <w:spacing w:before="200" w:after="120"/>
      </w:pPr>
      <w:r>
        <w:rPr>
          <w:sz w:val="24"/>
        </w:rPr>
        <w:t>O PREFEITO DE JOINVILLE, no uso das atribuições que lhe são conferidas pelo art. 68, incisos IX e XII, da Lei Orgânica do Município, e</w:t>
      </w:r>
    </w:p>
    <w:p>
      <w:pPr>
        <w:jc w:val="center"/>
        <w:spacing w:before="160" w:after="80"/>
      </w:pPr>
      <w:r>
        <w:rPr>
          <w:b/>
          <w:sz w:val="24"/>
        </w:rPr>
        <w:t>CONSIDERANDO</w:t>
      </w:r>
    </w:p>
    <w:p>
      <w:pPr>
        <w:jc w:val="center"/>
        <w:spacing w:before="160" w:after="80"/>
      </w:pPr>
      <w:r>
        <w:rPr>
          <w:b/>
          <w:sz w:val="24"/>
        </w:rPr>
        <w:t>DECRETA:</w:t>
      </w:r>
    </w:p>
    <w:p>
      <w:pPr>
        <w:jc w:val="center"/>
        <w:spacing w:before="320" w:after="80"/>
      </w:pPr>
      <w:r>
        <w:rPr>
          <w:b/>
          <w:sz w:val="24"/>
        </w:rPr>
        <w:t>DISPOSIÇÕES PRELIMINARES</w:t>
      </w:r>
    </w:p>
    <w:p>
      <w:pPr>
        <w:jc w:val="center"/>
        <w:spacing w:before="160" w:after="80"/>
      </w:pPr>
      <w:r>
        <w:rPr>
          <w:b/>
          <w:sz w:val="24"/>
        </w:rPr>
        <w:t>Seção I — Do objeto</w:t>
      </w:r>
    </w:p>
    <w:p>
      <w:pPr>
        <w:ind w:firstLine="709"/>
        <w:jc w:val="both"/>
        <w:spacing w:before="0" w:after="120" w:line="276" w:lineRule="auto"/>
      </w:pPr>
      <w:r>
        <w:rPr>
          <w:sz w:val="24"/>
        </w:rPr>
        <w:t>Art. 1º Este Decreto regulamenta o Programa Municipal de Incentivo à Inovação de Joinville (PII/Jlle), nos termos da Lei Municipal nº 7.170, de 19 de dezembro de 2011, especialmente seus arts. 10, 13 e 19, §1º, mediante apoio financeiro direto, na modalidade de subvenção econômica, a projetos de inovação aprovados e executados por proponentes vinculados a Arranjos Promotores de Inovação (APIs) credenciados, bem como:</w:t>
      </w:r>
    </w:p>
    <w:p>
      <w:pPr>
        <w:ind w:left="850"/>
        <w:spacing w:before="0" w:after="60" w:line="276" w:lineRule="auto"/>
      </w:pPr>
      <w:r>
        <w:rPr>
          <w:sz w:val="24"/>
        </w:rPr>
        <w:t>ativa e regulamenta o Fundo Municipal de Inovação Tecnológica de Joinville (FIT/Jlle), criado pelo art. 10 da Lei nº 7.170, de 2011;</w:t>
      </w:r>
    </w:p>
    <w:p>
      <w:pPr>
        <w:ind w:left="850"/>
        <w:spacing w:before="0" w:after="60" w:line="276" w:lineRule="auto"/>
      </w:pPr>
      <w:r>
        <w:rPr>
          <w:sz w:val="24"/>
        </w:rPr>
        <w:t>institui os órgãos de governança do Programa e define suas atribuições;</w:t>
      </w:r>
    </w:p>
    <w:p>
      <w:pPr>
        <w:ind w:left="850"/>
        <w:spacing w:before="0" w:after="60" w:line="276" w:lineRule="auto"/>
      </w:pPr>
      <w:r>
        <w:rPr>
          <w:sz w:val="24"/>
        </w:rPr>
        <w:t>estabelece os requisitos de elegibilidade, os critérios de mérito, o fluxo de seleção, as condições de execução, a prestação de contas, as sanções aplicáveis e os indicadores de impacto;</w:t>
      </w:r>
    </w:p>
    <w:p>
      <w:pPr>
        <w:ind w:left="850"/>
        <w:spacing w:before="0" w:after="60" w:line="276" w:lineRule="auto"/>
      </w:pPr>
      <w:r>
        <w:rPr>
          <w:sz w:val="24"/>
        </w:rPr>
        <w:t>define a articulação do Programa com o Conselho Municipal de Ciência, Tecnologia e Inovação (COMCITI).</w:t>
      </w:r>
    </w:p>
    <w:p>
      <w:pPr>
        <w:jc w:val="center"/>
        <w:spacing w:before="160" w:after="80"/>
      </w:pPr>
      <w:r>
        <w:rPr>
          <w:b/>
          <w:sz w:val="24"/>
        </w:rPr>
        <w:t>Seção II — Das definições</w:t>
      </w:r>
    </w:p>
    <w:p>
      <w:pPr>
        <w:ind w:firstLine="709"/>
        <w:jc w:val="both"/>
        <w:spacing w:before="0" w:after="120" w:line="276" w:lineRule="auto"/>
      </w:pPr>
      <w:r>
        <w:rPr>
          <w:sz w:val="24"/>
        </w:rPr>
        <w:t>Art. 2º Para os efeitos deste Decreto, considera-se:</w:t>
      </w:r>
    </w:p>
    <w:p>
      <w:pPr>
        <w:ind w:left="850"/>
        <w:spacing w:before="0" w:after="60" w:line="276" w:lineRule="auto"/>
      </w:pPr>
      <w:r>
        <w:rPr>
          <w:sz w:val="24"/>
        </w:rPr>
        <w:t>Programa ou PII/Jlle: o Programa Municipal de Incentivo à Inovação de Joinville, conjunto de regras, órgãos e procedimentos destinados a fomentar projetos de inovação no Município;</w:t>
      </w:r>
    </w:p>
    <w:p>
      <w:pPr>
        <w:ind w:left="850"/>
        <w:spacing w:before="0" w:after="60" w:line="276" w:lineRule="auto"/>
      </w:pPr>
      <w:r>
        <w:rPr>
          <w:sz w:val="24"/>
        </w:rPr>
        <w:t>FIT/Jlle: o Fundo Municipal de Inovação Tecnológica de Joinville, criado pelo art. 10 da Lei nº 7.170, de 2011, fundo contábil vinculado à Secretaria gestora do Programa, destinado à execução financeira de apoio a projetos de inovação;</w:t>
      </w:r>
    </w:p>
    <w:p>
      <w:pPr>
        <w:ind w:left="850"/>
        <w:spacing w:before="0" w:after="60" w:line="276" w:lineRule="auto"/>
      </w:pPr>
      <w:r>
        <w:rPr>
          <w:sz w:val="24"/>
        </w:rPr>
        <w:t>Projeto de Inovação: a proposta apresentada ao Programa que envolva pesquisa aplicada, desenvolvimento de produto, processo ou serviço com grau de novidade para o mercado ou para o Município, com potencial de impacto econômico, social, ambiental ou de posicionamento institucional;</w:t>
      </w:r>
    </w:p>
    <w:p>
      <w:pPr>
        <w:ind w:left="850"/>
        <w:spacing w:before="0" w:after="60" w:line="276" w:lineRule="auto"/>
      </w:pPr>
      <w:r>
        <w:rPr>
          <w:sz w:val="24"/>
        </w:rPr>
        <w:t>Proponente: a pessoa física ou jurídica elegível, na forma do Capítulo II, que apresenta um Projeto de Inovação ao Programa;</w:t>
      </w:r>
    </w:p>
    <w:p>
      <w:pPr>
        <w:ind w:left="850"/>
        <w:spacing w:before="0" w:after="60" w:line="276" w:lineRule="auto"/>
      </w:pPr>
      <w:r>
        <w:rPr>
          <w:sz w:val="24"/>
        </w:rPr>
        <w:t>API — Arranjo Promotor de Inovação: entidade credenciada pelo Município para atuar como filtro de elegibilidade, orientação e acompanhamento de Proponentes, nos termos do Decreto específico de credenciamento dos APIs;</w:t>
      </w:r>
    </w:p>
    <w:p>
      <w:pPr>
        <w:ind w:left="850"/>
        <w:spacing w:before="0" w:after="60" w:line="276" w:lineRule="auto"/>
      </w:pPr>
      <w:r>
        <w:rPr>
          <w:sz w:val="24"/>
        </w:rPr>
        <w:t>Comissão Técnica: colegiado responsável pela avaliação de mérito dos Projetos, conforme o Capítulo IV;</w:t>
      </w:r>
    </w:p>
    <w:p>
      <w:pPr>
        <w:ind w:left="850"/>
        <w:spacing w:before="0" w:after="60" w:line="276" w:lineRule="auto"/>
      </w:pPr>
      <w:r>
        <w:rPr>
          <w:sz w:val="24"/>
        </w:rPr>
        <w:t>Comitê Decisório: colegiado responsável pela homologação dos resultados do Programa, com composição obrigatória da Secretaria Municipal da Fazenda, conforme o Capítulo III;</w:t>
      </w:r>
    </w:p>
    <w:p>
      <w:pPr>
        <w:ind w:left="850"/>
        <w:spacing w:before="0" w:after="60" w:line="276" w:lineRule="auto"/>
      </w:pPr>
      <w:r>
        <w:rPr>
          <w:sz w:val="24"/>
        </w:rPr>
        <w:t>COMCITI: o Conselho Municipal de Ciência, Tecnologia e Inovação, instituído pela Lei Municipal nº 7.190, de 2012, e atualmente regido pela Lei Municipal nº 9.538, de 2023, disciplinado por Regimento Interno próprio;</w:t>
      </w:r>
    </w:p>
    <w:p>
      <w:pPr>
        <w:ind w:left="850"/>
        <w:spacing w:before="0" w:after="60" w:line="276" w:lineRule="auto"/>
      </w:pPr>
      <w:r>
        <w:rPr>
          <w:sz w:val="24"/>
        </w:rPr>
        <w:t>UPM: a Unidade Padrão Municipal, instituída pela Lei Municipal nº 1.416, de 1975, e atualizada mensalmente pelo Poder Executivo;</w:t>
      </w:r>
    </w:p>
    <w:p>
      <w:pPr>
        <w:ind w:left="850"/>
        <w:spacing w:before="0" w:after="60" w:line="276" w:lineRule="auto"/>
      </w:pPr>
      <w:r>
        <w:rPr>
          <w:sz w:val="24"/>
        </w:rPr>
        <w:t>SDE ou Secretaria gestora: a Secretaria Municipal responsável pela gestão do Programa, a ser definida em ato do Prefeito;</w:t>
      </w:r>
    </w:p>
    <w:p>
      <w:pPr>
        <w:ind w:left="850"/>
        <w:spacing w:before="0" w:after="60" w:line="276" w:lineRule="auto"/>
      </w:pPr>
      <w:r>
        <w:rPr>
          <w:sz w:val="24"/>
        </w:rPr>
        <w:t>CGM: a Controladoria-Geral do Município;</w:t>
      </w:r>
    </w:p>
    <w:p>
      <w:pPr>
        <w:ind w:left="850"/>
        <w:spacing w:before="0" w:after="60" w:line="276" w:lineRule="auto"/>
      </w:pPr>
      <w:r>
        <w:rPr>
          <w:sz w:val="24"/>
        </w:rPr>
        <w:t>PGM: a Procuradoria-Geral do Município;</w:t>
      </w:r>
    </w:p>
    <w:p>
      <w:pPr>
        <w:ind w:left="850"/>
        <w:spacing w:before="0" w:after="60" w:line="276" w:lineRule="auto"/>
      </w:pPr>
      <w:r>
        <w:rPr>
          <w:sz w:val="24"/>
        </w:rPr>
        <w:t>SEFAZ: a Secretaria Municipal da Fazenda;</w:t>
      </w:r>
    </w:p>
    <w:p>
      <w:pPr>
        <w:ind w:left="850"/>
        <w:spacing w:before="0" w:after="60" w:line="276" w:lineRule="auto"/>
      </w:pPr>
      <w:r>
        <w:rPr>
          <w:sz w:val="24"/>
        </w:rPr>
        <w:t>Carta de Apoio: o ato formal emitido pela SDE em favor do Proponente selecionado, autorizando o desembolso de recursos do FIT/Jlle nos termos e limites deste Decreto;</w:t>
      </w:r>
    </w:p>
    <w:p>
      <w:pPr>
        <w:ind w:left="850"/>
        <w:spacing w:before="0" w:after="60" w:line="276" w:lineRule="auto"/>
      </w:pPr>
      <w:r>
        <w:rPr>
          <w:sz w:val="24"/>
        </w:rPr>
        <w:t>(no Caminho A esta figura não existe — o recurso sai do FIT/Jlle, não do contribuinte)</w:t>
      </w:r>
    </w:p>
    <w:p>
      <w:pPr>
        <w:ind w:left="850"/>
        <w:spacing w:before="0" w:after="60" w:line="276" w:lineRule="auto"/>
      </w:pPr>
      <w:r>
        <w:rPr>
          <w:sz w:val="24"/>
        </w:rPr>
        <w:t>(no Caminho A esta figura não existe)</w:t>
      </w:r>
    </w:p>
    <w:p>
      <w:pPr>
        <w:ind w:left="850"/>
        <w:spacing w:before="0" w:after="60" w:line="276" w:lineRule="auto"/>
      </w:pPr>
      <w:r>
        <w:rPr>
          <w:sz w:val="24"/>
        </w:rPr>
        <w:t>Conta Vinculada do Projeto: conta bancária exclusiva do Projeto, aberta em nome do Proponente, para movimentação específica dos recursos recebidos e das despesas autorizadas;</w:t>
      </w:r>
    </w:p>
    <w:p>
      <w:pPr>
        <w:ind w:left="850"/>
        <w:spacing w:before="0" w:after="60" w:line="276" w:lineRule="auto"/>
      </w:pPr>
      <w:r>
        <w:rPr>
          <w:sz w:val="24"/>
        </w:rPr>
        <w:t>Edital: o ato de abertura do ciclo de seleção, publicado pela SDE, que detalha cronograma, formulários, vagas, teto, documentação e demais condições específicas do ciclo;</w:t>
      </w:r>
    </w:p>
    <w:p>
      <w:pPr>
        <w:ind w:left="850"/>
        <w:spacing w:before="0" w:after="60" w:line="276" w:lineRule="auto"/>
      </w:pPr>
      <w:r>
        <w:rPr>
          <w:sz w:val="24"/>
        </w:rPr>
        <w:t>Ciclo: o período anual de seleção, contratação e execução dos Projetos, na forma do Capítulo IV.</w:t>
      </w:r>
    </w:p>
    <w:p>
      <w:pPr>
        <w:jc w:val="center"/>
        <w:spacing w:before="160" w:after="80"/>
      </w:pPr>
      <w:r>
        <w:rPr>
          <w:b/>
          <w:sz w:val="24"/>
        </w:rPr>
        <w:t>Seção III — Dos princípios</w:t>
      </w:r>
    </w:p>
    <w:p>
      <w:pPr>
        <w:ind w:firstLine="709"/>
        <w:jc w:val="both"/>
        <w:spacing w:before="0" w:after="120" w:line="276" w:lineRule="auto"/>
      </w:pPr>
      <w:r>
        <w:rPr>
          <w:sz w:val="24"/>
        </w:rPr>
        <w:t>Art. 3º O Programa observa os princípios constitucionais da Administração Pública, em especial:</w:t>
      </w:r>
    </w:p>
    <w:p>
      <w:pPr>
        <w:ind w:left="850"/>
        <w:spacing w:before="0" w:after="60" w:line="276" w:lineRule="auto"/>
      </w:pPr>
      <w:r>
        <w:rPr>
          <w:sz w:val="24"/>
        </w:rPr>
        <w:t>legalidade, impessoalidade, moralidade, publicidade e eficiência (art. 37, caput, da Constituição Federal);</w:t>
      </w:r>
    </w:p>
    <w:p>
      <w:pPr>
        <w:ind w:left="850"/>
        <w:spacing w:before="0" w:after="60" w:line="276" w:lineRule="auto"/>
      </w:pPr>
      <w:r>
        <w:rPr>
          <w:sz w:val="24"/>
        </w:rPr>
        <w:t>transparência fiscal e prestação de contas sistemática;</w:t>
      </w:r>
    </w:p>
    <w:p>
      <w:pPr>
        <w:ind w:left="850"/>
        <w:spacing w:before="0" w:after="60" w:line="276" w:lineRule="auto"/>
      </w:pPr>
      <w:r>
        <w:rPr>
          <w:sz w:val="24"/>
        </w:rPr>
        <w:t>seleção por mérito técnico, com critérios objetivos, públicos e auditáveis;</w:t>
      </w:r>
    </w:p>
    <w:p>
      <w:pPr>
        <w:ind w:left="850"/>
        <w:spacing w:before="0" w:after="60" w:line="276" w:lineRule="auto"/>
      </w:pPr>
      <w:r>
        <w:rPr>
          <w:sz w:val="24"/>
        </w:rPr>
        <w:t>isonomia no acesso, vedada qualquer discriminação não prevista em lei;</w:t>
      </w:r>
    </w:p>
    <w:p>
      <w:pPr>
        <w:ind w:left="850"/>
        <w:spacing w:before="0" w:after="60" w:line="276" w:lineRule="auto"/>
      </w:pPr>
      <w:r>
        <w:rPr>
          <w:sz w:val="24"/>
        </w:rPr>
        <w:t>economicidade e eficácia na aplicação dos recursos;</w:t>
      </w:r>
    </w:p>
    <w:p>
      <w:pPr>
        <w:ind w:left="850"/>
        <w:spacing w:before="0" w:after="60" w:line="276" w:lineRule="auto"/>
      </w:pPr>
      <w:r>
        <w:rPr>
          <w:sz w:val="24"/>
        </w:rPr>
        <w:t>estímulo à inovação aberta, à cooperação entre ecossistema acadêmico, empresarial e poder público, e à diversidade de proponentes;</w:t>
      </w:r>
    </w:p>
    <w:p>
      <w:pPr>
        <w:ind w:left="850"/>
        <w:spacing w:before="0" w:after="60" w:line="276" w:lineRule="auto"/>
      </w:pPr>
      <w:r>
        <w:rPr>
          <w:sz w:val="24"/>
        </w:rPr>
        <w:t>responsabilidade fiscal e compatibilidade com as metas de planejamento orçamentário do Município.</w:t>
      </w:r>
    </w:p>
    <w:p>
      <w:pPr>
        <w:jc w:val="center"/>
        <w:spacing w:before="160" w:after="80"/>
      </w:pPr>
      <w:r>
        <w:rPr>
          <w:b/>
          <w:sz w:val="24"/>
        </w:rPr>
        <w:t>Seção IV — Dos objetivos</w:t>
      </w:r>
    </w:p>
    <w:p>
      <w:pPr>
        <w:ind w:firstLine="709"/>
        <w:jc w:val="both"/>
        <w:spacing w:before="0" w:after="120" w:line="276" w:lineRule="auto"/>
      </w:pPr>
      <w:r>
        <w:rPr>
          <w:sz w:val="24"/>
        </w:rPr>
        <w:t>Art. 4º São objetivos do Programa:</w:t>
      </w:r>
    </w:p>
    <w:p>
      <w:pPr>
        <w:ind w:left="850"/>
        <w:spacing w:before="0" w:after="60" w:line="276" w:lineRule="auto"/>
      </w:pPr>
      <w:r>
        <w:rPr>
          <w:sz w:val="24"/>
        </w:rPr>
        <w:t>fomentar a inovação tecnológica, de produto, de processo, de modelo de negócio e de serviço no Município de Joinville;</w:t>
      </w:r>
    </w:p>
    <w:p>
      <w:pPr>
        <w:ind w:left="850"/>
        <w:spacing w:before="0" w:after="60" w:line="276" w:lineRule="auto"/>
      </w:pPr>
      <w:r>
        <w:rPr>
          <w:sz w:val="24"/>
        </w:rPr>
        <w:t>apoiar financeiramente Projetos de Inovação conduzidos por pessoas físicas, microempreendedores individuais, microempresas e empresas de pequeno porte vinculadas ao Município;</w:t>
      </w:r>
    </w:p>
    <w:p>
      <w:pPr>
        <w:ind w:left="850"/>
        <w:spacing w:before="0" w:after="60" w:line="276" w:lineRule="auto"/>
      </w:pPr>
      <w:r>
        <w:rPr>
          <w:sz w:val="24"/>
        </w:rPr>
        <w:t>fortalecer o ecossistema local de inovação, em articulação com entidades representativas, instituições de ensino e pesquisa, parques tecnológicos e Arranjos Promotores de Inovação;</w:t>
      </w:r>
    </w:p>
    <w:p>
      <w:pPr>
        <w:ind w:left="850"/>
        <w:spacing w:before="0" w:after="60" w:line="276" w:lineRule="auto"/>
      </w:pPr>
      <w:r>
        <w:rPr>
          <w:sz w:val="24"/>
        </w:rPr>
        <w:t>contribuir para a geração de emprego qualificado e renda, para a diversificação da base produtiva e para a atração de investimentos privados;</w:t>
      </w:r>
    </w:p>
    <w:p>
      <w:pPr>
        <w:ind w:left="850"/>
        <w:spacing w:before="0" w:after="60" w:line="276" w:lineRule="auto"/>
      </w:pPr>
      <w:r>
        <w:rPr>
          <w:sz w:val="24"/>
        </w:rPr>
        <w:t>posicionar Joinville como polo regional e nacional de inovação;</w:t>
      </w:r>
    </w:p>
    <w:p>
      <w:pPr>
        <w:ind w:left="850"/>
        <w:spacing w:before="0" w:after="60" w:line="276" w:lineRule="auto"/>
      </w:pPr>
      <w:r>
        <w:rPr>
          <w:sz w:val="24"/>
        </w:rPr>
        <w:t>assegurar transparência, controle social e monitoramento de resultados por meio de indicadores de impacto publicados periodicamente.</w:t>
      </w:r>
    </w:p>
    <w:p>
      <w:pPr>
        <w:jc w:val="center"/>
        <w:spacing w:before="160" w:after="80"/>
      </w:pPr>
      <w:r>
        <w:rPr>
          <w:b/>
          <w:sz w:val="24"/>
        </w:rPr>
        <w:t>Seção V — Dos eixos de contribuição</w:t>
      </w:r>
    </w:p>
    <w:p>
      <w:pPr>
        <w:ind w:firstLine="709"/>
        <w:jc w:val="both"/>
        <w:spacing w:before="0" w:after="120" w:line="276" w:lineRule="auto"/>
      </w:pPr>
      <w:r>
        <w:rPr>
          <w:sz w:val="24"/>
        </w:rPr>
        <w:t>Art. 5º Os Projetos apresentados ao Programa deverão demonstrar contribuição efetiva em pelo menos um dos seguintes eixos:</w:t>
      </w:r>
    </w:p>
    <w:p>
      <w:pPr>
        <w:ind w:left="850"/>
        <w:spacing w:before="0" w:after="60" w:line="276" w:lineRule="auto"/>
      </w:pPr>
      <w:r>
        <w:rPr>
          <w:sz w:val="24"/>
        </w:rPr>
        <w:t>Eixo Econômico: geração de emprego qualificado, aumento de produtividade, diversificação da base produtiva, atração de investimento privado, fortalecimento de cadeias empresariais locais;</w:t>
      </w:r>
    </w:p>
    <w:p>
      <w:pPr>
        <w:ind w:left="850"/>
        <w:spacing w:before="0" w:after="60" w:line="276" w:lineRule="auto"/>
      </w:pPr>
      <w:r>
        <w:rPr>
          <w:sz w:val="24"/>
        </w:rPr>
        <w:t>Eixo Social-Ambiental: impacto positivo em saúde, educação, inclusão social, eficiência no uso de recursos, sustentabilidade ambiental ou mitigação de desigualdades;</w:t>
      </w:r>
    </w:p>
    <w:p>
      <w:pPr>
        <w:ind w:left="850"/>
        <w:spacing w:before="0" w:after="60" w:line="276" w:lineRule="auto"/>
      </w:pPr>
      <w:r>
        <w:rPr>
          <w:sz w:val="24"/>
        </w:rPr>
        <w:t>Eixo de Posicionamento Institucional: fortalecimento da imagem, da reputação e da visibilidade de Joinville como cidade inovadora em escala regional, nacional ou internacional.</w:t>
      </w:r>
    </w:p>
    <w:p>
      <w:pPr>
        <w:ind w:firstLine="709"/>
        <w:jc w:val="both"/>
        <w:spacing w:before="0" w:after="120" w:line="276" w:lineRule="auto"/>
      </w:pPr>
      <w:r>
        <w:rPr>
          <w:sz w:val="24"/>
        </w:rPr>
        <w:t>§ 1º A comprovação da contribuição do Projeto a um ou mais eixos é requisito de elegibilidade e de mérito.</w:t>
      </w:r>
    </w:p>
    <w:p>
      <w:pPr>
        <w:ind w:firstLine="709"/>
        <w:jc w:val="both"/>
        <w:spacing w:before="0" w:after="120" w:line="276" w:lineRule="auto"/>
      </w:pPr>
      <w:r>
        <w:rPr>
          <w:sz w:val="24"/>
        </w:rPr>
        <w:t>§ 2º O Edital de cada ciclo poderá priorizar eixos específicos, conforme as diretrizes do Plano Municipal de Desenvolvimento Econômico e Social e as deliberações do COMCITI.</w:t>
      </w:r>
    </w:p>
    <w:p>
      <w:pPr>
        <w:jc w:val="center"/>
        <w:spacing w:before="160" w:after="80"/>
      </w:pPr>
      <w:r>
        <w:rPr>
          <w:b/>
          <w:sz w:val="24"/>
        </w:rPr>
        <w:t>Seção VI — Das diretrizes gerais</w:t>
      </w:r>
    </w:p>
    <w:p>
      <w:pPr>
        <w:ind w:firstLine="709"/>
        <w:jc w:val="both"/>
        <w:spacing w:before="0" w:after="120" w:line="276" w:lineRule="auto"/>
      </w:pPr>
      <w:r>
        <w:rPr>
          <w:sz w:val="24"/>
        </w:rPr>
        <w:t>Art. 6º A execução do Programa observará as seguintes diretrizes:</w:t>
      </w:r>
    </w:p>
    <w:p>
      <w:pPr>
        <w:ind w:left="850"/>
        <w:spacing w:before="0" w:after="60" w:line="276" w:lineRule="auto"/>
      </w:pPr>
      <w:r>
        <w:rPr>
          <w:sz w:val="24"/>
        </w:rPr>
        <w:t>integração institucional com o COMCITI, nos termos da Lei Municipal nº 7.190, de 2012, atualmente regida pela Lei Municipal nº 9.538, de 2023, e de seu Regimento Interno, conforme modelo a ser definido no Capítulo III deste Decreto;</w:t>
      </w:r>
    </w:p>
    <w:p>
      <w:pPr>
        <w:ind w:left="850"/>
        <w:spacing w:before="0" w:after="60" w:line="276" w:lineRule="auto"/>
      </w:pPr>
      <w:r>
        <w:rPr>
          <w:sz w:val="24"/>
        </w:rPr>
        <w:t>compatibilidade das despesas e, quando aplicável, da renúncia de receita com a Lei de Diretrizes Orçamentárias e a Lei Orçamentária Anual vigentes do Município;</w:t>
      </w:r>
    </w:p>
    <w:p>
      <w:pPr>
        <w:ind w:left="850"/>
        <w:spacing w:before="0" w:after="60" w:line="276" w:lineRule="auto"/>
      </w:pPr>
      <w:r>
        <w:rPr>
          <w:sz w:val="24"/>
        </w:rPr>
        <w:t>coerência com as políticas municipais de desenvolvimento econômico, de ciência e tecnologia, de planejamento urbano e de trabalho e renda;</w:t>
      </w:r>
    </w:p>
    <w:p>
      <w:pPr>
        <w:ind w:left="850"/>
        <w:spacing w:before="0" w:after="60" w:line="276" w:lineRule="auto"/>
      </w:pPr>
      <w:r>
        <w:rPr>
          <w:sz w:val="24"/>
        </w:rPr>
        <w:t>admissibilidade de coexistência entre o apoio do Programa e outros incentivos, benefícios, programas ou políticas públicas municipais, estaduais ou federais em favor do mesmo Proponente, vedada apenas a duplicidade de custeio da mesma despesa com recursos de programas distintos;</w:t>
      </w:r>
    </w:p>
    <w:p>
      <w:pPr>
        <w:ind w:left="850"/>
        <w:spacing w:before="0" w:after="60" w:line="276" w:lineRule="auto"/>
      </w:pPr>
      <w:r>
        <w:rPr>
          <w:sz w:val="24"/>
        </w:rPr>
        <w:t>revisão integral do Programa a cada 4 (quatro) anos, com base nos indicadores de impacto apurados, na forma do Capítulo VIII;</w:t>
      </w:r>
    </w:p>
    <w:p>
      <w:pPr>
        <w:ind w:left="850"/>
        <w:spacing w:before="0" w:after="60" w:line="276" w:lineRule="auto"/>
      </w:pPr>
      <w:r>
        <w:rPr>
          <w:sz w:val="24"/>
        </w:rPr>
        <w:t>publicidade ampla dos atos praticados, inclusive por meio de portal eletrônico específico do Programa.</w:t>
      </w:r>
    </w:p>
    <w:p>
      <w:pPr>
        <w:jc w:val="center"/>
        <w:spacing w:before="320" w:after="80"/>
      </w:pPr>
      <w:r>
        <w:rPr>
          <w:b/>
          <w:sz w:val="24"/>
        </w:rPr>
        <w:t>PROPONENTES E ELEGIBILIDADE</w:t>
      </w:r>
    </w:p>
    <w:p>
      <w:pPr>
        <w:jc w:val="center"/>
        <w:spacing w:before="160" w:after="80"/>
      </w:pPr>
      <w:r>
        <w:rPr>
          <w:b/>
          <w:sz w:val="24"/>
        </w:rPr>
        <w:t>Seção I — Dos proponentes</w:t>
      </w:r>
    </w:p>
    <w:p>
      <w:pPr>
        <w:ind w:firstLine="709"/>
        <w:jc w:val="both"/>
        <w:spacing w:before="0" w:after="120" w:line="276" w:lineRule="auto"/>
      </w:pPr>
      <w:r>
        <w:rPr>
          <w:sz w:val="24"/>
        </w:rPr>
        <w:t>Art. 7º Poderá apresentar Projeto de Inovação ao Programa, na condição de Proponente:</w:t>
      </w:r>
    </w:p>
    <w:p>
      <w:pPr>
        <w:ind w:left="850"/>
        <w:spacing w:before="0" w:after="60" w:line="276" w:lineRule="auto"/>
      </w:pPr>
      <w:r>
        <w:rPr>
          <w:sz w:val="24"/>
        </w:rPr>
        <w:t>Pessoa física residente no Município de Joinville na data da submissão, maior de idade e civilmente capaz;</w:t>
      </w:r>
    </w:p>
    <w:p>
      <w:pPr>
        <w:ind w:left="850"/>
        <w:spacing w:before="0" w:after="60" w:line="276" w:lineRule="auto"/>
      </w:pPr>
      <w:r>
        <w:rPr>
          <w:sz w:val="24"/>
        </w:rPr>
        <w:t>Microempreendedor Individual (MEI) com inscrição municipal ativa em Joinville;</w:t>
      </w:r>
    </w:p>
    <w:p>
      <w:pPr>
        <w:ind w:left="850"/>
        <w:spacing w:before="0" w:after="60" w:line="276" w:lineRule="auto"/>
      </w:pPr>
      <w:r>
        <w:rPr>
          <w:sz w:val="24"/>
        </w:rPr>
        <w:t>Microempresa (ME) com sede ou estabelecimento operacional no Município de Joinville;</w:t>
      </w:r>
    </w:p>
    <w:p>
      <w:pPr>
        <w:ind w:left="850"/>
        <w:spacing w:before="0" w:after="60" w:line="276" w:lineRule="auto"/>
      </w:pPr>
      <w:r>
        <w:rPr>
          <w:sz w:val="24"/>
        </w:rPr>
        <w:t>Empresa de Pequeno Porte (EPP) com sede ou estabelecimento operacional no Município de Joinville.</w:t>
      </w:r>
    </w:p>
    <w:p>
      <w:pPr>
        <w:ind w:firstLine="709"/>
        <w:jc w:val="both"/>
        <w:spacing w:before="0" w:after="120" w:line="276" w:lineRule="auto"/>
      </w:pPr>
      <w:r>
        <w:rPr>
          <w:sz w:val="24"/>
        </w:rPr>
        <w:t>§ 1º O vínculo territorial com o Município de Joinville — residência, para pessoa física, e sede ou estabelecimento operacional, para pessoa jurídica — deve ser mantido durante toda a execução do Projeto. Aprovada a prestação de contas final, cessa a exigência de vínculo territorial.</w:t>
      </w:r>
    </w:p>
    <w:p>
      <w:pPr>
        <w:ind w:firstLine="709"/>
        <w:jc w:val="both"/>
        <w:spacing w:before="0" w:after="120" w:line="276" w:lineRule="auto"/>
      </w:pPr>
      <w:r>
        <w:rPr>
          <w:sz w:val="24"/>
        </w:rPr>
        <w:t>§ 2º Na hipótese de constituição de pessoa jurídica pelo Proponente pessoa física durante a execução do Projeto, fica assegurada a migração do Projeto da pessoa física para a pessoa jurídica, mediante aditivo formal, preservadas todas as condições originais de aprovação, desde que mantidos os controles societários pelo Proponente original e o vínculo territorial com o Município.</w:t>
      </w:r>
    </w:p>
    <w:p>
      <w:pPr>
        <w:ind w:firstLine="709"/>
        <w:jc w:val="both"/>
        <w:spacing w:before="0" w:after="120" w:line="276" w:lineRule="auto"/>
      </w:pPr>
      <w:r>
        <w:rPr>
          <w:sz w:val="24"/>
        </w:rPr>
        <w:t>§ 3º O Edital de cada ciclo poderá exigir condições adicionais de elegibilidade, tais como tempo mínimo de registro da atividade ou setor prioritário, desde que fundamentadas em diretrizes da SDE e do COMCITI.</w:t>
      </w:r>
    </w:p>
    <w:p>
      <w:pPr>
        <w:jc w:val="center"/>
        <w:spacing w:before="160" w:after="80"/>
      </w:pPr>
      <w:r>
        <w:rPr>
          <w:b/>
          <w:sz w:val="24"/>
        </w:rPr>
        <w:t>Seção II — Dos requisitos de habilitação</w:t>
      </w:r>
    </w:p>
    <w:p>
      <w:pPr>
        <w:ind w:firstLine="709"/>
        <w:jc w:val="both"/>
        <w:spacing w:before="0" w:after="120" w:line="276" w:lineRule="auto"/>
      </w:pPr>
      <w:r>
        <w:rPr>
          <w:sz w:val="24"/>
        </w:rPr>
        <w:t>Art. 8º Para participar do Programa, o Proponente deverá comprovar, no momento da submissão do Projeto:</w:t>
      </w:r>
    </w:p>
    <w:p>
      <w:pPr>
        <w:ind w:left="850"/>
        <w:spacing w:before="0" w:after="60" w:line="276" w:lineRule="auto"/>
      </w:pPr>
      <w:r>
        <w:rPr>
          <w:sz w:val="24"/>
        </w:rPr>
        <w:t>regularidade fiscal junto ao Município de Joinville, mediante apresentação de Certidão Negativa de Débitos Municipais ou equivalente;</w:t>
      </w:r>
    </w:p>
    <w:p>
      <w:pPr>
        <w:ind w:left="850"/>
        <w:spacing w:before="0" w:after="60" w:line="276" w:lineRule="auto"/>
      </w:pPr>
      <w:r>
        <w:rPr>
          <w:sz w:val="24"/>
        </w:rPr>
        <w:t>regularidade fiscal junto à Receita Federal do Brasil e à Receita Estadual de Santa Catarina, quando aplicável;</w:t>
      </w:r>
    </w:p>
    <w:p>
      <w:pPr>
        <w:ind w:left="850"/>
        <w:spacing w:before="0" w:after="60" w:line="276" w:lineRule="auto"/>
      </w:pPr>
      <w:r>
        <w:rPr>
          <w:sz w:val="24"/>
        </w:rPr>
        <w:t>regularidade junto ao INSS e ao FGTS, quando cabível;</w:t>
      </w:r>
    </w:p>
    <w:p>
      <w:pPr>
        <w:ind w:left="850"/>
        <w:spacing w:before="0" w:after="60" w:line="276" w:lineRule="auto"/>
      </w:pPr>
      <w:r>
        <w:rPr>
          <w:sz w:val="24"/>
        </w:rPr>
        <w:t>regularidade trabalhista, por meio da Certidão Negativa de Débitos Trabalhistas (CNDT);</w:t>
      </w:r>
    </w:p>
    <w:p>
      <w:pPr>
        <w:ind w:left="850"/>
        <w:spacing w:before="0" w:after="60" w:line="276" w:lineRule="auto"/>
      </w:pPr>
      <w:r>
        <w:rPr>
          <w:sz w:val="24"/>
        </w:rPr>
        <w:t>inexistência de registros de inidoneidade ou suspensão do direito de contratar com a Administração Pública, em qualquer esfera federativa;</w:t>
      </w:r>
    </w:p>
    <w:p>
      <w:pPr>
        <w:ind w:left="850"/>
        <w:spacing w:before="0" w:after="60" w:line="276" w:lineRule="auto"/>
      </w:pPr>
      <w:r>
        <w:rPr>
          <w:sz w:val="24"/>
        </w:rPr>
        <w:t>inexistência de registro no Cadastro Informativo Municipal (CADIN/Joinville) ou equivalente;</w:t>
      </w:r>
    </w:p>
    <w:p>
      <w:pPr>
        <w:ind w:left="850"/>
        <w:spacing w:before="0" w:after="60" w:line="276" w:lineRule="auto"/>
      </w:pPr>
      <w:r>
        <w:rPr>
          <w:sz w:val="24"/>
        </w:rPr>
        <w:t>comprovação do vínculo territorial com o Município, na forma do art. 7º, §1º;</w:t>
      </w:r>
    </w:p>
    <w:p>
      <w:pPr>
        <w:ind w:left="850"/>
        <w:spacing w:before="0" w:after="60" w:line="276" w:lineRule="auto"/>
      </w:pPr>
      <w:r>
        <w:rPr>
          <w:sz w:val="24"/>
        </w:rPr>
        <w:t>declaração de ciência e de conformidade com as regras do Programa, firmada pelo Proponente ou representante legal;</w:t>
      </w:r>
    </w:p>
    <w:p>
      <w:pPr>
        <w:ind w:left="850"/>
        <w:spacing w:before="0" w:after="60" w:line="276" w:lineRule="auto"/>
      </w:pPr>
      <w:r>
        <w:rPr>
          <w:sz w:val="24"/>
        </w:rPr>
        <w:t>declaração de ausência de conflito de interesse com membros da Comissão Técnica, do Comitê Decisório e do API de vinculação;</w:t>
      </w:r>
    </w:p>
    <w:p>
      <w:pPr>
        <w:ind w:left="850"/>
        <w:spacing w:before="0" w:after="60" w:line="276" w:lineRule="auto"/>
      </w:pPr>
      <w:r>
        <w:rPr>
          <w:sz w:val="24"/>
        </w:rPr>
        <w:t>demais documentos exigidos no Edital do ciclo.</w:t>
      </w:r>
    </w:p>
    <w:p>
      <w:pPr>
        <w:ind w:firstLine="709"/>
        <w:jc w:val="both"/>
        <w:spacing w:before="0" w:after="120" w:line="276" w:lineRule="auto"/>
      </w:pPr>
      <w:r>
        <w:rPr>
          <w:sz w:val="24"/>
        </w:rPr>
        <w:t>§ 1º A documentação comprobatória deverá estar vigente na data da submissão e ser atualizada sempre que solicitada pela SDE durante a execução do Projeto.</w:t>
      </w:r>
    </w:p>
    <w:p>
      <w:pPr>
        <w:ind w:firstLine="709"/>
        <w:jc w:val="both"/>
        <w:spacing w:before="0" w:after="120" w:line="276" w:lineRule="auto"/>
      </w:pPr>
      <w:r>
        <w:rPr>
          <w:sz w:val="24"/>
        </w:rPr>
        <w:t>§ 2º A falsidade ou omissão de informações na habilitação enseja a desclassificação imediata e a aplicação das sanções previstas no Capítulo VII.</w:t>
      </w:r>
    </w:p>
    <w:p>
      <w:pPr>
        <w:ind w:firstLine="709"/>
        <w:jc w:val="both"/>
        <w:spacing w:before="0" w:after="120" w:line="276" w:lineRule="auto"/>
      </w:pPr>
      <w:r>
        <w:rPr>
          <w:sz w:val="24"/>
        </w:rPr>
        <w:t>§ 3º O Edital poderá admitir habilitação inicial por meio de autodeclaração firmada pelo Proponente, sob as penas da lei, com dispensa da apresentação imediata dos documentos previstos nos incisos I a VI do caput. Nesta hipótese, a comprovação documental será exigida apenas dos Proponentes aprovados na etapa de avaliação de mérito, em momento anterior à assinatura da Carta de Apoio ou da Carta de Captação, conforme o caso.</w:t>
      </w:r>
    </w:p>
    <w:p>
      <w:pPr>
        <w:ind w:firstLine="709"/>
        <w:jc w:val="both"/>
        <w:spacing w:before="0" w:after="120" w:line="276" w:lineRule="auto"/>
      </w:pPr>
      <w:r>
        <w:rPr>
          <w:sz w:val="24"/>
        </w:rPr>
        <w:t>§ 4º Para os fins dos incisos I e VI do caput, equipara-se à regularidade fiscal a existência de parcelamento de débito fiscal em situação regular, devidamente comprovado por certidão positiva com efeitos de negativa ou documento equivalente emitido pelo órgão competente.</w:t>
      </w:r>
    </w:p>
    <w:p>
      <w:pPr>
        <w:jc w:val="center"/>
        <w:spacing w:before="160" w:after="80"/>
      </w:pPr>
      <w:r>
        <w:rPr>
          <w:b/>
          <w:sz w:val="24"/>
        </w:rPr>
        <w:t>Seção III — Da vinculação a Arranjo Promotor de Inovação (API)</w:t>
      </w:r>
    </w:p>
    <w:p>
      <w:pPr>
        <w:ind w:firstLine="709"/>
        <w:jc w:val="both"/>
        <w:spacing w:before="0" w:after="120" w:line="276" w:lineRule="auto"/>
      </w:pPr>
      <w:r>
        <w:rPr>
          <w:sz w:val="24"/>
        </w:rPr>
        <w:t>Art. 9º A submissão de Projeto ao Programa somente se dará por intermédio de Arranjo Promotor de Inovação (API) credenciado pelo Município, nos termos de Decreto específico.</w:t>
      </w:r>
    </w:p>
    <w:p>
      <w:pPr>
        <w:ind w:firstLine="709"/>
        <w:jc w:val="both"/>
        <w:spacing w:before="0" w:after="120" w:line="276" w:lineRule="auto"/>
      </w:pPr>
      <w:r>
        <w:rPr>
          <w:sz w:val="24"/>
        </w:rPr>
        <w:t>§ 1º O Proponente deverá apresentar, no momento da submissão, documento formal de vinculação a um único API credenciado, assinado pelo API e pelo Proponente.</w:t>
      </w:r>
    </w:p>
    <w:p>
      <w:pPr>
        <w:ind w:firstLine="709"/>
        <w:jc w:val="both"/>
        <w:spacing w:before="0" w:after="120" w:line="276" w:lineRule="auto"/>
      </w:pPr>
      <w:r>
        <w:rPr>
          <w:sz w:val="24"/>
        </w:rPr>
        <w:t>§ 2º A vinculação a um API não confere a este qualquer participação societária, direito autoral ou titularidade sobre o Projeto, e tampouco direito a remuneração direta do Proponente, salvo ajuste próprio entre as partes que não comprometa a autonomia técnica do Projeto nem a imparcialidade do API.</w:t>
      </w:r>
    </w:p>
    <w:p>
      <w:pPr>
        <w:ind w:firstLine="709"/>
        <w:jc w:val="both"/>
        <w:spacing w:before="0" w:after="120" w:line="276" w:lineRule="auto"/>
      </w:pPr>
      <w:r>
        <w:rPr>
          <w:sz w:val="24"/>
        </w:rPr>
        <w:t>§ 3º É vedada a vinculação do Proponente a API com o qual mantenha relação societária, familiar até 3º (terceiro) grau, ou qualquer forma de conflito de interesse que comprometa a imparcialidade da orientação.</w:t>
      </w:r>
    </w:p>
    <w:p>
      <w:pPr>
        <w:ind w:firstLine="709"/>
        <w:jc w:val="both"/>
        <w:spacing w:before="0" w:after="120" w:line="276" w:lineRule="auto"/>
      </w:pPr>
      <w:r>
        <w:rPr>
          <w:sz w:val="24"/>
        </w:rPr>
        <w:t>§ 4º O Proponente poderá, a qualquer tempo durante o ciclo, solicitar à SDE a troca de vinculação para outro API credenciado, mediante justificativa formal e concordância dos APIs envolvidos.</w:t>
      </w:r>
    </w:p>
    <w:p>
      <w:pPr>
        <w:jc w:val="center"/>
        <w:spacing w:before="160" w:after="80"/>
      </w:pPr>
      <w:r>
        <w:rPr>
          <w:b/>
          <w:sz w:val="24"/>
        </w:rPr>
        <w:t>Seção IV — Do limite de projetos por Proponente</w:t>
      </w:r>
    </w:p>
    <w:p>
      <w:pPr>
        <w:ind w:firstLine="709"/>
        <w:jc w:val="both"/>
        <w:spacing w:before="0" w:after="120" w:line="276" w:lineRule="auto"/>
      </w:pPr>
      <w:r>
        <w:rPr>
          <w:sz w:val="24"/>
        </w:rPr>
        <w:t>Art. 10 Cada Proponente poderá manter no máximo 1 (um) Projeto ativo no Programa, entendido como Projeto em fase de execução, aguardando prestação de contas final ou em análise pela SDE.</w:t>
      </w:r>
    </w:p>
    <w:p>
      <w:pPr>
        <w:ind w:firstLine="709"/>
        <w:jc w:val="both"/>
        <w:spacing w:before="0" w:after="120" w:line="276" w:lineRule="auto"/>
      </w:pPr>
      <w:r>
        <w:rPr>
          <w:sz w:val="24"/>
        </w:rPr>
        <w:t>§ 1º Somente após a aprovação definitiva da prestação de contas final do Projeto anterior, o Proponente poderá apresentar novo Projeto ao Programa.</w:t>
      </w:r>
    </w:p>
    <w:p>
      <w:pPr>
        <w:ind w:firstLine="709"/>
        <w:jc w:val="both"/>
        <w:spacing w:before="0" w:after="120" w:line="276" w:lineRule="auto"/>
      </w:pPr>
      <w:r>
        <w:rPr>
          <w:sz w:val="24"/>
        </w:rPr>
        <w:t>§ 2º A regra do caput aplica-se também aos sócios controladores de pessoa jurídica Proponente, vedada a apresentação simultânea de Projetos por pessoas jurídicas diferentes sob o mesmo controle societário.</w:t>
      </w:r>
    </w:p>
    <w:p>
      <w:pPr>
        <w:ind w:firstLine="709"/>
        <w:jc w:val="both"/>
        <w:spacing w:before="0" w:after="120" w:line="276" w:lineRule="auto"/>
      </w:pPr>
      <w:r>
        <w:rPr>
          <w:sz w:val="24"/>
        </w:rPr>
        <w:t>§ 3º A migração entre pessoa física e pessoa jurídica prevista no art. 7º, §2º, não configura novo Projeto para efeito do limite deste artigo.</w:t>
      </w:r>
    </w:p>
    <w:p>
      <w:pPr>
        <w:jc w:val="center"/>
        <w:spacing w:before="160" w:after="80"/>
      </w:pPr>
      <w:r>
        <w:rPr>
          <w:b/>
          <w:sz w:val="24"/>
        </w:rPr>
        <w:t>Seção V — Das vedações subjetivas</w:t>
      </w:r>
    </w:p>
    <w:p>
      <w:pPr>
        <w:ind w:firstLine="709"/>
        <w:jc w:val="both"/>
        <w:spacing w:before="0" w:after="120" w:line="276" w:lineRule="auto"/>
      </w:pPr>
      <w:r>
        <w:rPr>
          <w:sz w:val="24"/>
        </w:rPr>
        <w:t>Art. 11 É vedada a participação no Programa, na qualidade de Proponente, de:</w:t>
      </w:r>
    </w:p>
    <w:p>
      <w:pPr>
        <w:ind w:left="850"/>
        <w:spacing w:before="0" w:after="60" w:line="276" w:lineRule="auto"/>
      </w:pPr>
      <w:r>
        <w:rPr>
          <w:sz w:val="24"/>
        </w:rPr>
        <w:t>todo e qualquer servidor público municipal de Joinville em exercício, ativo ou em afastamento remunerado, independentemente do órgão de lotação, bem como seus cônjuges, companheiros ou parentes até o 3º grau civil;</w:t>
      </w:r>
    </w:p>
    <w:p>
      <w:pPr>
        <w:ind w:left="850"/>
        <w:spacing w:before="0" w:after="60" w:line="276" w:lineRule="auto"/>
      </w:pPr>
      <w:r>
        <w:rPr>
          <w:sz w:val="24"/>
        </w:rPr>
        <w:t>membros da Comissão Técnica, do Comitê Decisório e do COMCITI em exercício no ciclo corrente, bem como seus cônjuges, companheiros ou parentes até o 3º grau civil;</w:t>
      </w:r>
    </w:p>
    <w:p>
      <w:pPr>
        <w:ind w:left="850"/>
        <w:spacing w:before="0" w:after="60" w:line="276" w:lineRule="auto"/>
      </w:pPr>
      <w:r>
        <w:rPr>
          <w:sz w:val="24"/>
        </w:rPr>
        <w:t>dirigentes, sócios controladores e empregados de APIs credenciados, bem como seus cônjuges, companheiros ou parentes até o 3º grau civil, quando vinculados ao mesmo API;</w:t>
      </w:r>
    </w:p>
    <w:p>
      <w:pPr>
        <w:ind w:left="850"/>
        <w:spacing w:before="0" w:after="60" w:line="276" w:lineRule="auto"/>
      </w:pPr>
      <w:r>
        <w:rPr>
          <w:sz w:val="24"/>
        </w:rPr>
        <w:t>pessoas físicas ou jurídicas declaradas inidôneas para contratar com a Administração Pública, em qualquer esfera federativa, enquanto perdurarem os efeitos da sanção;</w:t>
      </w:r>
    </w:p>
    <w:p>
      <w:pPr>
        <w:ind w:left="850"/>
        <w:spacing w:before="0" w:after="60" w:line="276" w:lineRule="auto"/>
      </w:pPr>
      <w:r>
        <w:rPr>
          <w:sz w:val="24"/>
        </w:rPr>
        <w:t>pessoas jurídicas sancionadas com fundamento na Lei Federal nº 8.429, de 1992 (Improbidade Administrativa) ou na Lei Federal nº 12.846, de 2013 (Lei Anticorrupção), bem como seus dirigentes e sócios controladores, enquanto perdurarem os efeitos da sanção;</w:t>
      </w:r>
    </w:p>
    <w:p>
      <w:pPr>
        <w:ind w:left="850"/>
        <w:spacing w:before="0" w:after="60" w:line="276" w:lineRule="auto"/>
      </w:pPr>
      <w:r>
        <w:rPr>
          <w:sz w:val="24"/>
        </w:rPr>
        <w:t>pessoas físicas ou jurídicas com dívidas tributárias em execução fiscal no Município de Joinville, sem parcelamento regular;</w:t>
      </w:r>
    </w:p>
    <w:p>
      <w:pPr>
        <w:ind w:left="850"/>
        <w:spacing w:before="0" w:after="60" w:line="276" w:lineRule="auto"/>
      </w:pPr>
      <w:r>
        <w:rPr>
          <w:sz w:val="24"/>
        </w:rPr>
        <w:t>pessoas físicas ou jurídicas sancionadas em ciclos anteriores do Programa por uso irregular de recursos, durante o período de vigência da sanção;</w:t>
      </w:r>
    </w:p>
    <w:p>
      <w:pPr>
        <w:ind w:left="850"/>
        <w:spacing w:before="0" w:after="60" w:line="276" w:lineRule="auto"/>
      </w:pPr>
      <w:r>
        <w:rPr>
          <w:sz w:val="24"/>
        </w:rPr>
        <w:t>pessoas jurídicas em processo de recuperação judicial ou falência, exceto quando autorizado expressamente pelo juízo competente;</w:t>
      </w:r>
    </w:p>
    <w:p>
      <w:pPr>
        <w:ind w:left="850"/>
        <w:spacing w:before="0" w:after="60" w:line="276" w:lineRule="auto"/>
      </w:pPr>
      <w:r>
        <w:rPr>
          <w:sz w:val="24"/>
        </w:rPr>
        <w:t>pessoas jurídicas cuja atividade principal esteja vedada por lei ou regulamento, ou seja incompatível com os objetivos do Programa.</w:t>
      </w:r>
    </w:p>
    <w:p>
      <w:pPr>
        <w:ind w:firstLine="709"/>
        <w:jc w:val="both"/>
        <w:spacing w:before="0" w:after="120" w:line="276" w:lineRule="auto"/>
      </w:pPr>
      <w:r>
        <w:rPr>
          <w:sz w:val="24"/>
        </w:rPr>
        <w:t>Parágrafo único. A verificação das vedações previstas neste artigo é dever do Proponente, do API de vinculação e da SDE, sendo responsabilidade objetiva do Proponente prestar as declarações formais exigidas no Edital.</w:t>
      </w:r>
    </w:p>
    <w:p>
      <w:pPr>
        <w:jc w:val="center"/>
        <w:spacing w:before="160" w:after="80"/>
      </w:pPr>
      <w:r>
        <w:rPr>
          <w:b/>
          <w:sz w:val="24"/>
        </w:rPr>
        <w:t>Seção VI — Das vedações objetivas do Projeto</w:t>
      </w:r>
    </w:p>
    <w:p>
      <w:pPr>
        <w:ind w:firstLine="709"/>
        <w:jc w:val="both"/>
        <w:spacing w:before="0" w:after="120" w:line="276" w:lineRule="auto"/>
      </w:pPr>
      <w:r>
        <w:rPr>
          <w:sz w:val="24"/>
        </w:rPr>
        <w:t>Art. 12 Não serão admitidos no Programa Projetos que:</w:t>
      </w:r>
    </w:p>
    <w:p>
      <w:pPr>
        <w:ind w:left="850"/>
        <w:spacing w:before="0" w:after="60" w:line="276" w:lineRule="auto"/>
      </w:pPr>
      <w:r>
        <w:rPr>
          <w:sz w:val="24"/>
        </w:rPr>
        <w:t>não demonstrem contribuição efetiva a pelo menos um dos eixos previstos no art. 5º;</w:t>
      </w:r>
    </w:p>
    <w:p>
      <w:pPr>
        <w:ind w:left="850"/>
        <w:spacing w:before="0" w:after="60" w:line="276" w:lineRule="auto"/>
      </w:pPr>
      <w:r>
        <w:rPr>
          <w:sz w:val="24"/>
        </w:rPr>
        <w:t>tenham como finalidade principal a execução de obra pública ou de serviço que seja competência regular da Administração Pública municipal;</w:t>
      </w:r>
    </w:p>
    <w:p>
      <w:pPr>
        <w:ind w:left="850"/>
        <w:spacing w:before="0" w:after="60" w:line="276" w:lineRule="auto"/>
      </w:pPr>
      <w:r>
        <w:rPr>
          <w:sz w:val="24"/>
        </w:rPr>
        <w:t>consistam exclusivamente em aquisição de bens de capital, sem componente de inovação identificável;</w:t>
      </w:r>
    </w:p>
    <w:p>
      <w:pPr>
        <w:ind w:left="850"/>
        <w:spacing w:before="0" w:after="60" w:line="276" w:lineRule="auto"/>
      </w:pPr>
      <w:r>
        <w:rPr>
          <w:sz w:val="24"/>
        </w:rPr>
        <w:t>caracterizem mera atividade empresarial corrente, sem elemento de novidade tecnológica, metodológica ou de modelo de negócio;</w:t>
      </w:r>
    </w:p>
    <w:p>
      <w:pPr>
        <w:ind w:left="850"/>
        <w:spacing w:before="0" w:after="60" w:line="276" w:lineRule="auto"/>
      </w:pPr>
      <w:r>
        <w:rPr>
          <w:sz w:val="24"/>
        </w:rPr>
        <w:t>tenham por objeto atividade ilícita, jogos de azar, comércio de armas, bebidas alcoólicas destiladas, fumo ou derivados, ou que se oponham aos objetivos constitucionais de saúde pública e proteção ambiental;</w:t>
      </w:r>
    </w:p>
    <w:p>
      <w:pPr>
        <w:ind w:left="850"/>
        <w:spacing w:before="0" w:after="60" w:line="276" w:lineRule="auto"/>
      </w:pPr>
      <w:r>
        <w:rPr>
          <w:sz w:val="24"/>
        </w:rPr>
        <w:t>recebam, simultaneamente, duplicidade de custeio da mesma despesa — não do mesmo Projeto — com recursos de outro programa, de qualquer esfera federativa, sendo permitida a coexistência entre o apoio do Programa e demais benefícios, programas ou políticas públicas em favor do mesmo Proponente, desde que as despesas não sejam as mesmas;</w:t>
      </w:r>
    </w:p>
    <w:p>
      <w:pPr>
        <w:ind w:left="850"/>
        <w:spacing w:before="0" w:after="60" w:line="276" w:lineRule="auto"/>
      </w:pPr>
      <w:r>
        <w:rPr>
          <w:sz w:val="24"/>
        </w:rPr>
        <w:t>impliquem risco de dano ambiental sem licenciamento prévio pelos órgãos competentes;</w:t>
      </w:r>
    </w:p>
    <w:p>
      <w:pPr>
        <w:ind w:left="850"/>
        <w:spacing w:before="0" w:after="60" w:line="276" w:lineRule="auto"/>
      </w:pPr>
      <w:r>
        <w:rPr>
          <w:sz w:val="24"/>
        </w:rPr>
        <w:t>violem direitos de propriedade intelectual de terceiros ou contrariem normas éticas aplicáveis à pesquisa e ao desenvolvimento.</w:t>
      </w:r>
    </w:p>
    <w:p>
      <w:pPr>
        <w:jc w:val="center"/>
        <w:spacing w:before="160" w:after="80"/>
      </w:pPr>
      <w:r>
        <w:rPr>
          <w:b/>
          <w:sz w:val="24"/>
        </w:rPr>
        <w:t>Seção VII — Da participação conjunta</w:t>
      </w:r>
    </w:p>
    <w:p>
      <w:pPr>
        <w:ind w:firstLine="709"/>
        <w:jc w:val="both"/>
        <w:spacing w:before="0" w:after="120" w:line="276" w:lineRule="auto"/>
      </w:pPr>
      <w:r>
        <w:rPr>
          <w:sz w:val="24"/>
        </w:rPr>
        <w:t>Art. 13 Dois ou mais Proponentes poderão apresentar Projeto em conjunto, na modalidade de parceria técnica, observadas as seguintes condições:</w:t>
      </w:r>
    </w:p>
    <w:p>
      <w:pPr>
        <w:ind w:left="850"/>
        <w:spacing w:before="0" w:after="60" w:line="276" w:lineRule="auto"/>
      </w:pPr>
      <w:r>
        <w:rPr>
          <w:sz w:val="24"/>
        </w:rPr>
        <w:t>designação de um Proponente líder, responsável pela apresentação formal do Projeto, pela execução financeira e pela prestação de contas à SDE;</w:t>
      </w:r>
    </w:p>
    <w:p>
      <w:pPr>
        <w:ind w:left="850"/>
        <w:spacing w:before="0" w:after="60" w:line="276" w:lineRule="auto"/>
      </w:pPr>
      <w:r>
        <w:rPr>
          <w:sz w:val="24"/>
        </w:rPr>
        <w:t>instrumento formal de parceria entre os Proponentes, com definição clara das atribuições técnicas e financeiras de cada um;</w:t>
      </w:r>
    </w:p>
    <w:p>
      <w:pPr>
        <w:ind w:left="850"/>
        <w:spacing w:before="0" w:after="60" w:line="276" w:lineRule="auto"/>
      </w:pPr>
      <w:r>
        <w:rPr>
          <w:sz w:val="24"/>
        </w:rPr>
        <w:t>atendimento individual, por cada Proponente, dos requisitos de elegibilidade (art. 7º), de habilitação (art. 8º) e das vedações (art. 11);</w:t>
      </w:r>
    </w:p>
    <w:p>
      <w:pPr>
        <w:ind w:left="850"/>
        <w:spacing w:before="0" w:after="60" w:line="276" w:lineRule="auto"/>
      </w:pPr>
      <w:r>
        <w:rPr>
          <w:sz w:val="24"/>
        </w:rPr>
        <w:t>vinculação a um único API credenciado;</w:t>
      </w:r>
    </w:p>
    <w:p>
      <w:pPr>
        <w:ind w:left="850"/>
        <w:spacing w:before="0" w:after="60" w:line="276" w:lineRule="auto"/>
      </w:pPr>
      <w:r>
        <w:rPr>
          <w:sz w:val="24"/>
        </w:rPr>
        <w:t>observância do limite de 1 Projeto ativo por Proponente (art. 10), aplicado individualmente a cada participante.</w:t>
      </w:r>
    </w:p>
    <w:p>
      <w:pPr>
        <w:ind w:firstLine="709"/>
        <w:jc w:val="both"/>
        <w:spacing w:before="0" w:after="120" w:line="276" w:lineRule="auto"/>
      </w:pPr>
      <w:r>
        <w:rPr>
          <w:sz w:val="24"/>
        </w:rPr>
        <w:t>Parágrafo único. Em caso de inadimplemento ou sanção aplicada ao Proponente líder, a responsabilidade solidária pelos recursos recebidos alcança os demais Proponentes participantes, na proporção prevista no instrumento de parceria.</w:t>
      </w:r>
    </w:p>
    <w:p>
      <w:pPr>
        <w:jc w:val="center"/>
        <w:spacing w:before="320" w:after="80"/>
      </w:pPr>
      <w:r>
        <w:rPr>
          <w:b/>
          <w:sz w:val="24"/>
        </w:rPr>
        <w:t>GOVERNANÇA</w:t>
      </w:r>
    </w:p>
    <w:p>
      <w:pPr>
        <w:jc w:val="center"/>
        <w:spacing w:before="160" w:after="80"/>
      </w:pPr>
      <w:r>
        <w:rPr>
          <w:b/>
          <w:sz w:val="24"/>
        </w:rPr>
        <w:t>Seção I — Da estrutura de governança</w:t>
      </w:r>
    </w:p>
    <w:p>
      <w:pPr>
        <w:ind w:firstLine="709"/>
        <w:jc w:val="both"/>
        <w:spacing w:before="0" w:after="120" w:line="276" w:lineRule="auto"/>
      </w:pPr>
      <w:r>
        <w:rPr>
          <w:sz w:val="24"/>
        </w:rPr>
        <w:t>Art. 14 A governança do Programa é estruturada em 3 (três) camadas de atuação, cumuladas com órgãos de suporte, na forma deste Capítulo:</w:t>
      </w:r>
    </w:p>
    <w:p>
      <w:pPr>
        <w:ind w:left="850"/>
        <w:spacing w:before="0" w:after="60" w:line="276" w:lineRule="auto"/>
      </w:pPr>
      <w:r>
        <w:rPr>
          <w:sz w:val="24"/>
        </w:rPr>
        <w:t>1ª camada — filtro e orientação: Arranjos Promotores de Inovação (APIs) credenciados, responsáveis pela pré-qualificação e acompanhamento dos Proponentes;</w:t>
      </w:r>
    </w:p>
    <w:p>
      <w:pPr>
        <w:ind w:left="850"/>
        <w:spacing w:before="0" w:after="60" w:line="276" w:lineRule="auto"/>
      </w:pPr>
      <w:r>
        <w:rPr>
          <w:sz w:val="24"/>
        </w:rPr>
        <w:t>2ª camada — avaliação de mérito: Comissão Técnica, responsável pela pontuação dos Projetos segundo os critérios do Capítulo IV;</w:t>
      </w:r>
    </w:p>
    <w:p>
      <w:pPr>
        <w:ind w:left="850"/>
        <w:spacing w:before="0" w:after="60" w:line="276" w:lineRule="auto"/>
      </w:pPr>
      <w:r>
        <w:rPr>
          <w:sz w:val="24"/>
        </w:rPr>
        <w:t>3ª camada — homologação e decisão: Comitê Decisório, com composição obrigatória da Secretaria Municipal da Fazenda.</w:t>
      </w:r>
    </w:p>
    <w:p>
      <w:pPr>
        <w:ind w:firstLine="709"/>
        <w:jc w:val="both"/>
        <w:spacing w:before="0" w:after="120" w:line="276" w:lineRule="auto"/>
      </w:pPr>
      <w:r>
        <w:rPr>
          <w:sz w:val="24"/>
        </w:rPr>
        <w:t>§ 1º A Secretaria gestora (SDE) coordena toda a estrutura, opera o FIT/Jlle e articula com o COMCITI, com a SEFAZ, com a PGM e com a CGM.</w:t>
      </w:r>
    </w:p>
    <w:p>
      <w:pPr>
        <w:ind w:firstLine="709"/>
        <w:jc w:val="both"/>
        <w:spacing w:before="0" w:after="120" w:line="276" w:lineRule="auto"/>
      </w:pPr>
      <w:r>
        <w:rPr>
          <w:sz w:val="24"/>
        </w:rPr>
        <w:t>§ 2º Cada camada tem competência exclusiva — vedada a sobreposição de funções entre elas, salvo em hipóteses expressamente previstas neste Decreto.</w:t>
      </w:r>
    </w:p>
    <w:p>
      <w:pPr>
        <w:ind w:firstLine="709"/>
        <w:jc w:val="both"/>
        <w:spacing w:before="0" w:after="120" w:line="276" w:lineRule="auto"/>
      </w:pPr>
      <w:r>
        <w:rPr>
          <w:sz w:val="24"/>
        </w:rPr>
        <w:t>§ 3º O COMCITI (Conselho Municipal de Ciência, Tecnologia e Inovação) atua como instância consultiva estratégica do Programa, nos termos da Seção VII deste Capítulo.</w:t>
      </w:r>
    </w:p>
    <w:p>
      <w:pPr>
        <w:jc w:val="center"/>
        <w:spacing w:before="160" w:after="80"/>
      </w:pPr>
      <w:r>
        <w:rPr>
          <w:b/>
          <w:sz w:val="24"/>
        </w:rPr>
        <w:t>Seção II — Da Secretaria gestora (SDE)</w:t>
      </w:r>
    </w:p>
    <w:p>
      <w:pPr>
        <w:ind w:firstLine="709"/>
        <w:jc w:val="both"/>
        <w:spacing w:before="0" w:after="120" w:line="276" w:lineRule="auto"/>
      </w:pPr>
      <w:r>
        <w:rPr>
          <w:sz w:val="24"/>
        </w:rPr>
        <w:t>Art. 15 Compete à Secretaria gestora do Programa (SDE):</w:t>
      </w:r>
    </w:p>
    <w:p>
      <w:pPr>
        <w:ind w:left="850"/>
        <w:spacing w:before="0" w:after="60" w:line="276" w:lineRule="auto"/>
      </w:pPr>
      <w:r>
        <w:rPr>
          <w:sz w:val="24"/>
        </w:rPr>
        <w:t>coordenar operacionalmente o Programa em todas as suas fases;</w:t>
      </w:r>
    </w:p>
    <w:p>
      <w:pPr>
        <w:ind w:left="850"/>
        <w:spacing w:before="0" w:after="60" w:line="276" w:lineRule="auto"/>
      </w:pPr>
      <w:r>
        <w:rPr>
          <w:sz w:val="24"/>
        </w:rPr>
        <w:t>publicar o Edital de cada ciclo, receber as propostas e realizar a triagem administrativa inicial;</w:t>
      </w:r>
    </w:p>
    <w:p>
      <w:pPr>
        <w:ind w:left="850"/>
        <w:spacing w:before="0" w:after="60" w:line="276" w:lineRule="auto"/>
      </w:pPr>
      <w:r>
        <w:rPr>
          <w:sz w:val="24"/>
        </w:rPr>
        <w:t>administrar o FIT/Jlle nos termos da Seção III deste Capítulo;</w:t>
      </w:r>
    </w:p>
    <w:p>
      <w:pPr>
        <w:ind w:left="850"/>
        <w:spacing w:before="0" w:after="60" w:line="276" w:lineRule="auto"/>
      </w:pPr>
      <w:r>
        <w:rPr>
          <w:sz w:val="24"/>
        </w:rPr>
        <w:t>credenciar, descredenciar e fiscalizar os APIs, nos termos do Decreto específico de credenciamento;</w:t>
      </w:r>
    </w:p>
    <w:p>
      <w:pPr>
        <w:ind w:left="850"/>
        <w:spacing w:before="0" w:after="60" w:line="276" w:lineRule="auto"/>
      </w:pPr>
      <w:r>
        <w:rPr>
          <w:sz w:val="24"/>
        </w:rPr>
        <w:t>indicar, convocar e secretariar a Comissão Técnica e o Comitê Decisório;</w:t>
      </w:r>
    </w:p>
    <w:p>
      <w:pPr>
        <w:ind w:left="850"/>
        <w:spacing w:before="0" w:after="60" w:line="276" w:lineRule="auto"/>
      </w:pPr>
      <w:r>
        <w:rPr>
          <w:sz w:val="24"/>
        </w:rPr>
        <w:t>emitir a Carta de Apoio ou a Carta de Captação em favor dos Proponentes selecionados, conforme o caso;</w:t>
      </w:r>
    </w:p>
    <w:p>
      <w:pPr>
        <w:ind w:left="850"/>
        <w:spacing w:before="0" w:after="60" w:line="276" w:lineRule="auto"/>
      </w:pPr>
      <w:r>
        <w:rPr>
          <w:sz w:val="24"/>
        </w:rPr>
        <w:t>firmar os contratos de apoio financeiro com os Proponentes;</w:t>
      </w:r>
    </w:p>
    <w:p>
      <w:pPr>
        <w:ind w:left="850"/>
        <w:spacing w:before="0" w:after="60" w:line="276" w:lineRule="auto"/>
      </w:pPr>
      <w:r>
        <w:rPr>
          <w:sz w:val="24"/>
        </w:rPr>
        <w:t>acompanhar a execução dos Projetos apoiados e analisar prestações de contas, com apoio da CGM;</w:t>
      </w:r>
    </w:p>
    <w:p>
      <w:pPr>
        <w:ind w:left="850"/>
        <w:spacing w:before="0" w:after="60" w:line="276" w:lineRule="auto"/>
      </w:pPr>
      <w:r>
        <w:rPr>
          <w:sz w:val="24"/>
        </w:rPr>
        <w:t>aplicar, após regular processo administrativo com garantia de contraditório e ampla defesa, as sanções previstas no Capítulo VII;</w:t>
      </w:r>
    </w:p>
    <w:p>
      <w:pPr>
        <w:ind w:left="850"/>
        <w:spacing w:before="0" w:after="60" w:line="276" w:lineRule="auto"/>
      </w:pPr>
      <w:r>
        <w:rPr>
          <w:sz w:val="24"/>
        </w:rPr>
        <w:t>manter o portal público do Programa com dados abertos atualizados;</w:t>
      </w:r>
    </w:p>
    <w:p>
      <w:pPr>
        <w:ind w:left="850"/>
        <w:spacing w:before="0" w:after="60" w:line="276" w:lineRule="auto"/>
      </w:pPr>
      <w:r>
        <w:rPr>
          <w:sz w:val="24"/>
        </w:rPr>
        <w:t>elaborar, publicar e atualizar os indicadores de impacto previstos no Capítulo VIII;</w:t>
      </w:r>
    </w:p>
    <w:p>
      <w:pPr>
        <w:ind w:left="850"/>
        <w:spacing w:before="0" w:after="60" w:line="276" w:lineRule="auto"/>
      </w:pPr>
      <w:r>
        <w:rPr>
          <w:sz w:val="24"/>
        </w:rPr>
        <w:t>submeter relatório anual à Câmara Municipal e ao COMCITI, nos termos deste Decreto.</w:t>
      </w:r>
    </w:p>
    <w:p>
      <w:pPr>
        <w:ind w:firstLine="709"/>
        <w:jc w:val="both"/>
        <w:spacing w:before="0" w:after="120" w:line="276" w:lineRule="auto"/>
      </w:pPr>
      <w:r>
        <w:rPr>
          <w:sz w:val="24"/>
        </w:rPr>
        <w:t>Parágrafo único. A SDE dimensionará equipe técnica mínima, com perfil adequado à gestão de programas de fomento, para execução das atribuições previstas neste artigo.</w:t>
      </w:r>
    </w:p>
    <w:p>
      <w:pPr>
        <w:jc w:val="center"/>
        <w:spacing w:before="160" w:after="80"/>
      </w:pPr>
      <w:r>
        <w:rPr>
          <w:b/>
          <w:sz w:val="24"/>
        </w:rPr>
        <w:t>Seção III — Do FIT/Jlle e do seu Comitê Gestor</w:t>
      </w:r>
    </w:p>
    <w:p>
      <w:pPr>
        <w:ind w:firstLine="709"/>
        <w:jc w:val="both"/>
        <w:spacing w:before="0" w:after="120" w:line="276" w:lineRule="auto"/>
      </w:pPr>
      <w:r>
        <w:rPr>
          <w:sz w:val="24"/>
        </w:rPr>
        <w:t>Art. 16 Fica ativado e regulamentado o Fundo Municipal de Inovação Tecnológica de Joinville (FIT/Jlle), fundo contábil de natureza financeira, vinculado à Secretaria gestora (SDE), com a finalidade de concentrar e executar os recursos destinados ao Programa.</w:t>
      </w:r>
    </w:p>
    <w:p>
      <w:pPr>
        <w:ind w:firstLine="709"/>
        <w:jc w:val="both"/>
        <w:spacing w:before="0" w:after="120" w:line="276" w:lineRule="auto"/>
      </w:pPr>
      <w:r>
        <w:rPr>
          <w:sz w:val="24"/>
        </w:rPr>
        <w:t>§ 1º São receitas do FIT/Jlle:</w:t>
      </w:r>
    </w:p>
    <w:p>
      <w:pPr>
        <w:ind w:left="850"/>
        <w:spacing w:before="0" w:after="60" w:line="276" w:lineRule="auto"/>
      </w:pPr>
      <w:r>
        <w:rPr>
          <w:sz w:val="24"/>
        </w:rPr>
        <w:t>dotações orçamentárias consignadas ao Fundo na Lei Orçamentária Anual do Município;</w:t>
      </w:r>
    </w:p>
    <w:p>
      <w:pPr>
        <w:ind w:left="850"/>
        <w:spacing w:before="0" w:after="60" w:line="276" w:lineRule="auto"/>
      </w:pPr>
      <w:r>
        <w:rPr>
          <w:sz w:val="24"/>
        </w:rPr>
        <w:t>créditos adicionais e suplementações que lhe sejam destinados;</w:t>
      </w:r>
    </w:p>
    <w:p>
      <w:pPr>
        <w:ind w:left="850"/>
        <w:spacing w:before="0" w:after="60" w:line="276" w:lineRule="auto"/>
      </w:pPr>
      <w:r>
        <w:rPr>
          <w:sz w:val="24"/>
        </w:rPr>
        <w:t>recursos oriundos de convênios, acordos, ajustes, parcerias ou instrumentos congêneres;</w:t>
      </w:r>
    </w:p>
    <w:p>
      <w:pPr>
        <w:ind w:left="850"/>
        <w:spacing w:before="0" w:after="60" w:line="276" w:lineRule="auto"/>
      </w:pPr>
      <w:r>
        <w:rPr>
          <w:sz w:val="24"/>
        </w:rPr>
        <w:t>doações, legados e subvenções de pessoas físicas, pessoas jurídicas ou organismos nacionais e internacionais, quando compatíveis com a finalidade do Fundo;</w:t>
      </w:r>
    </w:p>
    <w:p>
      <w:pPr>
        <w:ind w:left="850"/>
        <w:spacing w:before="0" w:after="60" w:line="276" w:lineRule="auto"/>
      </w:pPr>
      <w:r>
        <w:rPr>
          <w:sz w:val="24"/>
        </w:rPr>
        <w:t>rendimentos de aplicações financeiras dos seus recursos próprios;</w:t>
      </w:r>
    </w:p>
    <w:p>
      <w:pPr>
        <w:ind w:left="850"/>
        <w:spacing w:before="0" w:after="60" w:line="276" w:lineRule="auto"/>
      </w:pPr>
      <w:r>
        <w:rPr>
          <w:sz w:val="24"/>
        </w:rPr>
        <w:t>saldos de recursos não utilizados e devolvidos por Proponentes;</w:t>
      </w:r>
    </w:p>
    <w:p>
      <w:pPr>
        <w:ind w:left="850"/>
        <w:spacing w:before="0" w:after="60" w:line="276" w:lineRule="auto"/>
      </w:pPr>
      <w:r>
        <w:rPr>
          <w:sz w:val="24"/>
        </w:rPr>
        <w:t>outras receitas que lhe sejam atribuídas por lei ou decreto.</w:t>
      </w:r>
    </w:p>
    <w:p>
      <w:pPr>
        <w:ind w:firstLine="709"/>
        <w:jc w:val="both"/>
        <w:spacing w:before="0" w:after="120" w:line="276" w:lineRule="auto"/>
      </w:pPr>
      <w:r>
        <w:rPr>
          <w:sz w:val="24"/>
        </w:rPr>
        <w:t>§ 2º Os recursos do FIT/Jlle são aplicáveis exclusivamente às finalidades do Programa e das demais políticas municipais de inovação autorizadas pela Lei nº 7.170, de 2011.</w:t>
      </w:r>
    </w:p>
    <w:p>
      <w:pPr>
        <w:ind w:firstLine="709"/>
        <w:jc w:val="both"/>
        <w:spacing w:before="0" w:after="120" w:line="276" w:lineRule="auto"/>
      </w:pPr>
      <w:r>
        <w:rPr>
          <w:sz w:val="24"/>
        </w:rPr>
        <w:t>§ 3º Fica instituído o Comitê Gestor do FIT/Jlle, com a seguinte composição mínima:</w:t>
      </w:r>
    </w:p>
    <w:p>
      <w:pPr>
        <w:ind w:left="850"/>
        <w:spacing w:before="0" w:after="60" w:line="276" w:lineRule="auto"/>
      </w:pPr>
      <w:r>
        <w:rPr>
          <w:sz w:val="24"/>
        </w:rPr>
        <w:t>1 (um) representante da Secretaria gestora (SDE), que o presidirá;</w:t>
      </w:r>
    </w:p>
    <w:p>
      <w:pPr>
        <w:ind w:left="850"/>
        <w:spacing w:before="0" w:after="60" w:line="276" w:lineRule="auto"/>
      </w:pPr>
      <w:r>
        <w:rPr>
          <w:sz w:val="24"/>
        </w:rPr>
        <w:t>1 (um) representante da Secretaria Municipal da Fazenda (SEFAZ);</w:t>
      </w:r>
    </w:p>
    <w:p>
      <w:pPr>
        <w:ind w:left="850"/>
        <w:spacing w:before="0" w:after="60" w:line="276" w:lineRule="auto"/>
      </w:pPr>
      <w:r>
        <w:rPr>
          <w:sz w:val="24"/>
        </w:rPr>
        <w:t>1 (um) representante da Controladoria-Geral do Município (CGM);</w:t>
      </w:r>
    </w:p>
    <w:p>
      <w:pPr>
        <w:ind w:left="850"/>
        <w:spacing w:before="0" w:after="60" w:line="276" w:lineRule="auto"/>
      </w:pPr>
      <w:r>
        <w:rPr>
          <w:sz w:val="24"/>
        </w:rPr>
        <w:t>1 (um) representante do COMCITI, indicado pelo pleno do Conselho.</w:t>
      </w:r>
    </w:p>
    <w:p>
      <w:pPr>
        <w:ind w:firstLine="709"/>
        <w:jc w:val="both"/>
        <w:spacing w:before="0" w:after="120" w:line="276" w:lineRule="auto"/>
      </w:pPr>
      <w:r>
        <w:rPr>
          <w:sz w:val="24"/>
        </w:rPr>
        <w:t>§ 4º Compete ao Comitê Gestor do FIT/Jlle:</w:t>
      </w:r>
    </w:p>
    <w:p>
      <w:pPr>
        <w:ind w:left="850"/>
        <w:spacing w:before="0" w:after="60" w:line="276" w:lineRule="auto"/>
      </w:pPr>
      <w:r>
        <w:rPr>
          <w:sz w:val="24"/>
        </w:rPr>
        <w:t>aprovar o plano anual de aplicação dos recursos do Fundo;</w:t>
      </w:r>
    </w:p>
    <w:p>
      <w:pPr>
        <w:ind w:left="850"/>
        <w:spacing w:before="0" w:after="60" w:line="276" w:lineRule="auto"/>
      </w:pPr>
      <w:r>
        <w:rPr>
          <w:sz w:val="24"/>
        </w:rPr>
        <w:t>deliberar sobre a execução orçamentária e financeira do Fundo;</w:t>
      </w:r>
    </w:p>
    <w:p>
      <w:pPr>
        <w:ind w:left="850"/>
        <w:spacing w:before="0" w:after="60" w:line="276" w:lineRule="auto"/>
      </w:pPr>
      <w:r>
        <w:rPr>
          <w:sz w:val="24"/>
        </w:rPr>
        <w:t>fiscalizar a destinação dos recursos e a compatibilidade com a finalidade do Programa;</w:t>
      </w:r>
    </w:p>
    <w:p>
      <w:pPr>
        <w:ind w:left="850"/>
        <w:spacing w:before="0" w:after="60" w:line="276" w:lineRule="auto"/>
      </w:pPr>
      <w:r>
        <w:rPr>
          <w:sz w:val="24"/>
        </w:rPr>
        <w:t>aprovar a prestação de contas anual do Fundo, com encaminhamento à CGM e à Câmara Municipal;</w:t>
      </w:r>
    </w:p>
    <w:p>
      <w:pPr>
        <w:ind w:left="850"/>
        <w:spacing w:before="0" w:after="60" w:line="276" w:lineRule="auto"/>
      </w:pPr>
      <w:r>
        <w:rPr>
          <w:sz w:val="24"/>
        </w:rPr>
        <w:t>manifestar-se, por provocação da SDE, sobre matérias relativas à execução financeira do Programa.</w:t>
      </w:r>
    </w:p>
    <w:p>
      <w:pPr>
        <w:ind w:firstLine="709"/>
        <w:jc w:val="both"/>
        <w:spacing w:before="0" w:after="120" w:line="276" w:lineRule="auto"/>
      </w:pPr>
      <w:r>
        <w:rPr>
          <w:sz w:val="24"/>
        </w:rPr>
        <w:t>§ 5º O Comitê Gestor do FIT/Jlle reunir-se-á ordinariamente, no mínimo, trimestralmente, e extraordinariamente sempre que convocado pelo presidente ou por 2 (dois) dos seus membros.</w:t>
      </w:r>
    </w:p>
    <w:p>
      <w:pPr>
        <w:jc w:val="center"/>
        <w:spacing w:before="160" w:after="80"/>
      </w:pPr>
      <w:r>
        <w:rPr>
          <w:b/>
          <w:sz w:val="24"/>
        </w:rPr>
        <w:t>Seção IV — Dos Arranjos Promotores de Inovação (APIs)</w:t>
      </w:r>
    </w:p>
    <w:p>
      <w:pPr>
        <w:ind w:firstLine="709"/>
        <w:jc w:val="both"/>
        <w:spacing w:before="0" w:after="120" w:line="276" w:lineRule="auto"/>
      </w:pPr>
      <w:r>
        <w:rPr>
          <w:sz w:val="24"/>
        </w:rPr>
        <w:t>Art. 17 Os Arranjos Promotores de Inovação (APIs) são entidades credenciadas pelo Município para atuar como 1ª camada da governança do Programa, nos termos do Decreto específico de credenciamento.</w:t>
      </w:r>
    </w:p>
    <w:p>
      <w:pPr>
        <w:ind w:firstLine="709"/>
        <w:jc w:val="both"/>
        <w:spacing w:before="0" w:after="120" w:line="276" w:lineRule="auto"/>
      </w:pPr>
      <w:r>
        <w:rPr>
          <w:sz w:val="24"/>
        </w:rPr>
        <w:t>§ 1º Compete aos APIs, no âmbito do Programa:</w:t>
      </w:r>
    </w:p>
    <w:p>
      <w:pPr>
        <w:ind w:left="850"/>
        <w:spacing w:before="0" w:after="60" w:line="276" w:lineRule="auto"/>
      </w:pPr>
      <w:r>
        <w:rPr>
          <w:sz w:val="24"/>
        </w:rPr>
        <w:t>orientar os Proponentes na estruturação e apresentação dos Projetos;</w:t>
      </w:r>
    </w:p>
    <w:p>
      <w:pPr>
        <w:ind w:left="850"/>
        <w:spacing w:before="0" w:after="60" w:line="276" w:lineRule="auto"/>
      </w:pPr>
      <w:r>
        <w:rPr>
          <w:sz w:val="24"/>
        </w:rPr>
        <w:t>realizar pré-qualificação técnica dos Projetos submetidos, conforme critérios definidos em Edital;</w:t>
      </w:r>
    </w:p>
    <w:p>
      <w:pPr>
        <w:ind w:left="850"/>
        <w:spacing w:before="0" w:after="60" w:line="276" w:lineRule="auto"/>
      </w:pPr>
      <w:r>
        <w:rPr>
          <w:sz w:val="24"/>
        </w:rPr>
        <w:t>encaminhar à SDE, de forma agregada e organizada, os Projetos pré-qualificados;</w:t>
      </w:r>
    </w:p>
    <w:p>
      <w:pPr>
        <w:ind w:left="850"/>
        <w:spacing w:before="0" w:after="60" w:line="276" w:lineRule="auto"/>
      </w:pPr>
      <w:r>
        <w:rPr>
          <w:sz w:val="24"/>
        </w:rPr>
        <w:t>acompanhar os Proponentes vinculados durante a execução do Projeto, com suporte técnico e administrativo;</w:t>
      </w:r>
    </w:p>
    <w:p>
      <w:pPr>
        <w:ind w:left="850"/>
        <w:spacing w:before="0" w:after="60" w:line="276" w:lineRule="auto"/>
      </w:pPr>
      <w:r>
        <w:rPr>
          <w:sz w:val="24"/>
        </w:rPr>
        <w:t>reportar à SDE desvios, irregularidades ou riscos identificados durante a execução.</w:t>
      </w:r>
    </w:p>
    <w:p>
      <w:pPr>
        <w:ind w:firstLine="709"/>
        <w:jc w:val="both"/>
        <w:spacing w:before="0" w:after="120" w:line="276" w:lineRule="auto"/>
      </w:pPr>
      <w:r>
        <w:rPr>
          <w:sz w:val="24"/>
        </w:rPr>
        <w:t>§ 2º Os APIs não participam da avaliação de mérito (2ª camada), da homologação (3ª camada), nem da fiscalização financeira dos Projetos, preservando-se a separação entre orientação e decisão.</w:t>
      </w:r>
    </w:p>
    <w:p>
      <w:pPr>
        <w:ind w:firstLine="709"/>
        <w:jc w:val="both"/>
        <w:spacing w:before="0" w:after="120" w:line="276" w:lineRule="auto"/>
      </w:pPr>
      <w:r>
        <w:rPr>
          <w:sz w:val="24"/>
        </w:rPr>
        <w:t>§ 3º Os requisitos de credenciamento, a lista de entidades credenciadas, o modelo de parceria e as obrigações específicas dos APIs são matéria do Decreto próprio de credenciamento, referido no art. 9º deste Decreto.</w:t>
      </w:r>
    </w:p>
    <w:p>
      <w:pPr>
        <w:jc w:val="center"/>
        <w:spacing w:before="160" w:after="80"/>
      </w:pPr>
      <w:r>
        <w:rPr>
          <w:b/>
          <w:sz w:val="24"/>
        </w:rPr>
        <w:t>Seção V — Da Comissão Técnica</w:t>
      </w:r>
    </w:p>
    <w:p>
      <w:pPr>
        <w:ind w:firstLine="709"/>
        <w:jc w:val="both"/>
        <w:spacing w:before="0" w:after="120" w:line="276" w:lineRule="auto"/>
      </w:pPr>
      <w:r>
        <w:rPr>
          <w:sz w:val="24"/>
        </w:rPr>
        <w:t>Art. 18 A Comissão Técnica é o colegiado responsável pela avaliação de mérito dos Projetos submetidos ao Programa.</w:t>
      </w:r>
    </w:p>
    <w:p>
      <w:pPr>
        <w:ind w:firstLine="709"/>
        <w:jc w:val="both"/>
        <w:spacing w:before="0" w:after="120" w:line="276" w:lineRule="auto"/>
      </w:pPr>
      <w:r>
        <w:rPr>
          <w:sz w:val="24"/>
        </w:rPr>
        <w:t>§ 1º A Comissão Técnica será integrada por, no mínimo, 7 (sete) e, no máximo, 16 (dezesseis) membros, com perfis complementares, designados por portaria do titular da Secretaria gestora, observando-se:</w:t>
      </w:r>
    </w:p>
    <w:p>
      <w:pPr>
        <w:ind w:left="850"/>
        <w:spacing w:before="0" w:after="60" w:line="276" w:lineRule="auto"/>
      </w:pPr>
      <w:r>
        <w:rPr>
          <w:sz w:val="24"/>
        </w:rPr>
        <w:t>representantes indicados pela SDE, pela SEFAZ e pelo COMCITI;</w:t>
      </w:r>
    </w:p>
    <w:p>
      <w:pPr>
        <w:ind w:left="850"/>
        <w:spacing w:before="0" w:after="60" w:line="276" w:lineRule="auto"/>
      </w:pPr>
      <w:r>
        <w:rPr>
          <w:sz w:val="24"/>
        </w:rPr>
        <w:t>profissionais técnicos com experiência comprovada em gestão de projetos de inovação, avaliação de mérito técnico, desenvolvimento de produtos/serviços ou empreendedorismo de base tecnológica;</w:t>
      </w:r>
    </w:p>
    <w:p>
      <w:pPr>
        <w:ind w:left="850"/>
        <w:spacing w:before="0" w:after="60" w:line="276" w:lineRule="auto"/>
      </w:pPr>
      <w:r>
        <w:rPr>
          <w:sz w:val="24"/>
        </w:rPr>
        <w:t>representantes de instituições de ensino e pesquisa com atuação em Joinville ou região, preferencialmente com titulação superior em áreas correlatas;</w:t>
      </w:r>
    </w:p>
    <w:p>
      <w:pPr>
        <w:ind w:left="850"/>
        <w:spacing w:before="0" w:after="60" w:line="276" w:lineRule="auto"/>
      </w:pPr>
      <w:r>
        <w:rPr>
          <w:sz w:val="24"/>
        </w:rPr>
        <w:t>representantes do ecossistema empresarial de inovação local.</w:t>
      </w:r>
    </w:p>
    <w:p>
      <w:pPr>
        <w:ind w:firstLine="709"/>
        <w:jc w:val="both"/>
        <w:spacing w:before="0" w:after="120" w:line="276" w:lineRule="auto"/>
      </w:pPr>
      <w:r>
        <w:rPr>
          <w:sz w:val="24"/>
        </w:rPr>
        <w:t>§ 2º O mandato dos membros da Comissão Técnica é de 2 (dois) anos, admitida uma recondução consecutiva.</w:t>
      </w:r>
    </w:p>
    <w:p>
      <w:pPr>
        <w:ind w:firstLine="709"/>
        <w:jc w:val="both"/>
        <w:spacing w:before="0" w:after="120" w:line="276" w:lineRule="auto"/>
      </w:pPr>
      <w:r>
        <w:rPr>
          <w:sz w:val="24"/>
        </w:rPr>
        <w:t>§ 3º Cada Projeto será avaliado por um subgrupo de, no mínimo, 5 (cinco) membros da Comissão Técnica, sorteados entre os disponíveis no ciclo, preservados os impedimentos do art. 22.</w:t>
      </w:r>
    </w:p>
    <w:p>
      <w:pPr>
        <w:ind w:firstLine="709"/>
        <w:jc w:val="both"/>
        <w:spacing w:before="0" w:after="120" w:line="276" w:lineRule="auto"/>
      </w:pPr>
      <w:r>
        <w:rPr>
          <w:sz w:val="24"/>
        </w:rPr>
        <w:t>§ 4º A metodologia detalhada de pontuação e desempate é matéria do Capítulo IV e do Edital de cada ciclo.</w:t>
      </w:r>
    </w:p>
    <w:p>
      <w:pPr>
        <w:ind w:firstLine="709"/>
        <w:jc w:val="both"/>
        <w:spacing w:before="0" w:after="120" w:line="276" w:lineRule="auto"/>
      </w:pPr>
      <w:r>
        <w:rPr>
          <w:sz w:val="24"/>
        </w:rPr>
        <w:t>§ 5º Os atos da Comissão Técnica são públicos, fundamentados e registrados em ata.</w:t>
      </w:r>
    </w:p>
    <w:p>
      <w:pPr>
        <w:jc w:val="center"/>
        <w:spacing w:before="160" w:after="80"/>
      </w:pPr>
      <w:r>
        <w:rPr>
          <w:b/>
          <w:sz w:val="24"/>
        </w:rPr>
        <w:t>Seção VI — Do Comitê Decisório</w:t>
      </w:r>
    </w:p>
    <w:p>
      <w:pPr>
        <w:ind w:firstLine="709"/>
        <w:jc w:val="both"/>
        <w:spacing w:before="0" w:after="120" w:line="276" w:lineRule="auto"/>
      </w:pPr>
      <w:r>
        <w:rPr>
          <w:sz w:val="24"/>
        </w:rPr>
        <w:t>Art. 19 O Comitê Decisório é o colegiado responsável pela homologação dos resultados da avaliação de mérito e pela decisão final de aprovação dos Projetos ao Programa.</w:t>
      </w:r>
    </w:p>
    <w:p>
      <w:pPr>
        <w:ind w:firstLine="709"/>
        <w:jc w:val="both"/>
        <w:spacing w:before="0" w:after="120" w:line="276" w:lineRule="auto"/>
      </w:pPr>
      <w:r>
        <w:rPr>
          <w:sz w:val="24"/>
        </w:rPr>
        <w:t>§ 1º O Comitê Decisório terá composição fixa de 5 (cinco) membros titulares, com respectivos suplentes, designados por ato do Prefeito:</w:t>
      </w:r>
    </w:p>
    <w:p>
      <w:pPr>
        <w:ind w:left="850"/>
        <w:spacing w:before="0" w:after="60" w:line="276" w:lineRule="auto"/>
      </w:pPr>
      <w:r>
        <w:rPr>
          <w:sz w:val="24"/>
        </w:rPr>
        <w:t>1 (um) representante da Secretaria gestora (SDE), que o presidirá;</w:t>
      </w:r>
    </w:p>
    <w:p>
      <w:pPr>
        <w:ind w:left="850"/>
        <w:spacing w:before="0" w:after="60" w:line="276" w:lineRule="auto"/>
      </w:pPr>
      <w:r>
        <w:rPr>
          <w:sz w:val="24"/>
        </w:rPr>
        <w:t>1 (um) representante da Secretaria Municipal da Fazenda (SEFAZ) — membro de presença obrigatória, em razão do impacto orçamentário-financeiro dos Projetos e do disposto no art. 14 da Lei de Responsabilidade Fiscal;</w:t>
      </w:r>
    </w:p>
    <w:p>
      <w:pPr>
        <w:ind w:left="850"/>
        <w:spacing w:before="0" w:after="60" w:line="276" w:lineRule="auto"/>
      </w:pPr>
      <w:r>
        <w:rPr>
          <w:sz w:val="24"/>
        </w:rPr>
        <w:t>1 (um) representante da Procuradoria-Geral do Município (PGM);</w:t>
      </w:r>
    </w:p>
    <w:p>
      <w:pPr>
        <w:ind w:left="850"/>
        <w:spacing w:before="0" w:after="60" w:line="276" w:lineRule="auto"/>
      </w:pPr>
      <w:r>
        <w:rPr>
          <w:sz w:val="24"/>
        </w:rPr>
        <w:t>1 (um) representante indicado pelo COMCITI, na forma da Seção VII deste Capítulo;</w:t>
      </w:r>
    </w:p>
    <w:p>
      <w:pPr>
        <w:ind w:left="850"/>
        <w:spacing w:before="0" w:after="60" w:line="276" w:lineRule="auto"/>
      </w:pPr>
      <w:r>
        <w:rPr>
          <w:sz w:val="24"/>
        </w:rPr>
        <w:t>1 (um) representante do ecossistema de inovação local, indicado em rodízio anual entre os Arranjos Promotores de Inovação (APIs) credenciados, na ordem de credenciamento, nos termos de regulamento editado pela SDE.</w:t>
      </w:r>
    </w:p>
    <w:p>
      <w:pPr>
        <w:ind w:firstLine="709"/>
        <w:jc w:val="both"/>
        <w:spacing w:before="0" w:after="120" w:line="276" w:lineRule="auto"/>
      </w:pPr>
      <w:r>
        <w:rPr>
          <w:sz w:val="24"/>
        </w:rPr>
        <w:t>§ 2º Compete ao Comitê Decisório:</w:t>
      </w:r>
    </w:p>
    <w:p>
      <w:pPr>
        <w:ind w:left="850"/>
        <w:spacing w:before="0" w:after="60" w:line="276" w:lineRule="auto"/>
      </w:pPr>
      <w:r>
        <w:rPr>
          <w:sz w:val="24"/>
        </w:rPr>
        <w:t>homologar ou motivadamente recusar os resultados da Comissão Técnica;</w:t>
      </w:r>
    </w:p>
    <w:p>
      <w:pPr>
        <w:ind w:left="850"/>
        <w:spacing w:before="0" w:after="60" w:line="276" w:lineRule="auto"/>
      </w:pPr>
      <w:r>
        <w:rPr>
          <w:sz w:val="24"/>
        </w:rPr>
        <w:t>decidir, em instância administrativa final, sobre a aprovação de Projetos ao Programa;</w:t>
      </w:r>
    </w:p>
    <w:p>
      <w:pPr>
        <w:ind w:left="850"/>
        <w:spacing w:before="0" w:after="60" w:line="276" w:lineRule="auto"/>
      </w:pPr>
      <w:r>
        <w:rPr>
          <w:sz w:val="24"/>
        </w:rPr>
        <w:t>deliberar sobre recursos interpostos na forma do Edital;</w:t>
      </w:r>
    </w:p>
    <w:p>
      <w:pPr>
        <w:ind w:left="850"/>
        <w:spacing w:before="0" w:after="60" w:line="276" w:lineRule="auto"/>
      </w:pPr>
      <w:r>
        <w:rPr>
          <w:sz w:val="24"/>
        </w:rPr>
        <w:t>aprovar, em caráter geral, as diretrizes operacionais do Programa propostas pela SDE;</w:t>
      </w:r>
    </w:p>
    <w:p>
      <w:pPr>
        <w:ind w:left="850"/>
        <w:spacing w:before="0" w:after="60" w:line="276" w:lineRule="auto"/>
      </w:pPr>
      <w:r>
        <w:rPr>
          <w:sz w:val="24"/>
        </w:rPr>
        <w:t>exercer demais competências previstas neste Decreto.</w:t>
      </w:r>
    </w:p>
    <w:p>
      <w:pPr>
        <w:ind w:firstLine="709"/>
        <w:jc w:val="both"/>
        <w:spacing w:before="0" w:after="120" w:line="276" w:lineRule="auto"/>
      </w:pPr>
      <w:r>
        <w:rPr>
          <w:sz w:val="24"/>
        </w:rPr>
        <w:t>§ 3º O Comitê Decisório delibera por maioria absoluta de seus membros, sendo exigida a presença mínima da SDE e da SEFAZ para a validade das decisões.</w:t>
      </w:r>
    </w:p>
    <w:p>
      <w:pPr>
        <w:ind w:firstLine="709"/>
        <w:jc w:val="both"/>
        <w:spacing w:before="0" w:after="120" w:line="276" w:lineRule="auto"/>
      </w:pPr>
      <w:r>
        <w:rPr>
          <w:sz w:val="24"/>
        </w:rPr>
        <w:t>§ 4º O Comitê Decisório reunir-se-á ordinariamente a cada ciclo do Programa e extraordinariamente quando convocado pelo presidente ou por 3 (três) dos seus membros.</w:t>
      </w:r>
    </w:p>
    <w:p>
      <w:pPr>
        <w:ind w:firstLine="709"/>
        <w:jc w:val="both"/>
        <w:spacing w:before="0" w:after="120" w:line="276" w:lineRule="auto"/>
      </w:pPr>
      <w:r>
        <w:rPr>
          <w:sz w:val="24"/>
        </w:rPr>
        <w:t>§ 5º As decisões do Comitê são públicas, fundamentadas, registradas em ata e publicadas no Diário Oficial do Município.</w:t>
      </w:r>
    </w:p>
    <w:p>
      <w:pPr>
        <w:jc w:val="center"/>
        <w:spacing w:before="160" w:after="80"/>
      </w:pPr>
      <w:r>
        <w:rPr>
          <w:b/>
          <w:sz w:val="24"/>
        </w:rPr>
        <w:t>Seção VII — Da articulação com o COMCITI</w:t>
      </w:r>
    </w:p>
    <w:p>
      <w:pPr>
        <w:ind w:firstLine="709"/>
        <w:jc w:val="both"/>
        <w:spacing w:before="0" w:after="120" w:line="276" w:lineRule="auto"/>
      </w:pPr>
      <w:r>
        <w:rPr>
          <w:sz w:val="24"/>
        </w:rPr>
        <w:t>Art. 20 O Conselho Municipal de Ciência, Tecnologia e Inovação (COMCITI), instituído pela Lei Municipal nº 7.190, de 2012, e atualmente regido pela Lei Municipal nº 9.538, de 2023, disciplinado por Regimento Interno próprio, atua como instância consultiva estratégica do Programa.</w:t>
      </w:r>
    </w:p>
    <w:p>
      <w:pPr>
        <w:ind w:firstLine="709"/>
        <w:jc w:val="both"/>
        <w:spacing w:before="0" w:after="120" w:line="276" w:lineRule="auto"/>
      </w:pPr>
      <w:r>
        <w:rPr>
          <w:sz w:val="24"/>
        </w:rPr>
        <w:t>§ 1º Compete ao COMCITI, no âmbito do Programa:</w:t>
      </w:r>
    </w:p>
    <w:p>
      <w:pPr>
        <w:ind w:left="850"/>
        <w:spacing w:before="0" w:after="60" w:line="276" w:lineRule="auto"/>
      </w:pPr>
      <w:r>
        <w:rPr>
          <w:sz w:val="24"/>
        </w:rPr>
        <w:t>manifestar-se, por ocasião da abertura de cada ciclo, sobre as prioridades estratégicas e os eixos a serem privilegiados no Edital do ano;</w:t>
      </w:r>
    </w:p>
    <w:p>
      <w:pPr>
        <w:ind w:left="850"/>
        <w:spacing w:before="0" w:after="60" w:line="276" w:lineRule="auto"/>
      </w:pPr>
      <w:r>
        <w:rPr>
          <w:sz w:val="24"/>
        </w:rPr>
        <w:t>indicar 1 (um) representante titular e respectivo suplente para integrar o Comitê Decisório (art. 19, §1º, IV);</w:t>
      </w:r>
    </w:p>
    <w:p>
      <w:pPr>
        <w:ind w:left="850"/>
        <w:spacing w:before="0" w:after="60" w:line="276" w:lineRule="auto"/>
      </w:pPr>
      <w:r>
        <w:rPr>
          <w:sz w:val="24"/>
        </w:rPr>
        <w:t>indicar 1 (um) representante para integrar o Comitê Gestor do FIT/Jlle (art. 16, §3º, IV);</w:t>
      </w:r>
    </w:p>
    <w:p>
      <w:pPr>
        <w:ind w:left="850"/>
        <w:spacing w:before="0" w:after="60" w:line="276" w:lineRule="auto"/>
      </w:pPr>
      <w:r>
        <w:rPr>
          <w:sz w:val="24"/>
        </w:rPr>
        <w:t>opinar, quando provocado pela SDE, sobre questões técnicas ou estratégicas relevantes ao Programa;</w:t>
      </w:r>
    </w:p>
    <w:p>
      <w:pPr>
        <w:ind w:left="850"/>
        <w:spacing w:before="0" w:after="60" w:line="276" w:lineRule="auto"/>
      </w:pPr>
      <w:r>
        <w:rPr>
          <w:sz w:val="24"/>
        </w:rPr>
        <w:t>receber o relatório anual do Programa e manifestar-se sobre os indicadores de impacto apurados;</w:t>
      </w:r>
    </w:p>
    <w:p>
      <w:pPr>
        <w:ind w:left="850"/>
        <w:spacing w:before="0" w:after="60" w:line="276" w:lineRule="auto"/>
      </w:pPr>
      <w:r>
        <w:rPr>
          <w:sz w:val="24"/>
        </w:rPr>
        <w:t>propor ao Prefeito ajustes, revisões ou aperfeiçoamentos no Programa.</w:t>
      </w:r>
    </w:p>
    <w:p>
      <w:pPr>
        <w:ind w:firstLine="709"/>
        <w:jc w:val="both"/>
        <w:spacing w:before="0" w:after="120" w:line="276" w:lineRule="auto"/>
      </w:pPr>
      <w:r>
        <w:rPr>
          <w:sz w:val="24"/>
        </w:rPr>
        <w:t>§ 2º A articulação entre a SDE e o COMCITI observará o princípio da cooperação institucional, com trocas de informações sistemáticas e agenda de reuniões conjuntas a cada ciclo.</w:t>
      </w:r>
    </w:p>
    <w:p>
      <w:pPr>
        <w:ind w:firstLine="709"/>
        <w:jc w:val="both"/>
        <w:spacing w:before="0" w:after="120" w:line="276" w:lineRule="auto"/>
      </w:pPr>
      <w:r>
        <w:rPr>
          <w:sz w:val="24"/>
        </w:rPr>
        <w:t>§ 3º As manifestações do COMCITI têm caráter consultivo e subsidiam a decisão do Comitê Decisório e do Prefeito, sem vinculação formal.</w:t>
      </w:r>
    </w:p>
    <w:p>
      <w:pPr>
        <w:jc w:val="center"/>
        <w:spacing w:before="160" w:after="80"/>
      </w:pPr>
      <w:r>
        <w:rPr>
          <w:b/>
          <w:sz w:val="24"/>
        </w:rPr>
        <w:t>Seção VIII — Do controle interno (CGM)</w:t>
      </w:r>
    </w:p>
    <w:p>
      <w:pPr>
        <w:ind w:firstLine="709"/>
        <w:jc w:val="both"/>
        <w:spacing w:before="0" w:after="120" w:line="276" w:lineRule="auto"/>
      </w:pPr>
      <w:r>
        <w:rPr>
          <w:sz w:val="24"/>
        </w:rPr>
        <w:t>Art. 21 A Controladoria-Geral do Município (CGM) exerce o controle interno do Programa, sem prejuízo do controle externo a cargo do TCE-SC e da Câmara Municipal.</w:t>
      </w:r>
    </w:p>
    <w:p>
      <w:pPr>
        <w:ind w:firstLine="709"/>
        <w:jc w:val="both"/>
        <w:spacing w:before="0" w:after="120" w:line="276" w:lineRule="auto"/>
      </w:pPr>
      <w:r>
        <w:rPr>
          <w:sz w:val="24"/>
        </w:rPr>
        <w:t>§ 1º Compete à CGM:</w:t>
      </w:r>
    </w:p>
    <w:p>
      <w:pPr>
        <w:ind w:left="850"/>
        <w:spacing w:before="0" w:after="60" w:line="276" w:lineRule="auto"/>
      </w:pPr>
      <w:r>
        <w:rPr>
          <w:sz w:val="24"/>
        </w:rPr>
        <w:t>analisar as prestações de contas parciais e finais dos Projetos apoiados;</w:t>
      </w:r>
    </w:p>
    <w:p>
      <w:pPr>
        <w:ind w:left="850"/>
        <w:spacing w:before="0" w:after="60" w:line="276" w:lineRule="auto"/>
      </w:pPr>
      <w:r>
        <w:rPr>
          <w:sz w:val="24"/>
        </w:rPr>
        <w:t>auditar a execução orçamentária e financeira do FIT/Jlle;</w:t>
      </w:r>
    </w:p>
    <w:p>
      <w:pPr>
        <w:ind w:left="850"/>
        <w:spacing w:before="0" w:after="60" w:line="276" w:lineRule="auto"/>
      </w:pPr>
      <w:r>
        <w:rPr>
          <w:sz w:val="24"/>
        </w:rPr>
        <w:t>participar do Comitê Gestor do FIT/Jlle (art. 16, §3º, III);</w:t>
      </w:r>
    </w:p>
    <w:p>
      <w:pPr>
        <w:ind w:left="850"/>
        <w:spacing w:before="0" w:after="60" w:line="276" w:lineRule="auto"/>
      </w:pPr>
      <w:r>
        <w:rPr>
          <w:sz w:val="24"/>
        </w:rPr>
        <w:t>emitir parecer sobre a prestação de contas anual do Programa;</w:t>
      </w:r>
    </w:p>
    <w:p>
      <w:pPr>
        <w:ind w:left="850"/>
        <w:spacing w:before="0" w:after="60" w:line="276" w:lineRule="auto"/>
      </w:pPr>
      <w:r>
        <w:rPr>
          <w:sz w:val="24"/>
        </w:rPr>
        <w:t>apontar fragilidades, riscos e recomendações à SDE.</w:t>
      </w:r>
    </w:p>
    <w:p>
      <w:pPr>
        <w:ind w:firstLine="709"/>
        <w:jc w:val="both"/>
        <w:spacing w:before="0" w:after="120" w:line="276" w:lineRule="auto"/>
      </w:pPr>
      <w:r>
        <w:rPr>
          <w:sz w:val="24"/>
        </w:rPr>
        <w:t>§ 2º A CGM terá acesso irrestrito aos atos, documentos, sistemas e informações do Programa, mediante requisição formal.</w:t>
      </w:r>
    </w:p>
    <w:p>
      <w:pPr>
        <w:jc w:val="center"/>
        <w:spacing w:before="160" w:after="80"/>
      </w:pPr>
      <w:r>
        <w:rPr>
          <w:b/>
          <w:sz w:val="24"/>
        </w:rPr>
        <w:t>Seção IX — Dos impedimentos e do conflito de interesse</w:t>
      </w:r>
    </w:p>
    <w:p>
      <w:pPr>
        <w:ind w:firstLine="709"/>
        <w:jc w:val="both"/>
        <w:spacing w:before="0" w:after="120" w:line="276" w:lineRule="auto"/>
      </w:pPr>
      <w:r>
        <w:rPr>
          <w:sz w:val="24"/>
        </w:rPr>
        <w:t>Art. 22 É vedado a membros da Comissão Técnica, do Comitê Decisório, do Comitê Gestor do FIT/Jlle e do COMCITI, no exercício de suas funções no Programa:</w:t>
      </w:r>
    </w:p>
    <w:p>
      <w:pPr>
        <w:ind w:left="850"/>
        <w:spacing w:before="0" w:after="60" w:line="276" w:lineRule="auto"/>
      </w:pPr>
      <w:r>
        <w:rPr>
          <w:sz w:val="24"/>
        </w:rPr>
        <w:t>avaliar, homologar ou deliberar sobre Projeto apresentado por Proponente do qual seja sócio, cônjuge, companheiro, parente até o 3º grau civil, ou com quem mantenha relação de trabalho, contrato, parceria ou vínculo financeiro relevante;</w:t>
      </w:r>
    </w:p>
    <w:p>
      <w:pPr>
        <w:ind w:left="850"/>
        <w:spacing w:before="0" w:after="60" w:line="276" w:lineRule="auto"/>
      </w:pPr>
      <w:r>
        <w:rPr>
          <w:sz w:val="24"/>
        </w:rPr>
        <w:t>participar da análise de Projeto vinculado a API do qual seja dirigente, sócio, empregado, contratado ou conselheiro;</w:t>
      </w:r>
    </w:p>
    <w:p>
      <w:pPr>
        <w:ind w:left="850"/>
        <w:spacing w:before="0" w:after="60" w:line="276" w:lineRule="auto"/>
      </w:pPr>
      <w:r>
        <w:rPr>
          <w:sz w:val="24"/>
        </w:rPr>
        <w:t>deliberar sobre Projeto quando houver qualquer outra situação de interesse particular, direto ou indireto, que comprometa sua imparcialidade;</w:t>
      </w:r>
    </w:p>
    <w:p>
      <w:pPr>
        <w:ind w:left="850"/>
        <w:spacing w:before="0" w:after="60" w:line="276" w:lineRule="auto"/>
      </w:pPr>
      <w:r>
        <w:rPr>
          <w:sz w:val="24"/>
        </w:rPr>
        <w:t>divulgar a terceiros informações sigilosas recebidas em razão da função.</w:t>
      </w:r>
    </w:p>
    <w:p>
      <w:pPr>
        <w:ind w:firstLine="709"/>
        <w:jc w:val="both"/>
        <w:spacing w:before="0" w:after="120" w:line="276" w:lineRule="auto"/>
      </w:pPr>
      <w:r>
        <w:rPr>
          <w:sz w:val="24"/>
        </w:rPr>
        <w:t>§ 1º O membro impedido deve comunicar formalmente o fato ao presidente do colegiado, antes da análise, e abster-se da deliberação específica.</w:t>
      </w:r>
    </w:p>
    <w:p>
      <w:pPr>
        <w:ind w:firstLine="709"/>
        <w:jc w:val="both"/>
        <w:spacing w:before="0" w:after="120" w:line="276" w:lineRule="auto"/>
      </w:pPr>
      <w:r>
        <w:rPr>
          <w:sz w:val="24"/>
        </w:rPr>
        <w:t>§ 2º A violação deste artigo sujeita o membro a responsabilização administrativa, sem prejuízo das sanções civis e criminais cabíveis.</w:t>
      </w:r>
    </w:p>
    <w:p>
      <w:pPr>
        <w:jc w:val="center"/>
        <w:spacing w:before="160" w:after="80"/>
      </w:pPr>
      <w:r>
        <w:rPr>
          <w:b/>
          <w:sz w:val="24"/>
        </w:rPr>
        <w:t>Seção X — Da não-remuneração</w:t>
      </w:r>
    </w:p>
    <w:p>
      <w:pPr>
        <w:ind w:firstLine="709"/>
        <w:jc w:val="both"/>
        <w:spacing w:before="0" w:after="120" w:line="276" w:lineRule="auto"/>
      </w:pPr>
      <w:r>
        <w:rPr>
          <w:sz w:val="24"/>
        </w:rPr>
        <w:t>Art. 23 A atuação como membro da Comissão Técnica, do Comitê Decisório, do Comitê Gestor do FIT/Jlle e do COMCITI, no âmbito do Programa, é considerada serviço público relevante e não será remunerada, ressalvado o reembolso de despesas de deslocamento expressamente autorizadas pela SDE e compatíveis com a legislação municipal aplicável.</w:t>
      </w:r>
    </w:p>
    <w:p>
      <w:pPr>
        <w:jc w:val="center"/>
        <w:spacing w:before="320" w:after="80"/>
      </w:pPr>
      <w:r>
        <w:rPr>
          <w:b/>
          <w:sz w:val="24"/>
        </w:rPr>
        <w:t>SELEÇÃO E MÉRITO</w:t>
      </w:r>
    </w:p>
    <w:p>
      <w:pPr>
        <w:jc w:val="center"/>
        <w:spacing w:before="160" w:after="80"/>
      </w:pPr>
      <w:r>
        <w:rPr>
          <w:b/>
          <w:sz w:val="24"/>
        </w:rPr>
        <w:t>Seção I — Do ciclo anual</w:t>
      </w:r>
    </w:p>
    <w:p>
      <w:pPr>
        <w:ind w:firstLine="709"/>
        <w:jc w:val="both"/>
        <w:spacing w:before="0" w:after="120" w:line="276" w:lineRule="auto"/>
      </w:pPr>
      <w:r>
        <w:rPr>
          <w:sz w:val="24"/>
        </w:rPr>
        <w:t>Art. 24 O Programa operará em ciclos anuais, compreendendo as etapas de abertura, submissão, pré-qualificação, avaliação de mérito, homologação, contratação, execução e prestação de contas.</w:t>
      </w:r>
    </w:p>
    <w:p>
      <w:pPr>
        <w:ind w:firstLine="709"/>
        <w:jc w:val="both"/>
        <w:spacing w:before="0" w:after="120" w:line="276" w:lineRule="auto"/>
      </w:pPr>
      <w:r>
        <w:rPr>
          <w:sz w:val="24"/>
        </w:rPr>
        <w:t>§ 1º A SDE publicará, a cada ciclo, calendário detalhado com prazos das etapas, ampla divulgação pública e antecedência mínima de 30 (trinta) dias para a abertura das submissões.</w:t>
      </w:r>
    </w:p>
    <w:p>
      <w:pPr>
        <w:ind w:firstLine="709"/>
        <w:jc w:val="both"/>
        <w:spacing w:before="0" w:after="120" w:line="276" w:lineRule="auto"/>
      </w:pPr>
      <w:r>
        <w:rPr>
          <w:sz w:val="24"/>
        </w:rPr>
        <w:t>§ 2º Ficam admitidos ciclos fracionados ou complementares, a critério da SDE, observada a disponibilidade de recursos no FIT/Jlle ou, no Caminho B, o teto anual de renúncia fiscal previsto em lei.</w:t>
      </w:r>
    </w:p>
    <w:p>
      <w:pPr>
        <w:jc w:val="center"/>
        <w:spacing w:before="160" w:after="80"/>
      </w:pPr>
      <w:r>
        <w:rPr>
          <w:b/>
          <w:sz w:val="24"/>
        </w:rPr>
        <w:t>Seção II — Do Edital</w:t>
      </w:r>
    </w:p>
    <w:p>
      <w:pPr>
        <w:ind w:firstLine="709"/>
        <w:jc w:val="both"/>
        <w:spacing w:before="0" w:after="120" w:line="276" w:lineRule="auto"/>
      </w:pPr>
      <w:r>
        <w:rPr>
          <w:sz w:val="24"/>
        </w:rPr>
        <w:t>Art. 25 O Edital de cada ciclo é publicado pela SDE no Diário Oficial do Município e no portal do Programa, contendo, no mínimo:</w:t>
      </w:r>
    </w:p>
    <w:p>
      <w:pPr>
        <w:ind w:left="850"/>
        <w:spacing w:before="0" w:after="60" w:line="276" w:lineRule="auto"/>
      </w:pPr>
      <w:r>
        <w:rPr>
          <w:sz w:val="24"/>
        </w:rPr>
        <w:t>cronograma integral do ciclo;</w:t>
      </w:r>
    </w:p>
    <w:p>
      <w:pPr>
        <w:ind w:left="850"/>
        <w:spacing w:before="0" w:after="60" w:line="276" w:lineRule="auto"/>
      </w:pPr>
      <w:r>
        <w:rPr>
          <w:sz w:val="24"/>
        </w:rPr>
        <w:t>número de vagas e valor total disponível no ciclo;</w:t>
      </w:r>
    </w:p>
    <w:p>
      <w:pPr>
        <w:ind w:left="850"/>
        <w:spacing w:before="0" w:after="60" w:line="276" w:lineRule="auto"/>
      </w:pPr>
      <w:r>
        <w:rPr>
          <w:sz w:val="24"/>
        </w:rPr>
        <w:t>teto por Projeto, observado o limite de 475 UPM previsto no art. 32 deste Decreto;</w:t>
      </w:r>
    </w:p>
    <w:p>
      <w:pPr>
        <w:ind w:left="850"/>
        <w:spacing w:before="0" w:after="60" w:line="276" w:lineRule="auto"/>
      </w:pPr>
      <w:r>
        <w:rPr>
          <w:sz w:val="24"/>
        </w:rPr>
        <w:t>eixos prioritários eventualmente definidos pela SDE, ouvido o COMCITI (art. 5º, §2º);</w:t>
      </w:r>
    </w:p>
    <w:p>
      <w:pPr>
        <w:ind w:left="850"/>
        <w:spacing w:before="0" w:after="60" w:line="276" w:lineRule="auto"/>
      </w:pPr>
      <w:r>
        <w:rPr>
          <w:sz w:val="24"/>
        </w:rPr>
        <w:t>requisitos de elegibilidade, de habilitação e vedações (Caps. II);</w:t>
      </w:r>
    </w:p>
    <w:p>
      <w:pPr>
        <w:ind w:left="850"/>
        <w:spacing w:before="0" w:after="60" w:line="276" w:lineRule="auto"/>
      </w:pPr>
      <w:r>
        <w:rPr>
          <w:sz w:val="24"/>
        </w:rPr>
        <w:t>documentação exigida e forma de apresentação;</w:t>
      </w:r>
    </w:p>
    <w:p>
      <w:pPr>
        <w:ind w:left="850"/>
        <w:spacing w:before="0" w:after="60" w:line="276" w:lineRule="auto"/>
      </w:pPr>
      <w:r>
        <w:rPr>
          <w:sz w:val="24"/>
        </w:rPr>
        <w:t>modelos oficiais de formulários, planos de trabalho e declarações;</w:t>
      </w:r>
    </w:p>
    <w:p>
      <w:pPr>
        <w:ind w:left="850"/>
        <w:spacing w:before="0" w:after="60" w:line="276" w:lineRule="auto"/>
      </w:pPr>
      <w:r>
        <w:rPr>
          <w:sz w:val="24"/>
        </w:rPr>
        <w:t>metodologia detalhada da avaliação de mérito, conforme Seção IV deste Capítulo;</w:t>
      </w:r>
    </w:p>
    <w:p>
      <w:pPr>
        <w:ind w:left="850"/>
        <w:spacing w:before="0" w:after="60" w:line="276" w:lineRule="auto"/>
      </w:pPr>
      <w:r>
        <w:rPr>
          <w:sz w:val="24"/>
        </w:rPr>
        <w:t>prazos e canais para submissão, interposição de recursos e comunicação oficial;</w:t>
      </w:r>
    </w:p>
    <w:p>
      <w:pPr>
        <w:ind w:left="850"/>
        <w:spacing w:before="0" w:after="60" w:line="276" w:lineRule="auto"/>
      </w:pPr>
      <w:r>
        <w:rPr>
          <w:sz w:val="24"/>
        </w:rPr>
        <w:t>condições específicas aplicáveis ao Caminho A ou ao Caminho B, quando couber;</w:t>
      </w:r>
    </w:p>
    <w:p>
      <w:pPr>
        <w:ind w:left="850"/>
        <w:spacing w:before="0" w:after="60" w:line="276" w:lineRule="auto"/>
      </w:pPr>
      <w:r>
        <w:rPr>
          <w:sz w:val="24"/>
        </w:rPr>
        <w:t>demais regras operacionais que a SDE entender necessárias ao ciclo.</w:t>
      </w:r>
    </w:p>
    <w:p>
      <w:pPr>
        <w:ind w:firstLine="709"/>
        <w:jc w:val="both"/>
        <w:spacing w:before="0" w:after="120" w:line="276" w:lineRule="auto"/>
      </w:pPr>
      <w:r>
        <w:rPr>
          <w:sz w:val="24"/>
        </w:rPr>
        <w:t>Parágrafo único. O Edital não poderá contrariar as disposições deste Decreto, da Lei nº 7.170, de 2011, e — no Caminho B — da Lei Complementar municipal autorizativa.</w:t>
      </w:r>
    </w:p>
    <w:p>
      <w:pPr>
        <w:jc w:val="center"/>
        <w:spacing w:before="160" w:after="80"/>
      </w:pPr>
      <w:r>
        <w:rPr>
          <w:b/>
          <w:sz w:val="24"/>
        </w:rPr>
        <w:t>Seção III — Da submissão dos Projetos</w:t>
      </w:r>
    </w:p>
    <w:p>
      <w:pPr>
        <w:ind w:firstLine="709"/>
        <w:jc w:val="both"/>
        <w:spacing w:before="0" w:after="120" w:line="276" w:lineRule="auto"/>
      </w:pPr>
      <w:r>
        <w:rPr>
          <w:sz w:val="24"/>
        </w:rPr>
        <w:t>Art. 26 A submissão dos Projetos se dará por intermédio de API credenciado (art. 9º), mediante protocolo eletrônico na plataforma indicada no Edital.</w:t>
      </w:r>
    </w:p>
    <w:p>
      <w:pPr>
        <w:ind w:firstLine="709"/>
        <w:jc w:val="both"/>
        <w:spacing w:before="0" w:after="120" w:line="276" w:lineRule="auto"/>
      </w:pPr>
      <w:r>
        <w:rPr>
          <w:sz w:val="24"/>
        </w:rPr>
        <w:t>§ 1º Cada Projeto conterá, no mínimo:</w:t>
      </w:r>
    </w:p>
    <w:p>
      <w:pPr>
        <w:ind w:left="850"/>
        <w:spacing w:before="0" w:after="60" w:line="276" w:lineRule="auto"/>
      </w:pPr>
      <w:r>
        <w:rPr>
          <w:sz w:val="24"/>
        </w:rPr>
        <w:t>identificação completa do Proponente e do API de vinculação;</w:t>
      </w:r>
    </w:p>
    <w:p>
      <w:pPr>
        <w:ind w:left="850"/>
        <w:spacing w:before="0" w:after="60" w:line="276" w:lineRule="auto"/>
      </w:pPr>
      <w:r>
        <w:rPr>
          <w:sz w:val="24"/>
        </w:rPr>
        <w:t>descrição do objeto do Projeto, com definição clara do problema a resolver, da solução proposta e do grau de inovação;</w:t>
      </w:r>
    </w:p>
    <w:p>
      <w:pPr>
        <w:ind w:left="850"/>
        <w:spacing w:before="0" w:after="60" w:line="276" w:lineRule="auto"/>
      </w:pPr>
      <w:r>
        <w:rPr>
          <w:sz w:val="24"/>
        </w:rPr>
        <w:t>plano de trabalho com escopo, metas, marcos e cronograma físico-financeiro;</w:t>
      </w:r>
    </w:p>
    <w:p>
      <w:pPr>
        <w:ind w:left="850"/>
        <w:spacing w:before="0" w:after="60" w:line="276" w:lineRule="auto"/>
      </w:pPr>
      <w:r>
        <w:rPr>
          <w:sz w:val="24"/>
        </w:rPr>
        <w:t>orçamento detalhado, com rubricas claras e compatíveis com o objeto;</w:t>
      </w:r>
    </w:p>
    <w:p>
      <w:pPr>
        <w:ind w:left="850"/>
        <w:spacing w:before="0" w:after="60" w:line="276" w:lineRule="auto"/>
      </w:pPr>
      <w:r>
        <w:rPr>
          <w:sz w:val="24"/>
        </w:rPr>
        <w:t>contribuição aos eixos do art. 5º e aderência aos objetivos do art. 4º;</w:t>
      </w:r>
    </w:p>
    <w:p>
      <w:pPr>
        <w:ind w:left="850"/>
        <w:spacing w:before="0" w:after="60" w:line="276" w:lineRule="auto"/>
      </w:pPr>
      <w:r>
        <w:rPr>
          <w:sz w:val="24"/>
        </w:rPr>
        <w:t>currículo resumido da equipe técnica envolvida;</w:t>
      </w:r>
    </w:p>
    <w:p>
      <w:pPr>
        <w:ind w:left="850"/>
        <w:spacing w:before="0" w:after="60" w:line="276" w:lineRule="auto"/>
      </w:pPr>
      <w:r>
        <w:rPr>
          <w:sz w:val="24"/>
        </w:rPr>
        <w:t>documentação de elegibilidade e de habilitação (art. 8º ou autodeclaração admitida pelo art. 8º, §3º);</w:t>
      </w:r>
    </w:p>
    <w:p>
      <w:pPr>
        <w:ind w:left="850"/>
        <w:spacing w:before="0" w:after="60" w:line="276" w:lineRule="auto"/>
      </w:pPr>
      <w:r>
        <w:rPr>
          <w:sz w:val="24"/>
        </w:rPr>
        <w:t>declarações obrigatórias (art. 8º, VIII e IX);</w:t>
      </w:r>
    </w:p>
    <w:p>
      <w:pPr>
        <w:ind w:left="850"/>
        <w:spacing w:before="0" w:after="60" w:line="276" w:lineRule="auto"/>
      </w:pPr>
      <w:r>
        <w:rPr>
          <w:sz w:val="24"/>
        </w:rPr>
        <w:t>demais documentos exigidos no Edital.</w:t>
      </w:r>
    </w:p>
    <w:p>
      <w:pPr>
        <w:ind w:firstLine="709"/>
        <w:jc w:val="both"/>
        <w:spacing w:before="0" w:after="120" w:line="276" w:lineRule="auto"/>
      </w:pPr>
      <w:r>
        <w:rPr>
          <w:sz w:val="24"/>
        </w:rPr>
        <w:t>§ 2º Projetos submetidos fora de prazo, incompletos ou que não atendam aos requisitos mínimos do Edital serão preliminarmente indeferidos pela SDE, cabendo recurso na forma do art. 30.</w:t>
      </w:r>
    </w:p>
    <w:p>
      <w:pPr>
        <w:jc w:val="center"/>
        <w:spacing w:before="160" w:after="80"/>
      </w:pPr>
      <w:r>
        <w:rPr>
          <w:b/>
          <w:sz w:val="24"/>
        </w:rPr>
        <w:t>Seção IV — Dos critérios de avaliação</w:t>
      </w:r>
    </w:p>
    <w:p>
      <w:pPr>
        <w:ind w:firstLine="709"/>
        <w:jc w:val="both"/>
        <w:spacing w:before="0" w:after="120" w:line="276" w:lineRule="auto"/>
      </w:pPr>
      <w:r>
        <w:rPr>
          <w:sz w:val="24"/>
        </w:rPr>
        <w:t>Art. 27 A Comissão Técnica avaliará cada Projeto com base em 7 (sete) critérios, cada um pontuado de 0 (zero) a 5 (cinco), com total máximo de 35 (trinta e cinco) pontos:</w:t>
      </w:r>
    </w:p>
    <w:p>
      <w:pPr>
        <w:ind w:left="850"/>
        <w:spacing w:before="0" w:after="60" w:line="276" w:lineRule="auto"/>
      </w:pPr>
      <w:r>
        <w:rPr>
          <w:sz w:val="24"/>
        </w:rPr>
        <w:t>Grau de inovação: nível de originalidade e diferenciação da solução proposta frente ao estado da arte ou ao mercado aplicável;</w:t>
      </w:r>
    </w:p>
    <w:p>
      <w:pPr>
        <w:ind w:left="850"/>
        <w:spacing w:before="0" w:after="60" w:line="276" w:lineRule="auto"/>
      </w:pPr>
      <w:r>
        <w:rPr>
          <w:sz w:val="24"/>
        </w:rPr>
        <w:t>Clareza do objeto: precisão na definição do problema, da solução, das entregas e dos resultados esperados;</w:t>
      </w:r>
    </w:p>
    <w:p>
      <w:pPr>
        <w:ind w:left="850"/>
        <w:spacing w:before="0" w:after="60" w:line="276" w:lineRule="auto"/>
      </w:pPr>
      <w:r>
        <w:rPr>
          <w:sz w:val="24"/>
        </w:rPr>
        <w:t>Viabilidade mercadológica e econômica: evidências de demanda, validação, modelo de geração de receita e sustentação financeira do Projeto;</w:t>
      </w:r>
    </w:p>
    <w:p>
      <w:pPr>
        <w:ind w:left="850"/>
        <w:spacing w:before="0" w:after="60" w:line="276" w:lineRule="auto"/>
      </w:pPr>
      <w:r>
        <w:rPr>
          <w:sz w:val="24"/>
        </w:rPr>
        <w:t>Consistência do cronograma físico-financeiro: coerência entre escopo, recursos, tempo e entregas, com planejamento realístico e auditável;</w:t>
      </w:r>
    </w:p>
    <w:p>
      <w:pPr>
        <w:ind w:left="850"/>
        <w:spacing w:before="0" w:after="60" w:line="276" w:lineRule="auto"/>
      </w:pPr>
      <w:r>
        <w:rPr>
          <w:sz w:val="24"/>
        </w:rPr>
        <w:t>Qualificação da equipe técnica: experiência, formação e capacidade de execução do Projeto pela equipe indicada;</w:t>
      </w:r>
    </w:p>
    <w:p>
      <w:pPr>
        <w:ind w:left="850"/>
        <w:spacing w:before="0" w:after="60" w:line="276" w:lineRule="auto"/>
      </w:pPr>
      <w:r>
        <w:rPr>
          <w:sz w:val="24"/>
        </w:rPr>
        <w:t>Relevância para o desenvolvimento do Município: contribuição efetiva ao eixo econômico (art. 5º, I) e aderência às prioridades do ciclo;</w:t>
      </w:r>
    </w:p>
    <w:p>
      <w:pPr>
        <w:ind w:left="850"/>
        <w:spacing w:before="0" w:after="60" w:line="276" w:lineRule="auto"/>
      </w:pPr>
      <w:r>
        <w:rPr>
          <w:sz w:val="24"/>
        </w:rPr>
        <w:t>Retorno à municipalidade: contribuição aos eixos social-ambiental (art. 5º, II) e de posicionamento institucional (art. 5º, III).</w:t>
      </w:r>
    </w:p>
    <w:p>
      <w:pPr>
        <w:ind w:firstLine="709"/>
        <w:jc w:val="both"/>
        <w:spacing w:before="0" w:after="120" w:line="276" w:lineRule="auto"/>
      </w:pPr>
      <w:r>
        <w:rPr>
          <w:sz w:val="24"/>
        </w:rPr>
        <w:t>Parágrafo único. A escala de pontuação 0 a 5 é interpretada da seguinte forma: 0 (não atende), 1 (atende precariamente), 2 (atende parcialmente), 3 (atende satisfatoriamente), 4 (atende plenamente), 5 (atende com excelência).</w:t>
      </w:r>
    </w:p>
    <w:p>
      <w:pPr>
        <w:jc w:val="center"/>
        <w:spacing w:before="160" w:after="80"/>
      </w:pPr>
      <w:r>
        <w:rPr>
          <w:b/>
          <w:sz w:val="24"/>
        </w:rPr>
        <w:t>Seção V — Da metodologia de pontuação e dos cortes</w:t>
      </w:r>
    </w:p>
    <w:p>
      <w:pPr>
        <w:ind w:firstLine="709"/>
        <w:jc w:val="both"/>
        <w:spacing w:before="0" w:after="120" w:line="276" w:lineRule="auto"/>
      </w:pPr>
      <w:r>
        <w:rPr>
          <w:sz w:val="24"/>
        </w:rPr>
        <w:t>Art. 28 A pontuação final de cada Projeto será calculada pela soma das notas dos 7 (sete) critérios, processadas conforme a seguinte metodologia:</w:t>
      </w:r>
    </w:p>
    <w:p>
      <w:pPr>
        <w:ind w:left="850"/>
        <w:spacing w:before="0" w:after="60" w:line="276" w:lineRule="auto"/>
      </w:pPr>
      <w:r>
        <w:rPr>
          <w:sz w:val="24"/>
        </w:rPr>
        <w:t>cada Projeto é avaliado por, no mínimo, 5 (cinco) membros da Comissão Técnica, sorteados conforme o art. 18, §3º;</w:t>
      </w:r>
    </w:p>
    <w:p>
      <w:pPr>
        <w:ind w:left="850"/>
        <w:spacing w:before="0" w:after="60" w:line="276" w:lineRule="auto"/>
      </w:pPr>
      <w:r>
        <w:rPr>
          <w:sz w:val="24"/>
        </w:rPr>
        <w:t>em cada critério, são excluídas a maior e a menor nota atribuídas, computando-se a média aritmética das 3 (três) notas remanescentes;</w:t>
      </w:r>
    </w:p>
    <w:p>
      <w:pPr>
        <w:ind w:left="850"/>
        <w:spacing w:before="0" w:after="60" w:line="276" w:lineRule="auto"/>
      </w:pPr>
      <w:r>
        <w:rPr>
          <w:sz w:val="24"/>
        </w:rPr>
        <w:t>a nota final do Projeto é a soma das médias dos 7 critérios, limitada a 35 pontos;</w:t>
      </w:r>
    </w:p>
    <w:p>
      <w:pPr>
        <w:ind w:left="850"/>
        <w:spacing w:before="0" w:after="60" w:line="276" w:lineRule="auto"/>
      </w:pPr>
      <w:r>
        <w:rPr>
          <w:sz w:val="24"/>
        </w:rPr>
        <w:t>casas decimais são mantidas e consideradas para fins de classificação e desempate.</w:t>
      </w:r>
    </w:p>
    <w:p>
      <w:pPr>
        <w:ind w:firstLine="709"/>
        <w:jc w:val="both"/>
        <w:spacing w:before="0" w:after="120" w:line="276" w:lineRule="auto"/>
      </w:pPr>
      <w:r>
        <w:rPr>
          <w:sz w:val="24"/>
        </w:rPr>
        <w:t>§ 1º São aplicados os seguintes cortes por nota final:</w:t>
      </w:r>
    </w:p>
    <w:p>
      <w:pPr>
        <w:ind w:left="850"/>
        <w:spacing w:before="0" w:after="60" w:line="276" w:lineRule="auto"/>
      </w:pPr>
      <w:r>
        <w:rPr>
          <w:sz w:val="24"/>
        </w:rPr>
        <w:t>Nota final ≥ 24: Projeto Aprovado, habilitado à homologação e à contratação;</w:t>
      </w:r>
    </w:p>
    <w:p>
      <w:pPr>
        <w:ind w:left="850"/>
        <w:spacing w:before="0" w:after="60" w:line="276" w:lineRule="auto"/>
      </w:pPr>
      <w:r>
        <w:rPr>
          <w:sz w:val="24"/>
        </w:rPr>
        <w:t>Nota final entre 15 e 23,99: Projeto Aprovado com ressalvas, habilitado à homologação condicionada ao atendimento das recomendações da Comissão Técnica antes da contratação;</w:t>
      </w:r>
    </w:p>
    <w:p>
      <w:pPr>
        <w:ind w:left="850"/>
        <w:spacing w:before="0" w:after="60" w:line="276" w:lineRule="auto"/>
      </w:pPr>
      <w:r>
        <w:rPr>
          <w:sz w:val="24"/>
        </w:rPr>
        <w:t>Nota final ≤ 15 (exclusive): Projeto Reprovado, sem direito a apoio no ciclo.</w:t>
      </w:r>
    </w:p>
    <w:p>
      <w:pPr>
        <w:ind w:firstLine="709"/>
        <w:jc w:val="both"/>
        <w:spacing w:before="0" w:after="120" w:line="276" w:lineRule="auto"/>
      </w:pPr>
      <w:r>
        <w:rPr>
          <w:sz w:val="24"/>
        </w:rPr>
        <w:t>§ 2º A aprovação ou aprovação com ressalvas não gera direito subjetivo à contratação — esta depende da disponibilidade de recursos no ciclo, da ordem de classificação e da homologação pelo Comitê Decisório (art. 19).</w:t>
      </w:r>
    </w:p>
    <w:p>
      <w:pPr>
        <w:ind w:firstLine="709"/>
        <w:jc w:val="both"/>
        <w:spacing w:before="0" w:after="120" w:line="276" w:lineRule="auto"/>
      </w:pPr>
      <w:r>
        <w:rPr>
          <w:sz w:val="24"/>
        </w:rPr>
        <w:t>§ 3º Projeto "Aprovado com ressalvas" que não incorpore as recomendações da Comissão Técnica dentro do prazo fixado no Edital será considerado desclassificado para o ciclo corrente, sem prejuízo de nova submissão em ciclos futuros.</w:t>
      </w:r>
    </w:p>
    <w:p>
      <w:pPr>
        <w:jc w:val="center"/>
        <w:spacing w:before="160" w:after="80"/>
      </w:pPr>
      <w:r>
        <w:rPr>
          <w:b/>
          <w:sz w:val="24"/>
        </w:rPr>
        <w:t>Seção VI — Dos critérios de desempate</w:t>
      </w:r>
    </w:p>
    <w:p>
      <w:pPr>
        <w:ind w:firstLine="709"/>
        <w:jc w:val="both"/>
        <w:spacing w:before="0" w:after="120" w:line="276" w:lineRule="auto"/>
      </w:pPr>
      <w:r>
        <w:rPr>
          <w:sz w:val="24"/>
        </w:rPr>
        <w:t>Art. 29 Em caso de empate na nota final, a ordem de classificação será definida, sucessivamente, pelos seguintes critérios:</w:t>
      </w:r>
    </w:p>
    <w:p>
      <w:pPr>
        <w:ind w:left="850"/>
        <w:spacing w:before="0" w:after="60" w:line="276" w:lineRule="auto"/>
      </w:pPr>
      <w:r>
        <w:rPr>
          <w:sz w:val="24"/>
        </w:rPr>
        <w:t>maior pontuação no critério Grau de inovação (art. 27, I);</w:t>
      </w:r>
    </w:p>
    <w:p>
      <w:pPr>
        <w:ind w:left="850"/>
        <w:spacing w:before="0" w:after="60" w:line="276" w:lineRule="auto"/>
      </w:pPr>
      <w:r>
        <w:rPr>
          <w:sz w:val="24"/>
        </w:rPr>
        <w:t>maior pontuação no critério Relevância para o desenvolvimento do Município (art. 27, VI);</w:t>
      </w:r>
    </w:p>
    <w:p>
      <w:pPr>
        <w:ind w:left="850"/>
        <w:spacing w:before="0" w:after="60" w:line="276" w:lineRule="auto"/>
      </w:pPr>
      <w:r>
        <w:rPr>
          <w:sz w:val="24"/>
        </w:rPr>
        <w:t>maior pontuação no critério Viabilidade mercadológica e econômica (art. 27, III);</w:t>
      </w:r>
    </w:p>
    <w:p>
      <w:pPr>
        <w:ind w:left="850"/>
        <w:spacing w:before="0" w:after="60" w:line="276" w:lineRule="auto"/>
      </w:pPr>
      <w:r>
        <w:rPr>
          <w:sz w:val="24"/>
        </w:rPr>
        <w:t>Proponente pessoa física, microempreendedor individual ou microempresa em relação à empresa de pequeno porte (priorização de proponentes de menor porte);</w:t>
      </w:r>
    </w:p>
    <w:p>
      <w:pPr>
        <w:ind w:left="850"/>
        <w:spacing w:before="0" w:after="60" w:line="276" w:lineRule="auto"/>
      </w:pPr>
      <w:r>
        <w:rPr>
          <w:sz w:val="24"/>
        </w:rPr>
        <w:t>antiguidade do Proponente no Município de Joinville;</w:t>
      </w:r>
    </w:p>
    <w:p>
      <w:pPr>
        <w:ind w:left="850"/>
        <w:spacing w:before="0" w:after="60" w:line="276" w:lineRule="auto"/>
      </w:pPr>
      <w:r>
        <w:rPr>
          <w:sz w:val="24"/>
        </w:rPr>
        <w:t>sorteio público, presidido pela SDE, com ampla publicidade.</w:t>
      </w:r>
    </w:p>
    <w:p>
      <w:pPr>
        <w:jc w:val="center"/>
        <w:spacing w:before="160" w:after="80"/>
      </w:pPr>
      <w:r>
        <w:rPr>
          <w:b/>
          <w:sz w:val="24"/>
        </w:rPr>
        <w:t>Seção VII — Dos recursos administrativos</w:t>
      </w:r>
    </w:p>
    <w:p>
      <w:pPr>
        <w:ind w:firstLine="709"/>
        <w:jc w:val="both"/>
        <w:spacing w:before="0" w:after="120" w:line="276" w:lineRule="auto"/>
      </w:pPr>
      <w:r>
        <w:rPr>
          <w:sz w:val="24"/>
        </w:rPr>
        <w:t>Art. 30 Caberá recurso administrativo, no prazo de 10 (dez) dias úteis contados da publicação do ato recorrido, nas seguintes hipóteses:</w:t>
      </w:r>
    </w:p>
    <w:p>
      <w:pPr>
        <w:ind w:left="850"/>
        <w:spacing w:before="0" w:after="60" w:line="276" w:lineRule="auto"/>
      </w:pPr>
      <w:r>
        <w:rPr>
          <w:sz w:val="24"/>
        </w:rPr>
        <w:t>indeferimento preliminar por ausência de requisitos ou documentação (art. 26, §2º);</w:t>
      </w:r>
    </w:p>
    <w:p>
      <w:pPr>
        <w:ind w:left="850"/>
        <w:spacing w:before="0" w:after="60" w:line="276" w:lineRule="auto"/>
      </w:pPr>
      <w:r>
        <w:rPr>
          <w:sz w:val="24"/>
        </w:rPr>
        <w:t>nota final atribuída pela Comissão Técnica;</w:t>
      </w:r>
    </w:p>
    <w:p>
      <w:pPr>
        <w:ind w:left="850"/>
        <w:spacing w:before="0" w:after="60" w:line="276" w:lineRule="auto"/>
      </w:pPr>
      <w:r>
        <w:rPr>
          <w:sz w:val="24"/>
        </w:rPr>
        <w:t>classificação final divulgada;</w:t>
      </w:r>
    </w:p>
    <w:p>
      <w:pPr>
        <w:ind w:left="850"/>
        <w:spacing w:before="0" w:after="60" w:line="276" w:lineRule="auto"/>
      </w:pPr>
      <w:r>
        <w:rPr>
          <w:sz w:val="24"/>
        </w:rPr>
        <w:t>decisão de desclassificação por descumprimento de ressalvas (art. 28, §3º);</w:t>
      </w:r>
    </w:p>
    <w:p>
      <w:pPr>
        <w:ind w:left="850"/>
        <w:spacing w:before="0" w:after="60" w:line="276" w:lineRule="auto"/>
      </w:pPr>
      <w:r>
        <w:rPr>
          <w:sz w:val="24"/>
        </w:rPr>
        <w:t>decisões do Comitê Decisório relativas à homologação.</w:t>
      </w:r>
    </w:p>
    <w:p>
      <w:pPr>
        <w:ind w:firstLine="709"/>
        <w:jc w:val="both"/>
        <w:spacing w:before="0" w:after="120" w:line="276" w:lineRule="auto"/>
      </w:pPr>
      <w:r>
        <w:rPr>
          <w:sz w:val="24"/>
        </w:rPr>
        <w:t>§ 1º O recurso será dirigido à autoridade prolatora da decisão, que poderá reconsiderar no prazo de 3 (três) dias úteis; mantida a decisão, os autos serão encaminhados ao Comitê Decisório para deliberação final.</w:t>
      </w:r>
    </w:p>
    <w:p>
      <w:pPr>
        <w:ind w:firstLine="709"/>
        <w:jc w:val="both"/>
        <w:spacing w:before="0" w:after="120" w:line="276" w:lineRule="auto"/>
      </w:pPr>
      <w:r>
        <w:rPr>
          <w:sz w:val="24"/>
        </w:rPr>
        <w:t>§ 2º A decisão do Comitê Decisório em recurso é final na esfera administrativa.</w:t>
      </w:r>
    </w:p>
    <w:p>
      <w:pPr>
        <w:ind w:firstLine="709"/>
        <w:jc w:val="both"/>
        <w:spacing w:before="0" w:after="120" w:line="276" w:lineRule="auto"/>
      </w:pPr>
      <w:r>
        <w:rPr>
          <w:sz w:val="24"/>
        </w:rPr>
        <w:t>§ 3º Fica assegurado o contraditório e a ampla defesa em todas as etapas do processo decisório.</w:t>
      </w:r>
    </w:p>
    <w:p>
      <w:pPr>
        <w:jc w:val="center"/>
        <w:spacing w:before="160" w:after="80"/>
      </w:pPr>
      <w:r>
        <w:rPr>
          <w:b/>
          <w:sz w:val="24"/>
        </w:rPr>
        <w:t>Seção VIII — Da homologação e da contratação</w:t>
      </w:r>
    </w:p>
    <w:p>
      <w:pPr>
        <w:ind w:firstLine="709"/>
        <w:jc w:val="both"/>
        <w:spacing w:before="0" w:after="120" w:line="276" w:lineRule="auto"/>
      </w:pPr>
      <w:r>
        <w:rPr>
          <w:sz w:val="24"/>
        </w:rPr>
        <w:t>Art. 31 Finalizada a avaliação de mérito e julgados eventuais recursos, a SDE encaminhará ao Comitê Decisório (art. 19) a relação de Projetos classificados para homologação.</w:t>
      </w:r>
    </w:p>
    <w:p>
      <w:pPr>
        <w:ind w:firstLine="709"/>
        <w:jc w:val="both"/>
        <w:spacing w:before="0" w:after="120" w:line="276" w:lineRule="auto"/>
      </w:pPr>
      <w:r>
        <w:rPr>
          <w:sz w:val="24"/>
        </w:rPr>
        <w:t>§ 1º Homologados os resultados, a SDE publicará a lista final no Diário Oficial do Município e no portal do Programa.</w:t>
      </w:r>
    </w:p>
    <w:p>
      <w:pPr>
        <w:ind w:firstLine="709"/>
        <w:jc w:val="both"/>
        <w:spacing w:before="0" w:after="120" w:line="276" w:lineRule="auto"/>
      </w:pPr>
      <w:r>
        <w:rPr>
          <w:sz w:val="24"/>
        </w:rPr>
        <w:t>§ 2º Os Proponentes homologados serão convocados a firmar, conforme o caso:</w:t>
      </w:r>
    </w:p>
    <w:p>
      <w:pPr>
        <w:ind w:left="850"/>
        <w:spacing w:before="0" w:after="60" w:line="276" w:lineRule="auto"/>
      </w:pPr>
      <w:r>
        <w:rPr>
          <w:sz w:val="24"/>
        </w:rPr>
        <w:t>Contrato de apoio financeiro entre o Município (via FIT/Jlle) e o Proponente, com os termos e condições do Capítulo V;</w:t>
      </w:r>
    </w:p>
    <w:p>
      <w:pPr>
        <w:ind w:left="850"/>
        <w:spacing w:before="0" w:after="60" w:line="276" w:lineRule="auto"/>
      </w:pPr>
      <w:r>
        <w:rPr>
          <w:sz w:val="24"/>
        </w:rPr>
        <w:t>plano de trabalho final consolidado;</w:t>
      </w:r>
    </w:p>
    <w:p>
      <w:pPr>
        <w:ind w:left="850"/>
        <w:spacing w:before="0" w:after="60" w:line="276" w:lineRule="auto"/>
      </w:pPr>
      <w:r>
        <w:rPr>
          <w:sz w:val="24"/>
        </w:rPr>
        <w:t>termo de compromisso quanto à execução, à prestação de contas e às sanções aplicáveis.</w:t>
      </w:r>
    </w:p>
    <w:p>
      <w:pPr>
        <w:ind w:firstLine="709"/>
        <w:jc w:val="both"/>
        <w:spacing w:before="0" w:after="120" w:line="276" w:lineRule="auto"/>
      </w:pPr>
      <w:r>
        <w:rPr>
          <w:sz w:val="24"/>
        </w:rPr>
        <w:t>§ 3º A recusa injustificada do Proponente a firmar o instrumento, no prazo fixado pela SDE, implica desclassificação no ciclo, sem prejuízo da convocação de Projetos imediatamente classificados.</w:t>
      </w:r>
    </w:p>
    <w:p>
      <w:pPr>
        <w:jc w:val="center"/>
        <w:spacing w:before="160" w:after="80"/>
      </w:pPr>
      <w:r>
        <w:rPr>
          <w:b/>
          <w:sz w:val="24"/>
        </w:rPr>
        <w:t>Seção IX — Do teto por Projeto</w:t>
      </w:r>
    </w:p>
    <w:p>
      <w:pPr>
        <w:ind w:firstLine="709"/>
        <w:jc w:val="both"/>
        <w:spacing w:before="0" w:after="120" w:line="276" w:lineRule="auto"/>
      </w:pPr>
      <w:r>
        <w:rPr>
          <w:sz w:val="24"/>
        </w:rPr>
        <w:t>Art. 32 O apoio financeiro por Projeto fica limitado a 475 (quatrocentas e setenta e cinco) Unidades Padrão Municipais (UPM), vigentes no mês de publicação do Edital do ciclo.</w:t>
      </w:r>
    </w:p>
    <w:p>
      <w:pPr>
        <w:ind w:firstLine="709"/>
        <w:jc w:val="both"/>
        <w:spacing w:before="0" w:after="120" w:line="276" w:lineRule="auto"/>
      </w:pPr>
      <w:r>
        <w:rPr>
          <w:sz w:val="24"/>
        </w:rPr>
        <w:t>§ 1º O teto previsto no caput incide sobre a soma de todos os aportes destinados ao Projeto, independentemente do Caminho escolhido (A ou B) e do número de Contribuintes Incentivadores envolvidos, quando aplicável.</w:t>
      </w:r>
    </w:p>
    <w:p>
      <w:pPr>
        <w:ind w:firstLine="709"/>
        <w:jc w:val="both"/>
        <w:spacing w:before="0" w:after="120" w:line="276" w:lineRule="auto"/>
      </w:pPr>
      <w:r>
        <w:rPr>
          <w:sz w:val="24"/>
        </w:rPr>
        <w:t>§ 2º O Edital poderá fixar teto inferior ao do caput para ciclos específicos, mediante justificativa técnica, observadas as diretrizes da SDE e do COMCITI.</w:t>
      </w:r>
    </w:p>
    <w:p>
      <w:pPr>
        <w:ind w:firstLine="709"/>
        <w:jc w:val="both"/>
        <w:spacing w:before="0" w:after="120" w:line="276" w:lineRule="auto"/>
      </w:pPr>
      <w:r>
        <w:rPr>
          <w:sz w:val="24"/>
        </w:rPr>
        <w:t>§ 3º A atualização do valor da UPM é automática, conforme Lei Municipal nº 1.416, de 1975, e atos municipais correlatos, sem necessidade de alteração deste Decreto.</w:t>
      </w:r>
    </w:p>
    <w:p>
      <w:pPr>
        <w:jc w:val="center"/>
        <w:spacing w:before="320" w:after="80"/>
      </w:pPr>
      <w:r>
        <w:rPr>
          <w:b/>
          <w:sz w:val="24"/>
        </w:rPr>
        <w:t>MECANISMO DE ENTREGA DO RECURSO</w:t>
      </w:r>
    </w:p>
    <w:p>
      <w:pPr>
        <w:jc w:val="center"/>
        <w:spacing w:before="160" w:after="80"/>
      </w:pPr>
      <w:r>
        <w:rPr>
          <w:b/>
          <w:sz w:val="24"/>
        </w:rPr>
        <w:t>Seção I-A — Disposições do Caminho A</w:t>
      </w:r>
    </w:p>
    <w:p>
      <w:pPr>
        <w:ind w:firstLine="709"/>
        <w:jc w:val="both"/>
        <w:spacing w:before="0" w:after="120" w:line="276" w:lineRule="auto"/>
      </w:pPr>
      <w:r>
        <w:rPr>
          <w:sz w:val="24"/>
        </w:rPr>
        <w:t>Art. 33 No Caminho A, o Programa opera por meio de apoio financeiro direto da Prefeitura ao Proponente aprovado, na modalidade de subvenção econômica, com recursos alocados no Fundo Municipal de Inovação Tecnológica de Joinville (FIT/Jlle) e provenientes de dotação específica da Lei Orçamentária Anual.</w:t>
      </w:r>
    </w:p>
    <w:p>
      <w:pPr>
        <w:ind w:firstLine="709"/>
        <w:jc w:val="both"/>
        <w:spacing w:before="0" w:after="120" w:line="276" w:lineRule="auto"/>
      </w:pPr>
      <w:r>
        <w:rPr>
          <w:sz w:val="24"/>
        </w:rPr>
        <w:t>§ 1º A natureza jurídica do apoio é de despesa pública corrente, nos termos da Lei nº 4.320, de 1964, e da Lei Complementar nº 101, de 2000 — não configurando renúncia de receita para os fins do art. 14 da Lei de Responsabilidade Fiscal.</w:t>
      </w:r>
    </w:p>
    <w:p>
      <w:pPr>
        <w:ind w:firstLine="709"/>
        <w:jc w:val="both"/>
        <w:spacing w:before="0" w:after="120" w:line="276" w:lineRule="auto"/>
      </w:pPr>
      <w:r>
        <w:rPr>
          <w:sz w:val="24"/>
        </w:rPr>
        <w:t>§ 2º O apoio é concedido a fundo perdido, vedada sua caracterização como empréstimo, financiamento reembolsável ou qualquer modalidade que implique obrigação de devolução do principal pelo Proponente.</w:t>
      </w:r>
    </w:p>
    <w:p>
      <w:pPr>
        <w:ind w:firstLine="709"/>
        <w:jc w:val="both"/>
        <w:spacing w:before="0" w:after="120" w:line="276" w:lineRule="auto"/>
      </w:pPr>
      <w:r>
        <w:rPr>
          <w:sz w:val="24"/>
        </w:rPr>
        <w:t>§ 3º O valor por Projeto observa o teto previsto no art. 32 (475 UPM).</w:t>
      </w:r>
    </w:p>
    <w:p>
      <w:pPr>
        <w:jc w:val="center"/>
        <w:spacing w:before="160" w:after="80"/>
      </w:pPr>
      <w:r>
        <w:rPr>
          <w:b/>
          <w:sz w:val="24"/>
        </w:rPr>
        <w:t>Seção II-A — Do FIT/Jlle como fonte</w:t>
      </w:r>
    </w:p>
    <w:p>
      <w:pPr>
        <w:ind w:firstLine="709"/>
        <w:jc w:val="both"/>
        <w:spacing w:before="0" w:after="120" w:line="276" w:lineRule="auto"/>
      </w:pPr>
      <w:r>
        <w:rPr>
          <w:sz w:val="24"/>
        </w:rPr>
        <w:t>Art. 34 O FIT/Jlle, ativado e regulamentado nos termos do art. 16 deste Decreto, é a fonte financeira exclusiva do Caminho A.</w:t>
      </w:r>
    </w:p>
    <w:p>
      <w:pPr>
        <w:ind w:firstLine="709"/>
        <w:jc w:val="both"/>
        <w:spacing w:before="0" w:after="120" w:line="276" w:lineRule="auto"/>
      </w:pPr>
      <w:r>
        <w:rPr>
          <w:sz w:val="24"/>
        </w:rPr>
        <w:t>§ 1º A execução financeira do FIT segue as normas gerais de contabilidade pública aplicáveis e observa as rotinas internas da Secretaria Municipal da Fazenda e da Controladoria-Geral do Município.</w:t>
      </w:r>
    </w:p>
    <w:p>
      <w:pPr>
        <w:ind w:firstLine="709"/>
        <w:jc w:val="both"/>
        <w:spacing w:before="0" w:after="120" w:line="276" w:lineRule="auto"/>
      </w:pPr>
      <w:r>
        <w:rPr>
          <w:sz w:val="24"/>
        </w:rPr>
        <w:t>§ 2º Os recursos são empenhados, liquidados e pagos em favor do Proponente mediante crédito na Conta Vinculada do Projeto (art. 36).</w:t>
      </w:r>
    </w:p>
    <w:p>
      <w:pPr>
        <w:jc w:val="center"/>
        <w:spacing w:before="160" w:after="80"/>
      </w:pPr>
      <w:r>
        <w:rPr>
          <w:b/>
          <w:sz w:val="24"/>
        </w:rPr>
        <w:t>Seção III-A — Da Carta de Apoio</w:t>
      </w:r>
    </w:p>
    <w:p>
      <w:pPr>
        <w:ind w:firstLine="709"/>
        <w:jc w:val="both"/>
        <w:spacing w:before="0" w:after="120" w:line="276" w:lineRule="auto"/>
      </w:pPr>
      <w:r>
        <w:rPr>
          <w:sz w:val="24"/>
        </w:rPr>
        <w:t>Art. 35 A Carta de Apoio é o ato formal emitido pela SDE em favor do Proponente selecionado, após homologação pelo Comitê Decisório, autorizando a contratação e o desembolso do apoio financeiro nos termos deste Decreto.</w:t>
      </w:r>
    </w:p>
    <w:p>
      <w:pPr>
        <w:ind w:firstLine="709"/>
        <w:jc w:val="both"/>
        <w:spacing w:before="0" w:after="120" w:line="276" w:lineRule="auto"/>
      </w:pPr>
      <w:r>
        <w:rPr>
          <w:sz w:val="24"/>
        </w:rPr>
        <w:t>§ 1º A Carta de Apoio contém: identificação do Proponente, objeto e metas do Projeto, valor total do apoio, prazo de execução, referência ao número do ciclo e indicação da dotação orçamentária.</w:t>
      </w:r>
    </w:p>
    <w:p>
      <w:pPr>
        <w:ind w:firstLine="709"/>
        <w:jc w:val="both"/>
        <w:spacing w:before="0" w:after="120" w:line="276" w:lineRule="auto"/>
      </w:pPr>
      <w:r>
        <w:rPr>
          <w:sz w:val="24"/>
        </w:rPr>
        <w:t>§ 2º A validade da Carta de Apoio é de 1 (um) ano, contado da data de sua emissão.</w:t>
      </w:r>
    </w:p>
    <w:p>
      <w:pPr>
        <w:ind w:firstLine="709"/>
        <w:jc w:val="both"/>
        <w:spacing w:before="0" w:after="120" w:line="276" w:lineRule="auto"/>
      </w:pPr>
      <w:r>
        <w:rPr>
          <w:sz w:val="24"/>
        </w:rPr>
        <w:t>§ 3º Admite-se 1 (uma) prorrogação única de até 6 (seis) meses, mediante requerimento fundamentado do Proponente à SDE, apresentado antes do término da validade original.</w:t>
      </w:r>
    </w:p>
    <w:p>
      <w:pPr>
        <w:ind w:firstLine="709"/>
        <w:jc w:val="both"/>
        <w:spacing w:before="0" w:after="120" w:line="276" w:lineRule="auto"/>
      </w:pPr>
      <w:r>
        <w:rPr>
          <w:sz w:val="24"/>
        </w:rPr>
        <w:t>§ 4º A não assinatura do Contrato de apoio financeiro dentro do prazo da Carta, sem prorrogação, implica a caducidade do direito e a convocação dos Projetos imediatamente classificados.</w:t>
      </w:r>
    </w:p>
    <w:p>
      <w:pPr>
        <w:jc w:val="center"/>
        <w:spacing w:before="160" w:after="80"/>
      </w:pPr>
      <w:r>
        <w:rPr>
          <w:b/>
          <w:sz w:val="24"/>
        </w:rPr>
        <w:t>Seção IV-A — Da Conta Vinculada do Projeto</w:t>
      </w:r>
    </w:p>
    <w:p>
      <w:pPr>
        <w:ind w:firstLine="709"/>
        <w:jc w:val="both"/>
        <w:spacing w:before="0" w:after="120" w:line="276" w:lineRule="auto"/>
      </w:pPr>
      <w:r>
        <w:rPr>
          <w:sz w:val="24"/>
        </w:rPr>
        <w:t>Art. 36 A execução financeira do apoio se dá por meio de Conta Vinculada do Projeto, aberta em nome do Proponente em instituição financeira oficial, exclusivamente destinada à movimentação dos recursos recebidos e ao pagamento das despesas do Projeto.</w:t>
      </w:r>
    </w:p>
    <w:p>
      <w:pPr>
        <w:ind w:firstLine="709"/>
        <w:jc w:val="both"/>
        <w:spacing w:before="0" w:after="120" w:line="276" w:lineRule="auto"/>
      </w:pPr>
      <w:r>
        <w:rPr>
          <w:sz w:val="24"/>
        </w:rPr>
        <w:t>§ 1º Os pagamentos a partir da Conta Vinculada serão realizados exclusivamente por PIX, TED ou débito em conta — vedado o saque em espécie, salvo em hipóteses excepcionais previstas no Edital e com prévia autorização da SDE.</w:t>
      </w:r>
    </w:p>
    <w:p>
      <w:pPr>
        <w:ind w:firstLine="709"/>
        <w:jc w:val="both"/>
        <w:spacing w:before="0" w:after="120" w:line="276" w:lineRule="auto"/>
      </w:pPr>
      <w:r>
        <w:rPr>
          <w:sz w:val="24"/>
        </w:rPr>
        <w:t>§ 2º Todas as despesas pagas com recursos da Conta Vinculada devem guardar nexo de causalidade com o objeto do Projeto, serem comprovadas por documento fiscal idôneo e estarem previstas no plano de trabalho aprovado.</w:t>
      </w:r>
    </w:p>
    <w:p>
      <w:pPr>
        <w:ind w:firstLine="709"/>
        <w:jc w:val="both"/>
        <w:spacing w:before="0" w:after="120" w:line="276" w:lineRule="auto"/>
      </w:pPr>
      <w:r>
        <w:rPr>
          <w:sz w:val="24"/>
        </w:rPr>
        <w:t>§ 3º Dentro do objeto e do plano de trabalho aprovados, o Proponente tem autonomia para decidir sobre a aplicação dos recursos, sem necessidade de autorização prévia da SDE para cada despesa, respeitados os limites legais aplicáveis à utilização de recursos públicos.</w:t>
      </w:r>
    </w:p>
    <w:p>
      <w:pPr>
        <w:ind w:firstLine="709"/>
        <w:jc w:val="both"/>
        <w:spacing w:before="0" w:after="120" w:line="276" w:lineRule="auto"/>
      </w:pPr>
      <w:r>
        <w:rPr>
          <w:sz w:val="24"/>
        </w:rPr>
        <w:t>§ 4º Os rendimentos financeiros eventualmente produzidos pela Conta Vinculada são de aplicação obrigatória no próprio Projeto, integrando o volume total de recursos disponíveis e sujeitando-se aos mesmos critérios de prestação de contas.</w:t>
      </w:r>
    </w:p>
    <w:p>
      <w:pPr>
        <w:jc w:val="center"/>
        <w:spacing w:before="160" w:after="80"/>
      </w:pPr>
      <w:r>
        <w:rPr>
          <w:b/>
          <w:sz w:val="24"/>
        </w:rPr>
        <w:t>Seção V-A — Do pagamento à vista</w:t>
      </w:r>
    </w:p>
    <w:p>
      <w:pPr>
        <w:ind w:firstLine="709"/>
        <w:jc w:val="both"/>
        <w:spacing w:before="0" w:after="120" w:line="276" w:lineRule="auto"/>
      </w:pPr>
      <w:r>
        <w:rPr>
          <w:sz w:val="24"/>
        </w:rPr>
        <w:t>Art. 37 O apoio financeiro do Caminho A é pago à vista, em parcela única correspondente a 100% (cem por cento) do valor aprovado, mediante crédito na Conta Vinculada do Projeto.</w:t>
      </w:r>
    </w:p>
    <w:p>
      <w:pPr>
        <w:ind w:firstLine="709"/>
        <w:jc w:val="both"/>
        <w:spacing w:before="0" w:after="120" w:line="276" w:lineRule="auto"/>
      </w:pPr>
      <w:r>
        <w:rPr>
          <w:sz w:val="24"/>
        </w:rPr>
        <w:t>§ 1º O pagamento ocorre no prazo de até 30 (trinta) dias contados da assinatura do Contrato de apoio financeiro, observada a disponibilidade financeira do FIT/Jlle e os procedimentos de empenho, liquidação e pagamento.</w:t>
      </w:r>
    </w:p>
    <w:p>
      <w:pPr>
        <w:ind w:firstLine="709"/>
        <w:jc w:val="both"/>
        <w:spacing w:before="0" w:after="120" w:line="276" w:lineRule="auto"/>
      </w:pPr>
      <w:r>
        <w:rPr>
          <w:sz w:val="24"/>
        </w:rPr>
        <w:t>§ 2º É vedado o pagamento parcelado por prazo (modalidades do tipo 40%/40%/20%, 50%/50% ou similares) ou a retenção de parcela condicionada ao término do Projeto.</w:t>
      </w:r>
    </w:p>
    <w:p>
      <w:pPr>
        <w:ind w:firstLine="709"/>
        <w:jc w:val="both"/>
        <w:spacing w:before="0" w:after="120" w:line="276" w:lineRule="auto"/>
      </w:pPr>
      <w:r>
        <w:rPr>
          <w:sz w:val="24"/>
        </w:rPr>
        <w:t>§ 3º O controle público sobre a correta aplicação dos recursos é exercido pelos demais mecanismos do Programa — Conta Vinculada (art. 36), prestação de contas parcial e final (Capítulo VI), auditoria da CGM (art. 21) e regime de sanções (Capítulo VII) — dispensada qualquer forma de retenção financeira como mecanismo de controle.</w:t>
      </w:r>
    </w:p>
    <w:p>
      <w:pPr>
        <w:jc w:val="center"/>
        <w:spacing w:before="160" w:after="80"/>
      </w:pPr>
      <w:r>
        <w:rPr>
          <w:b/>
          <w:sz w:val="24"/>
        </w:rPr>
        <w:t>Seção VI-A — Do saldo não executado</w:t>
      </w:r>
    </w:p>
    <w:p>
      <w:pPr>
        <w:ind w:firstLine="709"/>
        <w:jc w:val="both"/>
        <w:spacing w:before="0" w:after="120" w:line="276" w:lineRule="auto"/>
      </w:pPr>
      <w:r>
        <w:rPr>
          <w:sz w:val="24"/>
        </w:rPr>
        <w:t>Art. 38 Ao final da execução do Projeto, o saldo remanescente na Conta Vinculada — entendido como a diferença entre o valor recebido (acrescido dos rendimentos financeiros) e o total efetivamente executado — é devolvido ao FIT/Jlle pelo seu valor nominal, sem correção monetária ou juros.</w:t>
      </w:r>
    </w:p>
    <w:p>
      <w:pPr>
        <w:ind w:firstLine="709"/>
        <w:jc w:val="both"/>
        <w:spacing w:before="0" w:after="120" w:line="276" w:lineRule="auto"/>
      </w:pPr>
      <w:r>
        <w:rPr>
          <w:sz w:val="24"/>
        </w:rPr>
        <w:t>§ 1º A devolução ocorre no prazo de até 30 (trinta) dias contados da aprovação da prestação de contas final pela SDE, mediante recolhimento à conta do FIT indicada no ato.</w:t>
      </w:r>
    </w:p>
    <w:p>
      <w:pPr>
        <w:ind w:firstLine="709"/>
        <w:jc w:val="both"/>
        <w:spacing w:before="0" w:after="120" w:line="276" w:lineRule="auto"/>
      </w:pPr>
      <w:r>
        <w:rPr>
          <w:sz w:val="24"/>
        </w:rPr>
        <w:t>§ 2º A ausência de devolução no prazo do §1º sujeita o Proponente ao regime de sanções do Capítulo VII, hipótese em que o valor devido passará a ser corrigido nos termos das normas aplicáveis à dívida ativa municipal.</w:t>
      </w:r>
    </w:p>
    <w:p>
      <w:pPr>
        <w:jc w:val="center"/>
        <w:spacing w:before="160" w:after="80"/>
      </w:pPr>
      <w:r>
        <w:rPr>
          <w:b/>
          <w:sz w:val="24"/>
        </w:rPr>
        <w:t>Seção I-B — Disposições do Caminho B</w:t>
      </w:r>
    </w:p>
    <w:p>
      <w:pPr>
        <w:ind w:firstLine="709"/>
        <w:jc w:val="both"/>
        <w:spacing w:before="0" w:after="120" w:line="276" w:lineRule="auto"/>
      </w:pPr>
      <w:r>
        <w:rPr>
          <w:sz w:val="24"/>
        </w:rPr>
        <w:t>Art. 33 No Caminho B, o Programa opera por meio de redirecionamento fiscal, consistente na destinação, por Contribuinte Incentivador, de parcela do ISSQN ou IPTU devido ao Município de Joinville, diretamente a Projeto de Inovação aprovado pelo Programa.</w:t>
      </w:r>
    </w:p>
    <w:p>
      <w:pPr>
        <w:ind w:firstLine="709"/>
        <w:jc w:val="both"/>
        <w:spacing w:before="0" w:after="120" w:line="276" w:lineRule="auto"/>
      </w:pPr>
      <w:r>
        <w:rPr>
          <w:sz w:val="24"/>
        </w:rPr>
        <w:t>§ 1º O mecanismo previsto neste Capítulo somente produz efeitos após a entrada em vigor de Lei Complementar Municipal específica que o autorize, observados os requisitos de reserva legal tributária da Constituição Federal (art. 150, §6º), de responsabilidade fiscal (art. 14 da Lei Complementar nº 101, de 2000) e de legalidade tributária estrita.</w:t>
      </w:r>
    </w:p>
    <w:p>
      <w:pPr>
        <w:ind w:firstLine="709"/>
        <w:jc w:val="both"/>
        <w:spacing w:before="0" w:after="120" w:line="276" w:lineRule="auto"/>
      </w:pPr>
      <w:r>
        <w:rPr>
          <w:sz w:val="24"/>
        </w:rPr>
        <w:t>§ 2º O recurso redirecionado não transita pela Tesouraria Municipal — é transferido diretamente pelo Contribuinte Incentivador à Conta Vinculada do Projeto (art. 37), após emissão do Certificado de Incentivo Fiscal (art. 36).</w:t>
      </w:r>
    </w:p>
    <w:p>
      <w:pPr>
        <w:ind w:firstLine="709"/>
        <w:jc w:val="both"/>
        <w:spacing w:before="0" w:after="120" w:line="276" w:lineRule="auto"/>
      </w:pPr>
      <w:r>
        <w:rPr>
          <w:sz w:val="24"/>
        </w:rPr>
        <w:t>§ 3º O Contribuinte Incentivador paga o mesmo valor total de tributo devido — apenas muda-se o destino da parcela redirecionada. Não há benefício fiscal ao Contribuinte além do cumprimento da obrigação tributária com a destinação autorizada.</w:t>
      </w:r>
    </w:p>
    <w:p>
      <w:pPr>
        <w:ind w:firstLine="709"/>
        <w:jc w:val="both"/>
        <w:spacing w:before="0" w:after="120" w:line="276" w:lineRule="auto"/>
      </w:pPr>
      <w:r>
        <w:rPr>
          <w:sz w:val="24"/>
        </w:rPr>
        <w:t>§ 4º O valor por Projeto observa o teto previsto no art. 32 (475 UPM).</w:t>
      </w:r>
    </w:p>
    <w:p>
      <w:pPr>
        <w:jc w:val="center"/>
        <w:spacing w:before="160" w:after="80"/>
      </w:pPr>
      <w:r>
        <w:rPr>
          <w:b/>
          <w:sz w:val="24"/>
        </w:rPr>
        <w:t>Seção II-B — Da Carta de Captação</w:t>
      </w:r>
    </w:p>
    <w:p>
      <w:pPr>
        <w:ind w:firstLine="709"/>
        <w:jc w:val="both"/>
        <w:spacing w:before="0" w:after="120" w:line="276" w:lineRule="auto"/>
      </w:pPr>
      <w:r>
        <w:rPr>
          <w:sz w:val="24"/>
        </w:rPr>
        <w:t>Art. 34 A Carta de Captação é o ato formal emitido pela SDE em favor do Proponente selecionado, após homologação pelo Comitê Decisório, habilitando-o a captar recursos junto a Contribuintes Incentivadores nos termos deste Decreto e da Lei Complementar autorizativa.</w:t>
      </w:r>
    </w:p>
    <w:p>
      <w:pPr>
        <w:ind w:firstLine="709"/>
        <w:jc w:val="both"/>
        <w:spacing w:before="0" w:after="120" w:line="276" w:lineRule="auto"/>
      </w:pPr>
      <w:r>
        <w:rPr>
          <w:sz w:val="24"/>
        </w:rPr>
        <w:t>§ 1º A Carta de Captação contém: identificação do Proponente, objeto e metas do Projeto, valor total autorizado à captação, prazo de validade e referência ao número do ciclo.</w:t>
      </w:r>
    </w:p>
    <w:p>
      <w:pPr>
        <w:ind w:firstLine="709"/>
        <w:jc w:val="both"/>
        <w:spacing w:before="0" w:after="120" w:line="276" w:lineRule="auto"/>
      </w:pPr>
      <w:r>
        <w:rPr>
          <w:sz w:val="24"/>
        </w:rPr>
        <w:t>§ 2º A validade da Carta de Captação é de 1 (um) ano, contado da data de sua emissão.</w:t>
      </w:r>
    </w:p>
    <w:p>
      <w:pPr>
        <w:ind w:firstLine="709"/>
        <w:jc w:val="both"/>
        <w:spacing w:before="0" w:after="120" w:line="276" w:lineRule="auto"/>
      </w:pPr>
      <w:r>
        <w:rPr>
          <w:sz w:val="24"/>
        </w:rPr>
        <w:t>§ 3º Admite-se 1 (uma) prorrogação única de até 6 (seis) meses, mediante requerimento fundamentado do Proponente à SDE, apresentado antes do término da validade original.</w:t>
      </w:r>
    </w:p>
    <w:p>
      <w:pPr>
        <w:ind w:firstLine="709"/>
        <w:jc w:val="both"/>
        <w:spacing w:before="0" w:after="120" w:line="276" w:lineRule="auto"/>
      </w:pPr>
      <w:r>
        <w:rPr>
          <w:sz w:val="24"/>
        </w:rPr>
        <w:t>§ 4º O Proponente tem o dever de buscar ativamente os Contribuintes Incentivadores, sendo a captação atividade do próprio Proponente e não da Administração Municipal.</w:t>
      </w:r>
    </w:p>
    <w:p>
      <w:pPr>
        <w:jc w:val="center"/>
        <w:spacing w:before="160" w:after="80"/>
      </w:pPr>
      <w:r>
        <w:rPr>
          <w:b/>
          <w:sz w:val="24"/>
        </w:rPr>
        <w:t>Seção III-B — Do Contribuinte Incentivador</w:t>
      </w:r>
    </w:p>
    <w:p>
      <w:pPr>
        <w:ind w:firstLine="709"/>
        <w:jc w:val="both"/>
        <w:spacing w:before="0" w:after="120" w:line="276" w:lineRule="auto"/>
      </w:pPr>
      <w:r>
        <w:rPr>
          <w:sz w:val="24"/>
        </w:rPr>
        <w:t>Art. 35 Poderá figurar como Contribuinte Incentivador, aderindo voluntariamente ao mecanismo de redirecionamento fiscal:</w:t>
      </w:r>
    </w:p>
    <w:p>
      <w:pPr>
        <w:ind w:left="850"/>
        <w:spacing w:before="0" w:after="60" w:line="276" w:lineRule="auto"/>
      </w:pPr>
      <w:r>
        <w:rPr>
          <w:sz w:val="24"/>
        </w:rPr>
        <w:t>pessoa física contribuinte do IPTU no Município de Joinville;</w:t>
      </w:r>
    </w:p>
    <w:p>
      <w:pPr>
        <w:ind w:left="850"/>
        <w:spacing w:before="0" w:after="60" w:line="276" w:lineRule="auto"/>
      </w:pPr>
      <w:r>
        <w:rPr>
          <w:sz w:val="24"/>
        </w:rPr>
        <w:t>pessoa jurídica contribuinte do ISSQN no Município de Joinville;</w:t>
      </w:r>
    </w:p>
    <w:p>
      <w:pPr>
        <w:ind w:left="850"/>
        <w:spacing w:before="0" w:after="60" w:line="276" w:lineRule="auto"/>
      </w:pPr>
      <w:r>
        <w:rPr>
          <w:sz w:val="24"/>
        </w:rPr>
        <w:t>pessoa jurídica proprietária de imóvel no Município e, portanto, contribuinte do IPTU.</w:t>
      </w:r>
    </w:p>
    <w:p>
      <w:pPr>
        <w:ind w:firstLine="709"/>
        <w:jc w:val="both"/>
        <w:spacing w:before="0" w:after="120" w:line="276" w:lineRule="auto"/>
      </w:pPr>
      <w:r>
        <w:rPr>
          <w:sz w:val="24"/>
        </w:rPr>
        <w:t>§ 1º São requisitos para a adesão como Contribuinte Incentivador:</w:t>
      </w:r>
    </w:p>
    <w:p>
      <w:pPr>
        <w:ind w:left="850"/>
        <w:spacing w:before="0" w:after="60" w:line="276" w:lineRule="auto"/>
      </w:pPr>
      <w:r>
        <w:rPr>
          <w:sz w:val="24"/>
        </w:rPr>
        <w:t>regularidade fiscal junto ao Município de Joinville, ou existência de parcelamento em situação regular, comprovados por certidão;</w:t>
      </w:r>
    </w:p>
    <w:p>
      <w:pPr>
        <w:ind w:left="850"/>
        <w:spacing w:before="0" w:after="60" w:line="276" w:lineRule="auto"/>
      </w:pPr>
      <w:r>
        <w:rPr>
          <w:sz w:val="24"/>
        </w:rPr>
        <w:t>adesão formal, por instrumento a ser definido em ato da SDE, contendo a indicação do Projeto a ser apoiado, o valor a ser redirecionado e a declaração de ciência e concordância com as regras deste Decreto e da Lei Complementar autorizativa;</w:t>
      </w:r>
    </w:p>
    <w:p>
      <w:pPr>
        <w:ind w:left="850"/>
        <w:spacing w:before="0" w:after="60" w:line="276" w:lineRule="auto"/>
      </w:pPr>
      <w:r>
        <w:rPr>
          <w:sz w:val="24"/>
        </w:rPr>
        <w:t>comprovação da capacidade tributária — não é possível redirecionar valor superior ao ISSQN ou IPTU efetivamente devido pelo Contribuinte no exercício.</w:t>
      </w:r>
    </w:p>
    <w:p>
      <w:pPr>
        <w:ind w:firstLine="709"/>
        <w:jc w:val="both"/>
        <w:spacing w:before="0" w:after="120" w:line="276" w:lineRule="auto"/>
      </w:pPr>
      <w:r>
        <w:rPr>
          <w:sz w:val="24"/>
        </w:rPr>
        <w:t>§ 2º Não há limite percentual por Contribuinte Incentivador — o Contribuinte pode destinar, por sua própria decisão, até 100% (cem por cento) do ISSQN ou do IPTU por ele devido no exercício, observado o teto por Projeto (art. 32) e o teto anual do Programa (art. 37).</w:t>
      </w:r>
    </w:p>
    <w:p>
      <w:pPr>
        <w:ind w:firstLine="709"/>
        <w:jc w:val="both"/>
        <w:spacing w:before="0" w:after="120" w:line="276" w:lineRule="auto"/>
      </w:pPr>
      <w:r>
        <w:rPr>
          <w:sz w:val="24"/>
        </w:rPr>
        <w:t>§ 3º Um mesmo Contribuinte Incentivador pode apoiar mais de um Projeto no mesmo exercício, respeitados os limites do §2º.</w:t>
      </w:r>
    </w:p>
    <w:p>
      <w:pPr>
        <w:ind w:firstLine="709"/>
        <w:jc w:val="both"/>
        <w:spacing w:before="0" w:after="120" w:line="276" w:lineRule="auto"/>
      </w:pPr>
      <w:r>
        <w:rPr>
          <w:sz w:val="24"/>
        </w:rPr>
        <w:t>§ 4º São vedadas como Contribuinte Incentivador:</w:t>
      </w:r>
    </w:p>
    <w:p>
      <w:pPr>
        <w:ind w:left="850"/>
        <w:spacing w:before="0" w:after="60" w:line="276" w:lineRule="auto"/>
      </w:pPr>
      <w:r>
        <w:rPr>
          <w:sz w:val="24"/>
        </w:rPr>
        <w:t>pessoa com qualquer vínculo societário, familiar até o 3º grau ou de controle com o Proponente do Projeto apoiado, salvo em hipótese excepcional, com parecer favorável da PGM;</w:t>
      </w:r>
    </w:p>
    <w:p>
      <w:pPr>
        <w:ind w:left="850"/>
        <w:spacing w:before="0" w:after="60" w:line="276" w:lineRule="auto"/>
      </w:pPr>
      <w:r>
        <w:rPr>
          <w:sz w:val="24"/>
        </w:rPr>
        <w:t>pessoa declarada inidônea para contratar com a Administração Pública, enquanto perdurarem os efeitos da sanção;</w:t>
      </w:r>
    </w:p>
    <w:p>
      <w:pPr>
        <w:ind w:left="850"/>
        <w:spacing w:before="0" w:after="60" w:line="276" w:lineRule="auto"/>
      </w:pPr>
      <w:r>
        <w:rPr>
          <w:sz w:val="24"/>
        </w:rPr>
        <w:t>pessoa com dívida tributária em execução fiscal no Município, sem parcelamento regular.</w:t>
      </w:r>
    </w:p>
    <w:p>
      <w:pPr>
        <w:jc w:val="center"/>
        <w:spacing w:before="160" w:after="80"/>
      </w:pPr>
      <w:r>
        <w:rPr>
          <w:b/>
          <w:sz w:val="24"/>
        </w:rPr>
        <w:t>Seção IV-B — Do Certificado de Incentivo Fiscal</w:t>
      </w:r>
    </w:p>
    <w:p>
      <w:pPr>
        <w:ind w:firstLine="709"/>
        <w:jc w:val="both"/>
        <w:spacing w:before="0" w:after="120" w:line="276" w:lineRule="auto"/>
      </w:pPr>
      <w:r>
        <w:rPr>
          <w:sz w:val="24"/>
        </w:rPr>
        <w:t>Art. 36 O Certificado de Incentivo Fiscal é o documento emitido pelo Município ao Contribuinte Incentivador que comprova o depósito em favor do Projeto e autoriza o abatimento correspondente no ISSQN ou IPTU devido.</w:t>
      </w:r>
    </w:p>
    <w:p>
      <w:pPr>
        <w:ind w:firstLine="709"/>
        <w:jc w:val="both"/>
        <w:spacing w:before="0" w:after="120" w:line="276" w:lineRule="auto"/>
      </w:pPr>
      <w:r>
        <w:rPr>
          <w:sz w:val="24"/>
        </w:rPr>
        <w:t>§ 1º O fluxo operacional é o seguinte:</w:t>
      </w:r>
    </w:p>
    <w:p>
      <w:pPr>
        <w:ind w:left="850"/>
        <w:spacing w:before="0" w:after="60" w:line="276" w:lineRule="auto"/>
      </w:pPr>
      <w:r>
        <w:rPr>
          <w:sz w:val="24"/>
        </w:rPr>
        <w:t>Proponente com Carta de Captação apresenta Contribuinte Incentivador à SDE, com instrumento de adesão;</w:t>
      </w:r>
    </w:p>
    <w:p>
      <w:pPr>
        <w:ind w:left="850"/>
        <w:spacing w:before="0" w:after="60" w:line="276" w:lineRule="auto"/>
      </w:pPr>
      <w:r>
        <w:rPr>
          <w:sz w:val="24"/>
        </w:rPr>
        <w:t>SDE valida os requisitos do Contribuinte (art. 35, §1º) e os valores em face do teto do Projeto (art. 32) e do teto anual (art. 37);</w:t>
      </w:r>
    </w:p>
    <w:p>
      <w:pPr>
        <w:ind w:left="850"/>
        <w:spacing w:before="0" w:after="60" w:line="276" w:lineRule="auto"/>
      </w:pPr>
      <w:r>
        <w:rPr>
          <w:sz w:val="24"/>
        </w:rPr>
        <w:t>Contribuinte efetua o depósito na Conta Vinculada do Projeto;</w:t>
      </w:r>
    </w:p>
    <w:p>
      <w:pPr>
        <w:ind w:left="850"/>
        <w:spacing w:before="0" w:after="60" w:line="276" w:lineRule="auto"/>
      </w:pPr>
      <w:r>
        <w:rPr>
          <w:sz w:val="24"/>
        </w:rPr>
        <w:t>Comprovado o depósito, o Município emite o Certificado de Incentivo Fiscal;</w:t>
      </w:r>
    </w:p>
    <w:p>
      <w:pPr>
        <w:ind w:left="850"/>
        <w:spacing w:before="0" w:after="60" w:line="276" w:lineRule="auto"/>
      </w:pPr>
      <w:r>
        <w:rPr>
          <w:sz w:val="24"/>
        </w:rPr>
        <w:t>O Certificado é utilizado pelo Contribuinte para abatimento do ISSQN ou IPTU devido, nos termos da Lei Complementar autorizativa.</w:t>
      </w:r>
    </w:p>
    <w:p>
      <w:pPr>
        <w:ind w:firstLine="709"/>
        <w:jc w:val="both"/>
        <w:spacing w:before="0" w:after="120" w:line="276" w:lineRule="auto"/>
      </w:pPr>
      <w:r>
        <w:rPr>
          <w:sz w:val="24"/>
        </w:rPr>
        <w:t>§ 2º A emissão do Certificado observa os prazos e o procedimento a serem detalhados em regulamento específico da SEFAZ, em articulação com a SDE.</w:t>
      </w:r>
    </w:p>
    <w:p>
      <w:pPr>
        <w:ind w:firstLine="709"/>
        <w:jc w:val="both"/>
        <w:spacing w:before="0" w:after="120" w:line="276" w:lineRule="auto"/>
      </w:pPr>
      <w:r>
        <w:rPr>
          <w:sz w:val="24"/>
        </w:rPr>
        <w:t>§ 3º É vedada a emissão de Certificado antes da efetiva comprovação do depósito na Conta Vinculada.</w:t>
      </w:r>
    </w:p>
    <w:p>
      <w:pPr>
        <w:jc w:val="center"/>
        <w:spacing w:before="160" w:after="80"/>
      </w:pPr>
      <w:r>
        <w:rPr>
          <w:b/>
          <w:sz w:val="24"/>
        </w:rPr>
        <w:t>Seção V-B — Da Conta Vinculada, captação mínima e teto anual</w:t>
      </w:r>
    </w:p>
    <w:p>
      <w:pPr>
        <w:ind w:firstLine="709"/>
        <w:jc w:val="both"/>
        <w:spacing w:before="0" w:after="120" w:line="276" w:lineRule="auto"/>
      </w:pPr>
      <w:r>
        <w:rPr>
          <w:sz w:val="24"/>
        </w:rPr>
        <w:t>Art. 37 A execução financeira do Projeto no Caminho B se dá por meio de Conta Vinculada do Projeto, aberta em nome do Proponente em instituição financeira oficial, exclusivamente destinada à recepção dos valores redirecionados por Contribuintes Incentivadores e ao pagamento das despesas do Projeto.</w:t>
      </w:r>
    </w:p>
    <w:p>
      <w:pPr>
        <w:ind w:firstLine="709"/>
        <w:jc w:val="both"/>
        <w:spacing w:before="0" w:after="120" w:line="276" w:lineRule="auto"/>
      </w:pPr>
      <w:r>
        <w:rPr>
          <w:sz w:val="24"/>
        </w:rPr>
        <w:t>§ 1º Aplicam-se à Conta Vinculada, no Caminho B, as mesmas regras de operação previstas no art. 36 do Caminho A (nexo de causalidade, vedação de saque em espécie, autonomia do Proponente dentro do objeto, aplicação obrigatória dos rendimentos financeiros no próprio Projeto).</w:t>
      </w:r>
    </w:p>
    <w:p>
      <w:pPr>
        <w:ind w:firstLine="709"/>
        <w:jc w:val="both"/>
        <w:spacing w:before="0" w:after="120" w:line="276" w:lineRule="auto"/>
      </w:pPr>
      <w:r>
        <w:rPr>
          <w:sz w:val="24"/>
        </w:rPr>
        <w:t>§ 2º A captação mínima para início da execução do Projeto é de 10% (dez por cento) do valor total aprovado na Carta de Captação, a ser integralizada na Conta Vinculada dentro do prazo de validade da Carta.</w:t>
      </w:r>
    </w:p>
    <w:p>
      <w:pPr>
        <w:ind w:firstLine="709"/>
        <w:jc w:val="both"/>
        <w:spacing w:before="0" w:after="120" w:line="276" w:lineRule="auto"/>
      </w:pPr>
      <w:r>
        <w:rPr>
          <w:sz w:val="24"/>
        </w:rPr>
        <w:t>§ 3º Projeto que não atingir a captação mínima no prazo da Carta, mesmo com a prorrogação prevista no art. 34, §3º, é considerado não executado por impossibilidade de captação, sem caracterização de inadimplemento e sem prejuízo da possibilidade de nova submissão em ciclos futuros.</w:t>
      </w:r>
    </w:p>
    <w:p>
      <w:pPr>
        <w:ind w:firstLine="709"/>
        <w:jc w:val="both"/>
        <w:spacing w:before="0" w:after="120" w:line="276" w:lineRule="auto"/>
      </w:pPr>
      <w:r>
        <w:rPr>
          <w:sz w:val="24"/>
        </w:rPr>
        <w:t>§ 4º O teto anual do Programa no Caminho B — valor máximo de redirecionamento fiscal autorizado no conjunto dos Projetos em cada exercício — será fixado pela Lei Complementar autorizativa, observada a compatibilidade com a Lei de Diretrizes Orçamentárias e a Lei Orçamentária Anual do Município, e demonstrada em nota técnica da SEFAZ (LRF, art. 14). [Decisão da PMJ — a definir na redação da LC]</w:t>
      </w:r>
    </w:p>
    <w:p>
      <w:pPr>
        <w:ind w:firstLine="709"/>
        <w:jc w:val="both"/>
        <w:spacing w:before="0" w:after="120" w:line="276" w:lineRule="auto"/>
      </w:pPr>
      <w:r>
        <w:rPr>
          <w:sz w:val="24"/>
        </w:rPr>
        <w:t>§ 5º Atingido o teto anual do Programa, novas captações serão suspensas até o exercício seguinte, mantidas as captações já realizadas e os Projetos em execução.</w:t>
      </w:r>
    </w:p>
    <w:p>
      <w:pPr>
        <w:jc w:val="center"/>
        <w:spacing w:before="160" w:after="80"/>
      </w:pPr>
      <w:r>
        <w:rPr>
          <w:b/>
          <w:sz w:val="24"/>
        </w:rPr>
        <w:t>Seção VI-B — Do saldo não captado e do saldo não executado</w:t>
      </w:r>
    </w:p>
    <w:p>
      <w:pPr>
        <w:ind w:firstLine="709"/>
        <w:jc w:val="both"/>
        <w:spacing w:before="0" w:after="120" w:line="276" w:lineRule="auto"/>
      </w:pPr>
      <w:r>
        <w:rPr>
          <w:sz w:val="24"/>
        </w:rPr>
        <w:t>Art. 38 Encerrado o prazo de validade da Carta de Captação (incluída a prorrogação do art. 34, §3º), aplicam-se as seguintes regras:</w:t>
      </w:r>
    </w:p>
    <w:p>
      <w:pPr>
        <w:ind w:left="850"/>
        <w:spacing w:before="0" w:after="60" w:line="276" w:lineRule="auto"/>
      </w:pPr>
      <w:r>
        <w:rPr>
          <w:sz w:val="24"/>
        </w:rPr>
        <w:t>a parcela não captada junto a Contribuintes Incentivadores fica automaticamente indisponível, sem prejuízo para o Município;</w:t>
      </w:r>
    </w:p>
    <w:p>
      <w:pPr>
        <w:ind w:left="850"/>
        <w:spacing w:before="0" w:after="60" w:line="276" w:lineRule="auto"/>
      </w:pPr>
      <w:r>
        <w:rPr>
          <w:sz w:val="24"/>
        </w:rPr>
        <w:t>a parcela captada e não executada na Conta Vinculada é devolvida ao FIT/Jlle pelo seu valor nominal, no prazo de 30 (trinta) dias contados da aprovação da prestação de contas final, sem correção monetária ou juros, nos mesmos termos do art. 38 do Caminho A;</w:t>
      </w:r>
    </w:p>
    <w:p>
      <w:pPr>
        <w:ind w:left="850"/>
        <w:spacing w:before="0" w:after="60" w:line="276" w:lineRule="auto"/>
      </w:pPr>
      <w:r>
        <w:rPr>
          <w:sz w:val="24"/>
        </w:rPr>
        <w:t>a ausência de devolução no prazo sujeita o Proponente ao regime de sanções do Capítulo VII, hipótese em que o valor passará a ser corrigido nos termos das normas da dívida ativa municipal.</w:t>
      </w:r>
    </w:p>
    <w:p>
      <w:pPr>
        <w:ind w:firstLine="709"/>
        <w:jc w:val="both"/>
        <w:spacing w:before="0" w:after="120" w:line="276" w:lineRule="auto"/>
      </w:pPr>
      <w:r>
        <w:rPr>
          <w:sz w:val="24"/>
        </w:rPr>
        <w:t>Parágrafo único. O Certificado de Incentivo Fiscal emitido em favor do Contribuinte Incentivador permanece válido ainda que o Projeto não seja integralmente executado, desde que o depósito original tenha sido efetivado regularmente — o Contribuinte cumpriu sua obrigação no ato do redirecionamento.</w:t>
      </w:r>
    </w:p>
    <w:p>
      <w:pPr>
        <w:jc w:val="center"/>
        <w:spacing w:before="320" w:after="80"/>
      </w:pPr>
      <w:r>
        <w:rPr>
          <w:b/>
          <w:sz w:val="24"/>
        </w:rPr>
        <w:t>EXECUÇÃO E PRESTAÇÃO DE CONTAS</w:t>
      </w:r>
    </w:p>
    <w:p>
      <w:pPr>
        <w:jc w:val="center"/>
        <w:spacing w:before="160" w:after="80"/>
      </w:pPr>
      <w:r>
        <w:rPr>
          <w:b/>
          <w:sz w:val="24"/>
        </w:rPr>
        <w:t>Seção I — Do plano de trabalho final</w:t>
      </w:r>
    </w:p>
    <w:p>
      <w:pPr>
        <w:ind w:firstLine="709"/>
        <w:jc w:val="both"/>
        <w:spacing w:before="0" w:after="120" w:line="276" w:lineRule="auto"/>
      </w:pPr>
      <w:r>
        <w:rPr>
          <w:sz w:val="24"/>
        </w:rPr>
        <w:t>Art. 39 Após a homologação, o Proponente apresentará à SDE o plano de trabalho final, consolidando o plano submetido no ciclo, com eventuais ajustes técnicos decorrentes de recomendações da Comissão Técnica ou do Comitê Decisório.</w:t>
      </w:r>
    </w:p>
    <w:p>
      <w:pPr>
        <w:ind w:firstLine="709"/>
        <w:jc w:val="both"/>
        <w:spacing w:before="0" w:after="120" w:line="276" w:lineRule="auto"/>
      </w:pPr>
      <w:r>
        <w:rPr>
          <w:sz w:val="24"/>
        </w:rPr>
        <w:t>§ 1º O plano de trabalho final contém: escopo do Projeto, metas mensuráveis, marcos técnicos, cronograma físico-financeiro detalhado, orçamento por rubrica e equipe alocada.</w:t>
      </w:r>
    </w:p>
    <w:p>
      <w:pPr>
        <w:ind w:firstLine="709"/>
        <w:jc w:val="both"/>
        <w:spacing w:before="0" w:after="120" w:line="276" w:lineRule="auto"/>
      </w:pPr>
      <w:r>
        <w:rPr>
          <w:sz w:val="24"/>
        </w:rPr>
        <w:t>§ 2º O plano de trabalho final integra o instrumento contratual (Contrato de apoio financeiro no Caminho A, ou termo de compromisso no Caminho B) e vincula o Proponente durante toda a execução.</w:t>
      </w:r>
    </w:p>
    <w:p>
      <w:pPr>
        <w:jc w:val="center"/>
        <w:spacing w:before="160" w:after="80"/>
      </w:pPr>
      <w:r>
        <w:rPr>
          <w:b/>
          <w:sz w:val="24"/>
        </w:rPr>
        <w:t>Seção II — Da execução do Projeto</w:t>
      </w:r>
    </w:p>
    <w:p>
      <w:pPr>
        <w:ind w:firstLine="709"/>
        <w:jc w:val="both"/>
        <w:spacing w:before="0" w:after="120" w:line="276" w:lineRule="auto"/>
      </w:pPr>
      <w:r>
        <w:rPr>
          <w:sz w:val="24"/>
        </w:rPr>
        <w:t>Art. 40 O prazo de execução do Projeto é de 12 (doze) meses, contados da data de assinatura do instrumento contratual ou, quando aplicável, da data de integralização da captação mínima prevista no art. 37, §2º.</w:t>
      </w:r>
    </w:p>
    <w:p>
      <w:pPr>
        <w:ind w:firstLine="709"/>
        <w:jc w:val="both"/>
        <w:spacing w:before="0" w:after="120" w:line="276" w:lineRule="auto"/>
      </w:pPr>
      <w:r>
        <w:rPr>
          <w:sz w:val="24"/>
        </w:rPr>
        <w:t>§ 1º O Proponente executará o Projeto em estrita observância ao plano de trabalho final, preservando o objeto, as metas principais e o orçamento aprovados.</w:t>
      </w:r>
    </w:p>
    <w:p>
      <w:pPr>
        <w:ind w:firstLine="709"/>
        <w:jc w:val="both"/>
        <w:spacing w:before="0" w:after="120" w:line="276" w:lineRule="auto"/>
      </w:pPr>
      <w:r>
        <w:rPr>
          <w:sz w:val="24"/>
        </w:rPr>
        <w:t>§ 2º Admite-se 1 (uma) prorrogação única de até 6 (seis) meses, mediante requerimento fundamentado do Proponente à SDE, apresentado antes do término do prazo original e acompanhado de relatório parcial de execução e plano de ajuste.</w:t>
      </w:r>
    </w:p>
    <w:p>
      <w:pPr>
        <w:ind w:firstLine="709"/>
        <w:jc w:val="both"/>
        <w:spacing w:before="0" w:after="120" w:line="276" w:lineRule="auto"/>
      </w:pPr>
      <w:r>
        <w:rPr>
          <w:sz w:val="24"/>
        </w:rPr>
        <w:t>§ 3º A SDE decidirá sobre a prorrogação em até 15 (quinze) dias úteis, com parecer técnico fundamentado.</w:t>
      </w:r>
    </w:p>
    <w:p>
      <w:pPr>
        <w:ind w:firstLine="709"/>
        <w:jc w:val="both"/>
        <w:spacing w:before="0" w:after="120" w:line="276" w:lineRule="auto"/>
      </w:pPr>
      <w:r>
        <w:rPr>
          <w:sz w:val="24"/>
        </w:rPr>
        <w:t>§ 4º Não cabe segunda prorrogação. Esgotado o prazo prorrogado, o Projeto deverá ser encerrado e ter sua prestação de contas final iniciada, nos termos deste Capítulo.</w:t>
      </w:r>
    </w:p>
    <w:p>
      <w:pPr>
        <w:jc w:val="center"/>
        <w:spacing w:before="160" w:after="80"/>
      </w:pPr>
      <w:r>
        <w:rPr>
          <w:b/>
          <w:sz w:val="24"/>
        </w:rPr>
        <w:t>Seção III — Dos aditivos contratuais</w:t>
      </w:r>
    </w:p>
    <w:p>
      <w:pPr>
        <w:ind w:firstLine="709"/>
        <w:jc w:val="both"/>
        <w:spacing w:before="0" w:after="120" w:line="276" w:lineRule="auto"/>
      </w:pPr>
      <w:r>
        <w:rPr>
          <w:sz w:val="24"/>
        </w:rPr>
        <w:t>Art. 41 Durante a execução, admitem-se aditivos contratuais para alteração de escopo, metas, equipe técnica ou cronograma, mediante parecer favorável da SDE, desde que preservados o objeto do Projeto, as metas principais e o orçamento total aprovado.</w:t>
      </w:r>
    </w:p>
    <w:p>
      <w:pPr>
        <w:ind w:firstLine="709"/>
        <w:jc w:val="both"/>
        <w:spacing w:before="0" w:after="120" w:line="276" w:lineRule="auto"/>
      </w:pPr>
      <w:r>
        <w:rPr>
          <w:sz w:val="24"/>
        </w:rPr>
        <w:t>§ 1º O requerimento de aditivo é formulado pelo Proponente, com fundamentação técnica e, quando houver, manifestação do API de vinculação.</w:t>
      </w:r>
    </w:p>
    <w:p>
      <w:pPr>
        <w:ind w:firstLine="709"/>
        <w:jc w:val="both"/>
        <w:spacing w:before="0" w:after="120" w:line="276" w:lineRule="auto"/>
      </w:pPr>
      <w:r>
        <w:rPr>
          <w:sz w:val="24"/>
        </w:rPr>
        <w:t>§ 2º A SDE decidirá sobre o aditivo em até 15 (quinze) dias úteis, ouvida a CGM quando houver impacto financeiro relevante.</w:t>
      </w:r>
    </w:p>
    <w:p>
      <w:pPr>
        <w:ind w:firstLine="709"/>
        <w:jc w:val="both"/>
        <w:spacing w:before="0" w:after="120" w:line="276" w:lineRule="auto"/>
      </w:pPr>
      <w:r>
        <w:rPr>
          <w:sz w:val="24"/>
        </w:rPr>
        <w:t>§ 3º São vedados aditivos que: (i) descaracterizem o objeto do Projeto aprovado; (ii) elevem o valor total do apoio acima do teto do art. 32; (iii) transfiram a titularidade do Projeto a pessoa diversa do Proponente, ressalvadas as hipóteses do art. 7º, §2º (migração PF→PJ), do art. 47 (sucessão) e do art. 13 (participação conjunta).</w:t>
      </w:r>
    </w:p>
    <w:p>
      <w:pPr>
        <w:ind w:firstLine="709"/>
        <w:jc w:val="both"/>
        <w:spacing w:before="0" w:after="120" w:line="276" w:lineRule="auto"/>
      </w:pPr>
      <w:r>
        <w:rPr>
          <w:sz w:val="24"/>
        </w:rPr>
        <w:t>§ 4º A troca de API de vinculação durante a execução segue o regime do art. 9º, §4º.</w:t>
      </w:r>
    </w:p>
    <w:p>
      <w:pPr>
        <w:jc w:val="center"/>
        <w:spacing w:before="160" w:after="80"/>
      </w:pPr>
      <w:r>
        <w:rPr>
          <w:b/>
          <w:sz w:val="24"/>
        </w:rPr>
        <w:t>Seção IV — Da divulgação do apoio</w:t>
      </w:r>
    </w:p>
    <w:p>
      <w:pPr>
        <w:ind w:firstLine="709"/>
        <w:jc w:val="both"/>
        <w:spacing w:before="0" w:after="120" w:line="276" w:lineRule="auto"/>
      </w:pPr>
      <w:r>
        <w:rPr>
          <w:sz w:val="24"/>
        </w:rPr>
        <w:t>Art. 42 O Proponente obriga-se a mencionar expressamente o apoio do Programa em todos os materiais públicos de comunicação relacionados ao Projeto, durante toda a execução e pelos 2 (dois) exercícios seguintes à prestação de contas final.</w:t>
      </w:r>
    </w:p>
    <w:p>
      <w:pPr>
        <w:ind w:firstLine="709"/>
        <w:jc w:val="both"/>
        <w:spacing w:before="0" w:after="120" w:line="276" w:lineRule="auto"/>
      </w:pPr>
      <w:r>
        <w:rPr>
          <w:sz w:val="24"/>
        </w:rPr>
        <w:t>§ 1º A obrigação de divulgação aplica-se, no mínimo, aos seguintes materiais:</w:t>
      </w:r>
    </w:p>
    <w:p>
      <w:pPr>
        <w:ind w:left="850"/>
        <w:spacing w:before="0" w:after="60" w:line="276" w:lineRule="auto"/>
      </w:pPr>
      <w:r>
        <w:rPr>
          <w:sz w:val="24"/>
        </w:rPr>
        <w:t>sítio eletrônico e perfis oficiais do Proponente em redes sociais;</w:t>
      </w:r>
    </w:p>
    <w:p>
      <w:pPr>
        <w:ind w:left="850"/>
        <w:spacing w:before="0" w:after="60" w:line="276" w:lineRule="auto"/>
      </w:pPr>
      <w:r>
        <w:rPr>
          <w:sz w:val="24"/>
        </w:rPr>
        <w:t>apresentações comerciais, institucionais e a investidores (investor decks), quando o Projeto for objeto direto;</w:t>
      </w:r>
    </w:p>
    <w:p>
      <w:pPr>
        <w:ind w:left="850"/>
        <w:spacing w:before="0" w:after="60" w:line="276" w:lineRule="auto"/>
      </w:pPr>
      <w:r>
        <w:rPr>
          <w:sz w:val="24"/>
        </w:rPr>
        <w:t>materiais promocionais (vídeos, folders, releases, peças publicitárias) do Projeto;</w:t>
      </w:r>
    </w:p>
    <w:p>
      <w:pPr>
        <w:ind w:left="850"/>
        <w:spacing w:before="0" w:after="60" w:line="276" w:lineRule="auto"/>
      </w:pPr>
      <w:r>
        <w:rPr>
          <w:sz w:val="24"/>
        </w:rPr>
        <w:t>eventos, feiras e apresentações públicas em que o Projeto seja demonstrado;</w:t>
      </w:r>
    </w:p>
    <w:p>
      <w:pPr>
        <w:ind w:left="850"/>
        <w:spacing w:before="0" w:after="60" w:line="276" w:lineRule="auto"/>
      </w:pPr>
      <w:r>
        <w:rPr>
          <w:sz w:val="24"/>
        </w:rPr>
        <w:t>publicações científicas, técnicas ou de divulgação vinculadas ao Projeto.</w:t>
      </w:r>
    </w:p>
    <w:p>
      <w:pPr>
        <w:ind w:firstLine="709"/>
        <w:jc w:val="both"/>
        <w:spacing w:before="0" w:after="120" w:line="276" w:lineRule="auto"/>
      </w:pPr>
      <w:r>
        <w:rPr>
          <w:sz w:val="24"/>
        </w:rPr>
        <w:t>§ 2º A SDE disponibilizará manual de identidade visual com logos e padrões de menção obrigatória.</w:t>
      </w:r>
    </w:p>
    <w:p>
      <w:pPr>
        <w:ind w:firstLine="709"/>
        <w:jc w:val="both"/>
        <w:spacing w:before="0" w:after="120" w:line="276" w:lineRule="auto"/>
      </w:pPr>
      <w:r>
        <w:rPr>
          <w:sz w:val="24"/>
        </w:rPr>
        <w:t>§ 3º O descumprimento da obrigação de divulgação, uma vez notificado e não sanado em prazo razoável, configura infração sujeita às sanções do Capítulo VII, proporcionalmente à gravidade.</w:t>
      </w:r>
    </w:p>
    <w:p>
      <w:pPr>
        <w:jc w:val="center"/>
        <w:spacing w:before="160" w:after="80"/>
      </w:pPr>
      <w:r>
        <w:rPr>
          <w:b/>
          <w:sz w:val="24"/>
        </w:rPr>
        <w:t>Seção V — Do caso fortuito e força maior</w:t>
      </w:r>
    </w:p>
    <w:p>
      <w:pPr>
        <w:ind w:firstLine="709"/>
        <w:jc w:val="both"/>
        <w:spacing w:before="0" w:after="120" w:line="276" w:lineRule="auto"/>
      </w:pPr>
      <w:r>
        <w:rPr>
          <w:sz w:val="24"/>
        </w:rPr>
        <w:t>Art. 43 Nas hipóteses de caso fortuito ou força maior — eventos externos, imprevisíveis e inevitáveis que impossibilitem, temporariamente, a execução do Projeto —, o Proponente comunicará à SDE em até 30 (trinta) dias da ocorrência, requerendo a suspensão dos prazos do Projeto.</w:t>
      </w:r>
    </w:p>
    <w:p>
      <w:pPr>
        <w:ind w:firstLine="709"/>
        <w:jc w:val="both"/>
        <w:spacing w:before="0" w:after="120" w:line="276" w:lineRule="auto"/>
      </w:pPr>
      <w:r>
        <w:rPr>
          <w:sz w:val="24"/>
        </w:rPr>
        <w:t>§ 1º A SDE, ouvido o Proponente e, quando necessário, a CGM, poderá conceder suspensão dos prazos de execução por até 12 (doze) meses, cessando a contagem dos marcos, do prazo de execução (art. 40) e das obrigações de prestação de contas parcial (art. 44) pelo período suspenso.</w:t>
      </w:r>
    </w:p>
    <w:p>
      <w:pPr>
        <w:ind w:firstLine="709"/>
        <w:jc w:val="both"/>
        <w:spacing w:before="0" w:after="120" w:line="276" w:lineRule="auto"/>
      </w:pPr>
      <w:r>
        <w:rPr>
          <w:sz w:val="24"/>
        </w:rPr>
        <w:t>§ 2º Cessada a causa, o Proponente comunica à SDE e retoma a execução, com reprogramação pactuada do cronograma.</w:t>
      </w:r>
    </w:p>
    <w:p>
      <w:pPr>
        <w:ind w:firstLine="709"/>
        <w:jc w:val="both"/>
        <w:spacing w:before="0" w:after="120" w:line="276" w:lineRule="auto"/>
      </w:pPr>
      <w:r>
        <w:rPr>
          <w:sz w:val="24"/>
        </w:rPr>
        <w:t>§ 3º Se, ao término do período máximo de suspensão, a execução ainda se mostrar inviável, o Projeto será encerrado sem caracterização de inadimplemento, com devolução do saldo não executado nos termos do art. 46.</w:t>
      </w:r>
    </w:p>
    <w:p>
      <w:pPr>
        <w:jc w:val="center"/>
        <w:spacing w:before="160" w:after="80"/>
      </w:pPr>
      <w:r>
        <w:rPr>
          <w:b/>
          <w:sz w:val="24"/>
        </w:rPr>
        <w:t>Seção VI — Da prestação de contas parcial</w:t>
      </w:r>
    </w:p>
    <w:p>
      <w:pPr>
        <w:ind w:firstLine="709"/>
        <w:jc w:val="both"/>
        <w:spacing w:before="0" w:after="120" w:line="276" w:lineRule="auto"/>
      </w:pPr>
      <w:r>
        <w:rPr>
          <w:sz w:val="24"/>
        </w:rPr>
        <w:t>Art. 44 O Proponente apresentará à SDE prestação de contas parcial anual a cada 12 (doze) meses de execução, ou antes, quando solicitado pela SDE em razão de evento específico.</w:t>
      </w:r>
    </w:p>
    <w:p>
      <w:pPr>
        <w:ind w:firstLine="709"/>
        <w:jc w:val="both"/>
        <w:spacing w:before="0" w:after="120" w:line="276" w:lineRule="auto"/>
      </w:pPr>
      <w:r>
        <w:rPr>
          <w:sz w:val="24"/>
        </w:rPr>
        <w:t>§ 1º A prestação parcial contém, no mínimo:</w:t>
      </w:r>
    </w:p>
    <w:p>
      <w:pPr>
        <w:ind w:left="850"/>
        <w:spacing w:before="0" w:after="60" w:line="276" w:lineRule="auto"/>
      </w:pPr>
      <w:r>
        <w:rPr>
          <w:sz w:val="24"/>
        </w:rPr>
        <w:t>relatório de execução técnica, com marcos alcançados, metas parciais atingidas e eventuais desvios justificados;</w:t>
      </w:r>
    </w:p>
    <w:p>
      <w:pPr>
        <w:ind w:left="850"/>
        <w:spacing w:before="0" w:after="60" w:line="276" w:lineRule="auto"/>
      </w:pPr>
      <w:r>
        <w:rPr>
          <w:sz w:val="24"/>
        </w:rPr>
        <w:t>relatório financeiro, com despesas pagas, rubricas, comprovação fiscal e conciliação bancária da Conta Vinculada;</w:t>
      </w:r>
    </w:p>
    <w:p>
      <w:pPr>
        <w:ind w:left="850"/>
        <w:spacing w:before="0" w:after="60" w:line="276" w:lineRule="auto"/>
      </w:pPr>
      <w:r>
        <w:rPr>
          <w:sz w:val="24"/>
        </w:rPr>
        <w:t>documentos comprobatórios (notas fiscais, recibos, extratos) de despesas do período;</w:t>
      </w:r>
    </w:p>
    <w:p>
      <w:pPr>
        <w:ind w:left="850"/>
        <w:spacing w:before="0" w:after="60" w:line="276" w:lineRule="auto"/>
      </w:pPr>
      <w:r>
        <w:rPr>
          <w:sz w:val="24"/>
        </w:rPr>
        <w:t>evidências de divulgação do apoio (art. 42).</w:t>
      </w:r>
    </w:p>
    <w:p>
      <w:pPr>
        <w:ind w:firstLine="709"/>
        <w:jc w:val="both"/>
        <w:spacing w:before="0" w:after="120" w:line="276" w:lineRule="auto"/>
      </w:pPr>
      <w:r>
        <w:rPr>
          <w:sz w:val="24"/>
        </w:rPr>
        <w:t>§ 2º A SDE analisará a prestação parcial em até 30 (trinta) dias úteis, podendo solicitar complementação documental.</w:t>
      </w:r>
    </w:p>
    <w:p>
      <w:pPr>
        <w:ind w:firstLine="709"/>
        <w:jc w:val="both"/>
        <w:spacing w:before="0" w:after="120" w:line="276" w:lineRule="auto"/>
      </w:pPr>
      <w:r>
        <w:rPr>
          <w:sz w:val="24"/>
        </w:rPr>
        <w:t>§ 3º Se a análise identificar irregularidade significativa, a SDE notificará o Proponente para sanear em prazo compatível e, persistindo a irregularidade, aplicará o rito de sanção do Capítulo VII.</w:t>
      </w:r>
    </w:p>
    <w:p>
      <w:pPr>
        <w:jc w:val="center"/>
        <w:spacing w:before="160" w:after="80"/>
      </w:pPr>
      <w:r>
        <w:rPr>
          <w:b/>
          <w:sz w:val="24"/>
        </w:rPr>
        <w:t>Seção VII — Da prestação de contas final</w:t>
      </w:r>
    </w:p>
    <w:p>
      <w:pPr>
        <w:ind w:firstLine="709"/>
        <w:jc w:val="both"/>
        <w:spacing w:before="0" w:after="120" w:line="276" w:lineRule="auto"/>
      </w:pPr>
      <w:r>
        <w:rPr>
          <w:sz w:val="24"/>
        </w:rPr>
        <w:t>Art. 45 Encerrada a execução do Projeto, o Proponente apresentará prestação de contas final à SDE no prazo de 90 (noventa) dias contados da data do último empenho ou do término do prazo de execução, o que ocorrer primeiro.</w:t>
      </w:r>
    </w:p>
    <w:p>
      <w:pPr>
        <w:ind w:firstLine="709"/>
        <w:jc w:val="both"/>
        <w:spacing w:before="0" w:after="120" w:line="276" w:lineRule="auto"/>
      </w:pPr>
      <w:r>
        <w:rPr>
          <w:sz w:val="24"/>
        </w:rPr>
        <w:t>§ 1º A prestação final contém:</w:t>
      </w:r>
    </w:p>
    <w:p>
      <w:pPr>
        <w:ind w:left="850"/>
        <w:spacing w:before="0" w:after="60" w:line="276" w:lineRule="auto"/>
      </w:pPr>
      <w:r>
        <w:rPr>
          <w:sz w:val="24"/>
        </w:rPr>
        <w:t>relatório de execução técnica consolidado, com todas as metas, entregas, marcos, resultados obtidos e eventuais desvios;</w:t>
      </w:r>
    </w:p>
    <w:p>
      <w:pPr>
        <w:ind w:left="850"/>
        <w:spacing w:before="0" w:after="60" w:line="276" w:lineRule="auto"/>
      </w:pPr>
      <w:r>
        <w:rPr>
          <w:sz w:val="24"/>
        </w:rPr>
        <w:t>relatório financeiro consolidado com a execução completa do orçamento;</w:t>
      </w:r>
    </w:p>
    <w:p>
      <w:pPr>
        <w:ind w:left="850"/>
        <w:spacing w:before="0" w:after="60" w:line="276" w:lineRule="auto"/>
      </w:pPr>
      <w:r>
        <w:rPr>
          <w:sz w:val="24"/>
        </w:rPr>
        <w:t>documentos comprobatórios de todas as despesas realizadas, segregados por rubrica;</w:t>
      </w:r>
    </w:p>
    <w:p>
      <w:pPr>
        <w:ind w:left="850"/>
        <w:spacing w:before="0" w:after="60" w:line="276" w:lineRule="auto"/>
      </w:pPr>
      <w:r>
        <w:rPr>
          <w:sz w:val="24"/>
        </w:rPr>
        <w:t>conciliação bancária final da Conta Vinculada;</w:t>
      </w:r>
    </w:p>
    <w:p>
      <w:pPr>
        <w:ind w:left="850"/>
        <w:spacing w:before="0" w:after="60" w:line="276" w:lineRule="auto"/>
      </w:pPr>
      <w:r>
        <w:rPr>
          <w:sz w:val="24"/>
        </w:rPr>
        <w:t>comprovante da devolução do saldo não executado, quando aplicável (art. 46);</w:t>
      </w:r>
    </w:p>
    <w:p>
      <w:pPr>
        <w:ind w:left="850"/>
        <w:spacing w:before="0" w:after="60" w:line="276" w:lineRule="auto"/>
      </w:pPr>
      <w:r>
        <w:rPr>
          <w:sz w:val="24"/>
        </w:rPr>
        <w:t>evidências consolidadas de divulgação do apoio (art. 42);</w:t>
      </w:r>
    </w:p>
    <w:p>
      <w:pPr>
        <w:ind w:left="850"/>
        <w:spacing w:before="0" w:after="60" w:line="276" w:lineRule="auto"/>
      </w:pPr>
      <w:r>
        <w:rPr>
          <w:sz w:val="24"/>
        </w:rPr>
        <w:t>relatório síntese de impactos, com indicadores relevantes aos KPIs do Programa (Capítulo VIII).</w:t>
      </w:r>
    </w:p>
    <w:p>
      <w:pPr>
        <w:ind w:firstLine="709"/>
        <w:jc w:val="both"/>
        <w:spacing w:before="0" w:after="120" w:line="276" w:lineRule="auto"/>
      </w:pPr>
      <w:r>
        <w:rPr>
          <w:sz w:val="24"/>
        </w:rPr>
        <w:t>§ 2º A SDE analisará a prestação final em até 60 (sessenta) dias úteis, com parecer da CGM.</w:t>
      </w:r>
    </w:p>
    <w:p>
      <w:pPr>
        <w:ind w:firstLine="709"/>
        <w:jc w:val="both"/>
        <w:spacing w:before="0" w:after="120" w:line="276" w:lineRule="auto"/>
      </w:pPr>
      <w:r>
        <w:rPr>
          <w:sz w:val="24"/>
        </w:rPr>
        <w:t>§ 3º A aprovação da prestação de contas final é condição para:</w:t>
      </w:r>
    </w:p>
    <w:p>
      <w:pPr>
        <w:ind w:left="850"/>
        <w:spacing w:before="0" w:after="60" w:line="276" w:lineRule="auto"/>
      </w:pPr>
      <w:r>
        <w:rPr>
          <w:sz w:val="24"/>
        </w:rPr>
        <w:t>liberação de nova submissão pelo mesmo Proponente em ciclos futuros (art. 10, §1º);</w:t>
      </w:r>
    </w:p>
    <w:p>
      <w:pPr>
        <w:ind w:left="850"/>
        <w:spacing w:before="0" w:after="60" w:line="276" w:lineRule="auto"/>
      </w:pPr>
      <w:r>
        <w:rPr>
          <w:sz w:val="24"/>
        </w:rPr>
        <w:t>encerramento definitivo das obrigações contratuais do Projeto;</w:t>
      </w:r>
    </w:p>
    <w:p>
      <w:pPr>
        <w:ind w:left="850"/>
        <w:spacing w:before="0" w:after="60" w:line="276" w:lineRule="auto"/>
      </w:pPr>
      <w:r>
        <w:rPr>
          <w:sz w:val="24"/>
        </w:rPr>
        <w:t>emissão de atestado de cumprimento.</w:t>
      </w:r>
    </w:p>
    <w:p>
      <w:pPr>
        <w:ind w:firstLine="709"/>
        <w:jc w:val="both"/>
        <w:spacing w:before="0" w:after="120" w:line="276" w:lineRule="auto"/>
      </w:pPr>
      <w:r>
        <w:rPr>
          <w:sz w:val="24"/>
        </w:rPr>
        <w:t>§ 4º Identificada irregularidade, a SDE instaura processo administrativo, observados o contraditório e a ampla defesa, com possibilidade de aplicação das sanções do Capítulo VII.</w:t>
      </w:r>
    </w:p>
    <w:p>
      <w:pPr>
        <w:jc w:val="center"/>
        <w:spacing w:before="160" w:after="80"/>
      </w:pPr>
      <w:r>
        <w:rPr>
          <w:b/>
          <w:sz w:val="24"/>
        </w:rPr>
        <w:t>Seção VIII — Da devolução de saldo</w:t>
      </w:r>
    </w:p>
    <w:p>
      <w:pPr>
        <w:ind w:firstLine="709"/>
        <w:jc w:val="both"/>
        <w:spacing w:before="0" w:after="120" w:line="276" w:lineRule="auto"/>
      </w:pPr>
      <w:r>
        <w:rPr>
          <w:sz w:val="24"/>
        </w:rPr>
        <w:t>Art. 46 O saldo remanescente na Conta Vinculada do Projeto, ao término da execução, é devolvido ao FIT/Jlle pelo valor nominal, sem correção monetária ou juros, nos termos do art. 38 deste Decreto.</w:t>
      </w:r>
    </w:p>
    <w:p>
      <w:pPr>
        <w:ind w:firstLine="709"/>
        <w:jc w:val="both"/>
        <w:spacing w:before="0" w:after="120" w:line="276" w:lineRule="auto"/>
      </w:pPr>
      <w:r>
        <w:rPr>
          <w:sz w:val="24"/>
        </w:rPr>
        <w:t>§ 1º A devolução ocorre no prazo de até 30 (trinta) dias contados da aprovação da prestação de contas final.</w:t>
      </w:r>
    </w:p>
    <w:p>
      <w:pPr>
        <w:ind w:firstLine="709"/>
        <w:jc w:val="both"/>
        <w:spacing w:before="0" w:after="120" w:line="276" w:lineRule="auto"/>
      </w:pPr>
      <w:r>
        <w:rPr>
          <w:sz w:val="24"/>
        </w:rPr>
        <w:t>§ 2º A ausência de devolução no prazo sujeita o Proponente ao regime de sanções do Capítulo VII, com inscrição do valor devido em dívida ativa municipal, passando a correr correção e juros nos termos das normas aplicáveis.</w:t>
      </w:r>
    </w:p>
    <w:p>
      <w:pPr>
        <w:jc w:val="center"/>
        <w:spacing w:before="160" w:after="80"/>
      </w:pPr>
      <w:r>
        <w:rPr>
          <w:b/>
          <w:sz w:val="24"/>
        </w:rPr>
        <w:t>Seção IX — Da sucessão do Projeto</w:t>
      </w:r>
    </w:p>
    <w:p>
      <w:pPr>
        <w:ind w:firstLine="709"/>
        <w:jc w:val="both"/>
        <w:spacing w:before="0" w:after="120" w:line="276" w:lineRule="auto"/>
      </w:pPr>
      <w:r>
        <w:rPr>
          <w:sz w:val="24"/>
        </w:rPr>
        <w:t>Art. 47 Em caso de morte, incapacidade civil, dissolução ou falência do Proponente durante a execução, o Projeto poderá ser transferido a sócio, herdeiro ou sucessor legal, mediante aditivo contratual, desde que o sucessor:</w:t>
      </w:r>
    </w:p>
    <w:p>
      <w:pPr>
        <w:ind w:left="850"/>
        <w:spacing w:before="0" w:after="60" w:line="276" w:lineRule="auto"/>
      </w:pPr>
      <w:r>
        <w:rPr>
          <w:sz w:val="24"/>
        </w:rPr>
        <w:t>atenda integralmente aos requisitos de elegibilidade (art. 7º) e de habilitação (art. 8º);</w:t>
      </w:r>
    </w:p>
    <w:p>
      <w:pPr>
        <w:ind w:left="850"/>
        <w:spacing w:before="0" w:after="60" w:line="276" w:lineRule="auto"/>
      </w:pPr>
      <w:r>
        <w:rPr>
          <w:sz w:val="24"/>
        </w:rPr>
        <w:t>não incorra em qualquer das vedações subjetivas do art. 11;</w:t>
      </w:r>
    </w:p>
    <w:p>
      <w:pPr>
        <w:ind w:left="850"/>
        <w:spacing w:before="0" w:after="60" w:line="276" w:lineRule="auto"/>
      </w:pPr>
      <w:r>
        <w:rPr>
          <w:sz w:val="24"/>
        </w:rPr>
        <w:t>preserve o objeto, as metas principais e o orçamento aprovado do Projeto;</w:t>
      </w:r>
    </w:p>
    <w:p>
      <w:pPr>
        <w:ind w:left="850"/>
        <w:spacing w:before="0" w:after="60" w:line="276" w:lineRule="auto"/>
      </w:pPr>
      <w:r>
        <w:rPr>
          <w:sz w:val="24"/>
        </w:rPr>
        <w:t>mantenha ou renove a vinculação a API credenciado (art. 9º).</w:t>
      </w:r>
    </w:p>
    <w:p>
      <w:pPr>
        <w:ind w:firstLine="709"/>
        <w:jc w:val="both"/>
        <w:spacing w:before="0" w:after="120" w:line="276" w:lineRule="auto"/>
      </w:pPr>
      <w:r>
        <w:rPr>
          <w:sz w:val="24"/>
        </w:rPr>
        <w:t>§ 1º O requerimento de sucessão é protocolado pela parte interessada em até 90 (noventa) dias do evento sucessório, acompanhado de documentação comprobatória.</w:t>
      </w:r>
    </w:p>
    <w:p>
      <w:pPr>
        <w:ind w:firstLine="709"/>
        <w:jc w:val="both"/>
        <w:spacing w:before="0" w:after="120" w:line="276" w:lineRule="auto"/>
      </w:pPr>
      <w:r>
        <w:rPr>
          <w:sz w:val="24"/>
        </w:rPr>
        <w:t>§ 2º A SDE decide sobre a sucessão em até 30 (trinta) dias, ouvidas a PGM e a CGM.</w:t>
      </w:r>
    </w:p>
    <w:p>
      <w:pPr>
        <w:ind w:firstLine="709"/>
        <w:jc w:val="both"/>
        <w:spacing w:before="0" w:after="120" w:line="276" w:lineRule="auto"/>
      </w:pPr>
      <w:r>
        <w:rPr>
          <w:sz w:val="24"/>
        </w:rPr>
        <w:t>§ 3º Indeferida ou não requerida a sucessão no prazo, o Projeto é encerrado com devolução do saldo não executado nos termos do art. 46, sem caracterização de inadimplemento.</w:t>
      </w:r>
    </w:p>
    <w:p>
      <w:pPr>
        <w:jc w:val="center"/>
        <w:spacing w:before="160" w:after="80"/>
      </w:pPr>
      <w:r>
        <w:rPr>
          <w:b/>
          <w:sz w:val="24"/>
        </w:rPr>
        <w:t>Seção X — Da desistência voluntária</w:t>
      </w:r>
    </w:p>
    <w:p>
      <w:pPr>
        <w:ind w:firstLine="709"/>
        <w:jc w:val="both"/>
        <w:spacing w:before="0" w:after="120" w:line="276" w:lineRule="auto"/>
      </w:pPr>
      <w:r>
        <w:rPr>
          <w:sz w:val="24"/>
        </w:rPr>
        <w:t>Art. 48 O Proponente pode, a qualquer tempo durante a execução, desistir voluntariamente do Projeto, mediante comunicação formal à SDE.</w:t>
      </w:r>
    </w:p>
    <w:p>
      <w:pPr>
        <w:ind w:firstLine="709"/>
        <w:jc w:val="both"/>
        <w:spacing w:before="0" w:after="120" w:line="276" w:lineRule="auto"/>
      </w:pPr>
      <w:r>
        <w:rPr>
          <w:sz w:val="24"/>
        </w:rPr>
        <w:t>§ 1º A desistência não caracteriza inadimplemento e não enseja aplicação das sanções do Capítulo VII, desde que acompanhada de:</w:t>
      </w:r>
    </w:p>
    <w:p>
      <w:pPr>
        <w:ind w:left="850"/>
        <w:spacing w:before="0" w:after="60" w:line="276" w:lineRule="auto"/>
      </w:pPr>
      <w:r>
        <w:rPr>
          <w:sz w:val="24"/>
        </w:rPr>
        <w:t>relatório técnico do estado do Projeto na data da desistência;</w:t>
      </w:r>
    </w:p>
    <w:p>
      <w:pPr>
        <w:ind w:left="850"/>
        <w:spacing w:before="0" w:after="60" w:line="276" w:lineRule="auto"/>
      </w:pPr>
      <w:r>
        <w:rPr>
          <w:sz w:val="24"/>
        </w:rPr>
        <w:t>devolução ao FIT/Jlle do saldo não executado da Conta Vinculada, pelo valor nominal, no prazo de 30 (trinta) dias;</w:t>
      </w:r>
    </w:p>
    <w:p>
      <w:pPr>
        <w:ind w:left="850"/>
        <w:spacing w:before="0" w:after="60" w:line="276" w:lineRule="auto"/>
      </w:pPr>
      <w:r>
        <w:rPr>
          <w:sz w:val="24"/>
        </w:rPr>
        <w:t>prestação de contas parcial de todas as despesas já realizadas, observadas as exigências do art. 44.</w:t>
      </w:r>
    </w:p>
    <w:p>
      <w:pPr>
        <w:ind w:firstLine="709"/>
        <w:jc w:val="both"/>
        <w:spacing w:before="0" w:after="120" w:line="276" w:lineRule="auto"/>
      </w:pPr>
      <w:r>
        <w:rPr>
          <w:sz w:val="24"/>
        </w:rPr>
        <w:t>§ 2º O Proponente desistente pode apresentar novo Projeto em ciclos futuros, desde que aprovada a prestação parcial da desistência e mantidos os demais requisitos de elegibilidade.</w:t>
      </w:r>
    </w:p>
    <w:p>
      <w:pPr>
        <w:ind w:firstLine="709"/>
        <w:jc w:val="both"/>
        <w:spacing w:before="0" w:after="120" w:line="276" w:lineRule="auto"/>
      </w:pPr>
      <w:r>
        <w:rPr>
          <w:sz w:val="24"/>
        </w:rPr>
        <w:t>§ 3º Ocultação, desvio de finalidade ou desistência acompanhada de irregularidade descaracteriza o regime deste artigo e remete o caso ao Capítulo VII.</w:t>
      </w:r>
    </w:p>
    <w:p>
      <w:pPr>
        <w:jc w:val="center"/>
        <w:spacing w:before="160" w:after="80"/>
      </w:pPr>
      <w:r>
        <w:rPr>
          <w:b/>
          <w:sz w:val="24"/>
        </w:rPr>
        <w:t>Seção XI — Da propriedade intelectual</w:t>
      </w:r>
    </w:p>
    <w:p>
      <w:pPr>
        <w:ind w:firstLine="709"/>
        <w:jc w:val="both"/>
        <w:spacing w:before="0" w:after="120" w:line="276" w:lineRule="auto"/>
      </w:pPr>
      <w:r>
        <w:rPr>
          <w:sz w:val="24"/>
        </w:rPr>
        <w:t>Art. 49 A propriedade intelectual — patentes, marcas, direitos autorais, software e demais bens imateriais — gerada no âmbito do Projeto pertence integralmente ao Proponente, sem qualquer participação, licença, royalty ou gravame em favor do Município.</w:t>
      </w:r>
    </w:p>
    <w:p>
      <w:pPr>
        <w:ind w:firstLine="709"/>
        <w:jc w:val="both"/>
        <w:spacing w:before="0" w:after="120" w:line="276" w:lineRule="auto"/>
      </w:pPr>
      <w:r>
        <w:rPr>
          <w:sz w:val="24"/>
        </w:rPr>
        <w:t>§ 1º O Município não reclama co-titularidade, direito de exploração comercial, nem compensação financeira pela propriedade intelectual resultante do Projeto apoiado.</w:t>
      </w:r>
    </w:p>
    <w:p>
      <w:pPr>
        <w:ind w:firstLine="709"/>
        <w:jc w:val="both"/>
        <w:spacing w:before="0" w:after="120" w:line="276" w:lineRule="auto"/>
      </w:pPr>
      <w:r>
        <w:rPr>
          <w:sz w:val="24"/>
        </w:rPr>
        <w:t>§ 2º O disposto neste artigo não afasta a obrigação do Proponente de mencionar o apoio do Programa em publicações, na forma do art. 42.</w:t>
      </w:r>
    </w:p>
    <w:p>
      <w:pPr>
        <w:jc w:val="center"/>
        <w:spacing w:before="160" w:after="80"/>
      </w:pPr>
      <w:r>
        <w:rPr>
          <w:b/>
          <w:sz w:val="24"/>
        </w:rPr>
        <w:t>Seção XII — Dos bens adquiridos</w:t>
      </w:r>
    </w:p>
    <w:p>
      <w:pPr>
        <w:ind w:firstLine="709"/>
        <w:jc w:val="both"/>
        <w:spacing w:before="0" w:after="120" w:line="276" w:lineRule="auto"/>
      </w:pPr>
      <w:r>
        <w:rPr>
          <w:sz w:val="24"/>
        </w:rPr>
        <w:t>Art. 50 Os bens materiais adquiridos com recursos do Programa — equipamentos, hardware, mobiliário, materiais permanentes e demais bens — integram o patrimônio do Proponente, sem ônus e sem obrigação de transferência ao Município após o término do Projeto.</w:t>
      </w:r>
    </w:p>
    <w:p>
      <w:pPr>
        <w:ind w:firstLine="709"/>
        <w:jc w:val="both"/>
        <w:spacing w:before="0" w:after="120" w:line="276" w:lineRule="auto"/>
      </w:pPr>
      <w:r>
        <w:rPr>
          <w:sz w:val="24"/>
        </w:rPr>
        <w:t>§ 1º O Proponente é responsável pela guarda, conservação e utilização regular dos bens durante a execução do Projeto.</w:t>
      </w:r>
    </w:p>
    <w:p>
      <w:pPr>
        <w:ind w:firstLine="709"/>
        <w:jc w:val="both"/>
        <w:spacing w:before="0" w:after="120" w:line="276" w:lineRule="auto"/>
      </w:pPr>
      <w:r>
        <w:rPr>
          <w:sz w:val="24"/>
        </w:rPr>
        <w:t>§ 2º A alienação de bem adquirido durante a execução do Projeto, antes da aprovação da prestação de contas final, depende de autorização expressa da SDE.</w:t>
      </w:r>
    </w:p>
    <w:p>
      <w:pPr>
        <w:jc w:val="center"/>
        <w:spacing w:before="320" w:after="80"/>
      </w:pPr>
      <w:r>
        <w:rPr>
          <w:b/>
          <w:sz w:val="24"/>
        </w:rPr>
        <w:t>SANÇÕES</w:t>
      </w:r>
    </w:p>
    <w:p>
      <w:pPr>
        <w:jc w:val="center"/>
        <w:spacing w:before="160" w:after="80"/>
      </w:pPr>
      <w:r>
        <w:rPr>
          <w:b/>
          <w:sz w:val="24"/>
        </w:rPr>
        <w:t>Seção I — Das infrações</w:t>
      </w:r>
    </w:p>
    <w:p>
      <w:pPr>
        <w:ind w:firstLine="709"/>
        <w:jc w:val="both"/>
        <w:spacing w:before="0" w:after="120" w:line="276" w:lineRule="auto"/>
      </w:pPr>
      <w:r>
        <w:rPr>
          <w:sz w:val="24"/>
        </w:rPr>
        <w:t>Art. 51 Configuram infrações no âmbito do Programa, sem prejuízo de outras previstas na legislação aplicável:</w:t>
      </w:r>
    </w:p>
    <w:p>
      <w:pPr>
        <w:ind w:left="850"/>
        <w:spacing w:before="0" w:after="60" w:line="276" w:lineRule="auto"/>
      </w:pPr>
      <w:r>
        <w:rPr>
          <w:sz w:val="24"/>
        </w:rPr>
        <w:t>Leves: descumprimento de obrigação acessória que não comprometa a execução nem o controle, tais como atraso injustificado na apresentação de documentos não essenciais, falha pontual no dever de divulgação do apoio (art. 42) ou inobservância de formalidades sem prejuízo efetivo;</w:t>
      </w:r>
    </w:p>
    <w:p>
      <w:pPr>
        <w:ind w:left="850"/>
        <w:spacing w:before="0" w:after="60" w:line="276" w:lineRule="auto"/>
      </w:pPr>
      <w:r>
        <w:rPr>
          <w:sz w:val="24"/>
        </w:rPr>
        <w:t>Graves: descumprimento significativo de cláusula contratual ou deste Decreto, incluindo atraso relevante na prestação de contas, execução parcial do Projeto sem justificativa aceita, uso inadequado da Conta Vinculada em hipóteses que não configurem desvio de finalidade, e omissão de informações ao API, à Comissão Técnica ou à SDE;</w:t>
      </w:r>
    </w:p>
    <w:p>
      <w:pPr>
        <w:ind w:left="850"/>
        <w:spacing w:before="0" w:after="60" w:line="276" w:lineRule="auto"/>
      </w:pPr>
      <w:r>
        <w:rPr>
          <w:sz w:val="24"/>
        </w:rPr>
        <w:t>Gravíssimas: fraude, falsidade ideológica, desvio de finalidade na aplicação dos recursos, apropriação indébita, uso pessoal de recursos do Projeto, omissão dolosa de informações relevantes, concurso em conflito de interesse não declarado, e qualquer conduta tipificada como improbidade administrativa ou crime contra a Administração Pública.</w:t>
      </w:r>
    </w:p>
    <w:p>
      <w:pPr>
        <w:jc w:val="center"/>
        <w:spacing w:before="160" w:after="80"/>
      </w:pPr>
      <w:r>
        <w:rPr>
          <w:b/>
          <w:sz w:val="24"/>
        </w:rPr>
        <w:t>Seção II — Do rol de sanções</w:t>
      </w:r>
    </w:p>
    <w:p>
      <w:pPr>
        <w:ind w:firstLine="709"/>
        <w:jc w:val="both"/>
        <w:spacing w:before="0" w:after="120" w:line="276" w:lineRule="auto"/>
      </w:pPr>
      <w:r>
        <w:rPr>
          <w:sz w:val="24"/>
        </w:rPr>
        <w:t>Art. 52 Observados a proporcionalidade, o contraditório e a ampla defesa, são aplicáveis ao Proponente infrator, isolada ou cumulativamente, as seguintes sanções:</w:t>
      </w:r>
    </w:p>
    <w:p>
      <w:pPr>
        <w:ind w:left="850"/>
        <w:spacing w:before="0" w:after="60" w:line="276" w:lineRule="auto"/>
      </w:pPr>
      <w:r>
        <w:rPr>
          <w:sz w:val="24"/>
        </w:rPr>
        <w:t>Advertência formal, com prazo para saneamento, nas infrações leves;</w:t>
      </w:r>
    </w:p>
    <w:p>
      <w:pPr>
        <w:ind w:left="850"/>
        <w:spacing w:before="0" w:after="60" w:line="276" w:lineRule="auto"/>
      </w:pPr>
      <w:r>
        <w:rPr>
          <w:sz w:val="24"/>
        </w:rPr>
        <w:t>Devolução integral do valor recebido, no todo ou na parte correspondente à infração, com correção por IPCA e juros equivalentes à taxa SELIC desde a data do recebimento — aplicável nas infrações graves e gravíssimas;</w:t>
      </w:r>
    </w:p>
    <w:p>
      <w:pPr>
        <w:ind w:left="850"/>
        <w:spacing w:before="0" w:after="60" w:line="276" w:lineRule="auto"/>
      </w:pPr>
      <w:r>
        <w:rPr>
          <w:sz w:val="24"/>
        </w:rPr>
        <w:t>Multa administrativa de valor equivalente a 5 (cinco) vezes o valor do dano causado ao erário, nas infrações graves e gravíssimas;</w:t>
      </w:r>
    </w:p>
    <w:p>
      <w:pPr>
        <w:ind w:left="850"/>
        <w:spacing w:before="0" w:after="60" w:line="276" w:lineRule="auto"/>
      </w:pPr>
      <w:r>
        <w:rPr>
          <w:sz w:val="24"/>
        </w:rPr>
        <w:t>Suspensão temporária de participação no Programa, por até 2 (dois) anos, nas infrações graves;</w:t>
      </w:r>
    </w:p>
    <w:p>
      <w:pPr>
        <w:ind w:left="850"/>
        <w:spacing w:before="0" w:after="60" w:line="276" w:lineRule="auto"/>
      </w:pPr>
      <w:r>
        <w:rPr>
          <w:sz w:val="24"/>
        </w:rPr>
        <w:t>Declaração de inidoneidade para contratar com a Administração Pública municipal pelo prazo de 5 (cinco) anos, extensiva aos sócios controladores pessoas físicas da pessoa jurídica Proponente, nas infrações gravíssimas;</w:t>
      </w:r>
    </w:p>
    <w:p>
      <w:pPr>
        <w:ind w:left="850"/>
        <w:spacing w:before="0" w:after="60" w:line="276" w:lineRule="auto"/>
      </w:pPr>
      <w:r>
        <w:rPr>
          <w:sz w:val="24"/>
        </w:rPr>
        <w:t>Inscrição no CADIN Municipal, com os efeitos legais de impedimento de concessão de alvarás, certidões negativas, licenças, habilitações e novos contratos municipais;</w:t>
      </w:r>
    </w:p>
    <w:p>
      <w:pPr>
        <w:ind w:left="850"/>
        <w:spacing w:before="0" w:after="60" w:line="276" w:lineRule="auto"/>
      </w:pPr>
      <w:r>
        <w:rPr>
          <w:sz w:val="24"/>
        </w:rPr>
        <w:t>Retenção direta pelo Município, nos termos das normas aplicáveis, do valor devido contra quaisquer pagamentos futuros ao Proponente ou aos sócios controladores, a qualquer título, até a liquidação do débito;</w:t>
      </w:r>
    </w:p>
    <w:p>
      <w:pPr>
        <w:ind w:left="850"/>
        <w:spacing w:before="0" w:after="60" w:line="276" w:lineRule="auto"/>
      </w:pPr>
      <w:r>
        <w:rPr>
          <w:sz w:val="24"/>
        </w:rPr>
        <w:t>Inscrição imediata em Dívida Ativa do Município, após o prazo de pagamento não observado, sem necessidade de aguardar nova notificação específica;</w:t>
      </w:r>
    </w:p>
    <w:p>
      <w:pPr>
        <w:ind w:left="850"/>
        <w:spacing w:before="0" w:after="60" w:line="276" w:lineRule="auto"/>
      </w:pPr>
      <w:r>
        <w:rPr>
          <w:sz w:val="24"/>
        </w:rPr>
        <w:t>Publicação pública da decisão sancionatória no Diário Oficial do Município e no portal do Programa;</w:t>
      </w:r>
    </w:p>
    <w:p>
      <w:pPr>
        <w:ind w:left="850"/>
        <w:spacing w:before="0" w:after="60" w:line="276" w:lineRule="auto"/>
      </w:pPr>
      <w:r>
        <w:rPr>
          <w:sz w:val="24"/>
        </w:rPr>
        <w:t>Comunicação obrigatória ao Ministério Público do Estado de Santa Catarina e ao Tribunal de Contas do Estado de Santa Catarina para as providências de suas competências, nas infrações gravíssimas.</w:t>
      </w:r>
    </w:p>
    <w:p>
      <w:pPr>
        <w:ind w:firstLine="709"/>
        <w:jc w:val="both"/>
        <w:spacing w:before="0" w:after="120" w:line="276" w:lineRule="auto"/>
      </w:pPr>
      <w:r>
        <w:rPr>
          <w:sz w:val="24"/>
        </w:rPr>
        <w:t>§ 1º As sanções dos incisos II, III e V a X aplicam-se sem prejuízo da responsabilização civil, administrativa e penal dos envolvidos, nos termos da Lei de Improbidade Administrativa (Lei nº 8.429, de 1992) e do Código Penal.</w:t>
      </w:r>
    </w:p>
    <w:p>
      <w:pPr>
        <w:ind w:firstLine="709"/>
        <w:jc w:val="both"/>
        <w:spacing w:before="0" w:after="120" w:line="276" w:lineRule="auto"/>
      </w:pPr>
      <w:r>
        <w:rPr>
          <w:sz w:val="24"/>
        </w:rPr>
        <w:t>§ 2º A multa (inciso III) e a devolução (inciso II) têm natureza independente entre si e podem ser cumuladas.</w:t>
      </w:r>
    </w:p>
    <w:p>
      <w:pPr>
        <w:ind w:firstLine="709"/>
        <w:jc w:val="both"/>
        <w:spacing w:before="0" w:after="120" w:line="276" w:lineRule="auto"/>
      </w:pPr>
      <w:r>
        <w:rPr>
          <w:sz w:val="24"/>
        </w:rPr>
        <w:t>§ 3º Nas infrações leves, a advertência pode vir acompanhada de determinação de saneamento com prazo razoável; descumprido o saneamento, a infração é reclassificada como grave.</w:t>
      </w:r>
    </w:p>
    <w:p>
      <w:pPr>
        <w:jc w:val="center"/>
        <w:spacing w:before="160" w:after="80"/>
      </w:pPr>
      <w:r>
        <w:rPr>
          <w:b/>
          <w:sz w:val="24"/>
        </w:rPr>
        <w:t>Seção III — Do processo administrativo sancionador</w:t>
      </w:r>
    </w:p>
    <w:p>
      <w:pPr>
        <w:ind w:firstLine="709"/>
        <w:jc w:val="both"/>
        <w:spacing w:before="0" w:after="120" w:line="276" w:lineRule="auto"/>
      </w:pPr>
      <w:r>
        <w:rPr>
          <w:sz w:val="24"/>
        </w:rPr>
        <w:t>Art. 53 A aplicação de qualquer sanção prevista neste Decreto depende de regular processo administrativo sancionador, instaurado pela SDE, com observância obrigatória do contraditório e da ampla defesa, aplicando-se subsidiariamente a Lei Federal nº 9.784, de 1999.</w:t>
      </w:r>
    </w:p>
    <w:p>
      <w:pPr>
        <w:ind w:firstLine="709"/>
        <w:jc w:val="both"/>
        <w:spacing w:before="0" w:after="120" w:line="276" w:lineRule="auto"/>
      </w:pPr>
      <w:r>
        <w:rPr>
          <w:sz w:val="24"/>
        </w:rPr>
        <w:t>§ 1º O processo observará o seguinte rito:</w:t>
      </w:r>
    </w:p>
    <w:p>
      <w:pPr>
        <w:ind w:left="850"/>
        <w:spacing w:before="0" w:after="60" w:line="276" w:lineRule="auto"/>
      </w:pPr>
      <w:r>
        <w:rPr>
          <w:sz w:val="24"/>
        </w:rPr>
        <w:t>Instauração: por portaria da SDE, com descrição dos fatos, indicação dos dispositivos supostamente infringidos e das sanções cabíveis;</w:t>
      </w:r>
    </w:p>
    <w:p>
      <w:pPr>
        <w:ind w:left="850"/>
        <w:spacing w:before="0" w:after="60" w:line="276" w:lineRule="auto"/>
      </w:pPr>
      <w:r>
        <w:rPr>
          <w:sz w:val="24"/>
        </w:rPr>
        <w:t>Notificação do Proponente, com prazo de 15 (quinze) dias úteis para apresentação de defesa prévia, acompanhada de documentos e indicação de provas;</w:t>
      </w:r>
    </w:p>
    <w:p>
      <w:pPr>
        <w:ind w:left="850"/>
        <w:spacing w:before="0" w:after="60" w:line="276" w:lineRule="auto"/>
      </w:pPr>
      <w:r>
        <w:rPr>
          <w:sz w:val="24"/>
        </w:rPr>
        <w:t>Instrução: produção das provas admitidas, com possibilidade de oitiva do API de vinculação, de membros da Comissão Técnica e de terceiros, quando cabível;</w:t>
      </w:r>
    </w:p>
    <w:p>
      <w:pPr>
        <w:ind w:left="850"/>
        <w:spacing w:before="0" w:after="60" w:line="276" w:lineRule="auto"/>
      </w:pPr>
      <w:r>
        <w:rPr>
          <w:sz w:val="24"/>
        </w:rPr>
        <w:t>Alegações finais: prazo de 10 (dez) dias úteis após encerrada a instrução;</w:t>
      </w:r>
    </w:p>
    <w:p>
      <w:pPr>
        <w:ind w:left="850"/>
        <w:spacing w:before="0" w:after="60" w:line="276" w:lineRule="auto"/>
      </w:pPr>
      <w:r>
        <w:rPr>
          <w:sz w:val="24"/>
        </w:rPr>
        <w:t>Decisão: fundamentada, proferida pela SDE, com parecer prévio da PGM nas infrações gravíssimas e nas sanções dos incisos II, III, V e X do art. 52;</w:t>
      </w:r>
    </w:p>
    <w:p>
      <w:pPr>
        <w:ind w:left="850"/>
        <w:spacing w:before="0" w:after="60" w:line="276" w:lineRule="auto"/>
      </w:pPr>
      <w:r>
        <w:rPr>
          <w:sz w:val="24"/>
        </w:rPr>
        <w:t>Recurso: no prazo de 10 (dez) dias úteis, dirigido à autoridade prolatora, com possibilidade de reconsideração em 5 (cinco) dias úteis; mantida a decisão, os autos sobem ao Comitê Decisório (art. 19), cuja deliberação é final na esfera administrativa.</w:t>
      </w:r>
    </w:p>
    <w:p>
      <w:pPr>
        <w:ind w:firstLine="709"/>
        <w:jc w:val="both"/>
        <w:spacing w:before="0" w:after="120" w:line="276" w:lineRule="auto"/>
      </w:pPr>
      <w:r>
        <w:rPr>
          <w:sz w:val="24"/>
        </w:rPr>
        <w:t>§ 2º É vedada a aplicação de sanção sem o devido processo administrativo, ressalvadas as medidas cautelares estritamente necessárias para preservação do patrimônio público ou da instrução probatória, que devem ser motivadas e comunicadas ao Proponente.</w:t>
      </w:r>
    </w:p>
    <w:p>
      <w:pPr>
        <w:ind w:firstLine="709"/>
        <w:jc w:val="both"/>
        <w:spacing w:before="0" w:after="120" w:line="276" w:lineRule="auto"/>
      </w:pPr>
      <w:r>
        <w:rPr>
          <w:sz w:val="24"/>
        </w:rPr>
        <w:t>§ 3º O Proponente tem direito à vista dos autos, à cópia de documentos e a ser ouvido pessoalmente, se assim requerer.</w:t>
      </w:r>
    </w:p>
    <w:p>
      <w:pPr>
        <w:jc w:val="center"/>
        <w:spacing w:before="160" w:after="80"/>
      </w:pPr>
      <w:r>
        <w:rPr>
          <w:b/>
          <w:sz w:val="24"/>
        </w:rPr>
        <w:t>Seção IV — Das atenuantes, agravantes e da reincidência</w:t>
      </w:r>
    </w:p>
    <w:p>
      <w:pPr>
        <w:ind w:firstLine="709"/>
        <w:jc w:val="both"/>
        <w:spacing w:before="0" w:after="120" w:line="276" w:lineRule="auto"/>
      </w:pPr>
      <w:r>
        <w:rPr>
          <w:sz w:val="24"/>
        </w:rPr>
        <w:t>Art. 54 Na dosimetria da sanção, a SDE considerará, com fundamentação expressa:</w:t>
      </w:r>
    </w:p>
    <w:p>
      <w:pPr>
        <w:ind w:left="850"/>
        <w:spacing w:before="0" w:after="60" w:line="276" w:lineRule="auto"/>
      </w:pPr>
      <w:r>
        <w:rPr>
          <w:sz w:val="24"/>
        </w:rPr>
        <w:t>Atenuantes: primariedade do Proponente no Programa; ausência de dano ao erário ou dano de pequena monta; saneamento espontâneo anterior à notificação; colaboração efetiva com a instrução do processo;</w:t>
      </w:r>
    </w:p>
    <w:p>
      <w:pPr>
        <w:ind w:left="850"/>
        <w:spacing w:before="0" w:after="60" w:line="276" w:lineRule="auto"/>
      </w:pPr>
      <w:r>
        <w:rPr>
          <w:sz w:val="24"/>
        </w:rPr>
        <w:t>Agravantes: premeditação; participação de mais de um Proponente ou agente; uso de interpostas pessoas; emprego de fraude documental; obstrução à instrução do processo.</w:t>
      </w:r>
    </w:p>
    <w:p>
      <w:pPr>
        <w:ind w:firstLine="709"/>
        <w:jc w:val="both"/>
        <w:spacing w:before="0" w:after="120" w:line="276" w:lineRule="auto"/>
      </w:pPr>
      <w:r>
        <w:rPr>
          <w:sz w:val="24"/>
        </w:rPr>
        <w:t>§ 1º Caracteriza reincidência a prática de nova infração, de qualquer natureza, dentro do prazo de 5 (cinco) anos contados da decisão administrativa definitiva da sanção anterior.</w:t>
      </w:r>
    </w:p>
    <w:p>
      <w:pPr>
        <w:ind w:firstLine="709"/>
        <w:jc w:val="both"/>
        <w:spacing w:before="0" w:after="120" w:line="276" w:lineRule="auto"/>
      </w:pPr>
      <w:r>
        <w:rPr>
          <w:sz w:val="24"/>
        </w:rPr>
        <w:t>§ 2º Na reincidência, a sanção aplicável na classe imediatamente superior será considerada como piso mínimo, e o prazo de inidoneidade (art. 52, V) pode ser elevado a até 10 (dez) anos, mediante decisão fundamentada.</w:t>
      </w:r>
    </w:p>
    <w:p>
      <w:pPr>
        <w:ind w:firstLine="709"/>
        <w:jc w:val="both"/>
        <w:spacing w:before="0" w:after="120" w:line="276" w:lineRule="auto"/>
      </w:pPr>
      <w:r>
        <w:rPr>
          <w:sz w:val="24"/>
        </w:rPr>
        <w:t>§ 3º Admite-se Termo de Ajustamento de Conduta (TAC), firmado entre a SDE e o Proponente, como alternativa à aplicação das sanções previstas nos incisos I a IV do art. 52, desde que nas infrações leves e graves, com parecer favorável da PGM, devolução integral de valores, reparação do dano e compromisso de não reincidência. O TAC é vedado nas infrações gravíssimas.</w:t>
      </w:r>
    </w:p>
    <w:p>
      <w:pPr>
        <w:jc w:val="center"/>
        <w:spacing w:before="160" w:after="80"/>
      </w:pPr>
      <w:r>
        <w:rPr>
          <w:b/>
          <w:sz w:val="24"/>
        </w:rPr>
        <w:t>Seção V — Dos efeitos externos e comunicações</w:t>
      </w:r>
    </w:p>
    <w:p>
      <w:pPr>
        <w:ind w:firstLine="709"/>
        <w:jc w:val="both"/>
        <w:spacing w:before="0" w:after="120" w:line="276" w:lineRule="auto"/>
      </w:pPr>
      <w:r>
        <w:rPr>
          <w:sz w:val="24"/>
        </w:rPr>
        <w:t>Art. 55 Tornada definitiva a decisão sancionatória, a SDE promoverá as seguintes providências, sem necessidade de nova autorização:</w:t>
      </w:r>
    </w:p>
    <w:p>
      <w:pPr>
        <w:ind w:left="850"/>
        <w:spacing w:before="0" w:after="60" w:line="276" w:lineRule="auto"/>
      </w:pPr>
      <w:r>
        <w:rPr>
          <w:sz w:val="24"/>
        </w:rPr>
        <w:t>inscrição do Proponente no CADIN Municipal;</w:t>
      </w:r>
    </w:p>
    <w:p>
      <w:pPr>
        <w:ind w:left="850"/>
        <w:spacing w:before="0" w:after="60" w:line="276" w:lineRule="auto"/>
      </w:pPr>
      <w:r>
        <w:rPr>
          <w:sz w:val="24"/>
        </w:rPr>
        <w:t>retenção dos valores devidos contra quaisquer pagamentos futuros ao Proponente e aos sócios controladores, a qualquer título, no âmbito da Administração Direta e Indireta do Município;</w:t>
      </w:r>
    </w:p>
    <w:p>
      <w:pPr>
        <w:ind w:left="850"/>
        <w:spacing w:before="0" w:after="60" w:line="276" w:lineRule="auto"/>
      </w:pPr>
      <w:r>
        <w:rPr>
          <w:sz w:val="24"/>
        </w:rPr>
        <w:t>inscrição em Dívida Ativa do Município, ultrapassado o prazo de 30 (trinta) dias do trânsito em julgado administrativo sem pagamento, com consequente cobrança judicial pela PGM;</w:t>
      </w:r>
    </w:p>
    <w:p>
      <w:pPr>
        <w:ind w:left="850"/>
        <w:spacing w:before="0" w:after="60" w:line="276" w:lineRule="auto"/>
      </w:pPr>
      <w:r>
        <w:rPr>
          <w:sz w:val="24"/>
        </w:rPr>
        <w:t>publicação da decisão no Diário Oficial do Município e no portal do Programa;</w:t>
      </w:r>
    </w:p>
    <w:p>
      <w:pPr>
        <w:ind w:left="850"/>
        <w:spacing w:before="0" w:after="60" w:line="276" w:lineRule="auto"/>
      </w:pPr>
      <w:r>
        <w:rPr>
          <w:sz w:val="24"/>
        </w:rPr>
        <w:t>comunicação ao Ministério Público do Estado de Santa Catarina, ao Tribunal de Contas do Estado de Santa Catarina e à Receita Federal, nas hipóteses cabíveis;</w:t>
      </w:r>
    </w:p>
    <w:p>
      <w:pPr>
        <w:ind w:left="850"/>
        <w:spacing w:before="0" w:after="60" w:line="276" w:lineRule="auto"/>
      </w:pPr>
      <w:r>
        <w:rPr>
          <w:sz w:val="24"/>
        </w:rPr>
        <w:t>atualização da lista pública de Proponentes inidôneos mantida pela SDE.</w:t>
      </w:r>
    </w:p>
    <w:p>
      <w:pPr>
        <w:ind w:firstLine="709"/>
        <w:jc w:val="both"/>
        <w:spacing w:before="0" w:after="120" w:line="276" w:lineRule="auto"/>
      </w:pPr>
      <w:r>
        <w:rPr>
          <w:sz w:val="24"/>
        </w:rPr>
        <w:t>Parágrafo único. A inscrição em Dívida Ativa opera-se com a correção do valor por IPCA e juros à taxa SELIC, na forma das normas municipais aplicáveis à dívida ativa, a partir da data do trânsito em julgado administrativo.</w:t>
      </w:r>
    </w:p>
    <w:p>
      <w:pPr>
        <w:jc w:val="center"/>
        <w:spacing w:before="160" w:after="80"/>
      </w:pPr>
      <w:r>
        <w:rPr>
          <w:b/>
          <w:sz w:val="24"/>
        </w:rPr>
        <w:t>Seção VI — Da extensão a sócios e responsáveis</w:t>
      </w:r>
    </w:p>
    <w:p>
      <w:pPr>
        <w:ind w:firstLine="709"/>
        <w:jc w:val="both"/>
        <w:spacing w:before="0" w:after="120" w:line="276" w:lineRule="auto"/>
      </w:pPr>
      <w:r>
        <w:rPr>
          <w:sz w:val="24"/>
        </w:rPr>
        <w:t>Art. 56 Nas infrações gravíssimas, os efeitos das sanções — em especial a inidoneidade (art. 52, V), o CADIN (art. 52, VI) e a retenção (art. 52, VII) — estendem-se aos sócios controladores pessoas físicas da pessoa jurídica Proponente, aos administradores com poder de decisão à época dos fatos e àqueles que auferiram vantagem direta ou indireta da infração.</w:t>
      </w:r>
    </w:p>
    <w:p>
      <w:pPr>
        <w:ind w:firstLine="709"/>
        <w:jc w:val="both"/>
        <w:spacing w:before="0" w:after="120" w:line="276" w:lineRule="auto"/>
      </w:pPr>
      <w:r>
        <w:rPr>
          <w:sz w:val="24"/>
        </w:rPr>
        <w:t>§ 1º A extensão prevista no caput depende de decisão fundamentada, com identificação individual dos responsáveis, preservado o contraditório e a ampla defesa.</w:t>
      </w:r>
    </w:p>
    <w:p>
      <w:pPr>
        <w:ind w:firstLine="709"/>
        <w:jc w:val="both"/>
        <w:spacing w:before="0" w:after="120" w:line="276" w:lineRule="auto"/>
      </w:pPr>
      <w:r>
        <w:rPr>
          <w:sz w:val="24"/>
        </w:rPr>
        <w:t>§ 2º A responsabilização dos sócios não exclui a responsabilidade da pessoa jurídica Proponente, nem vice-versa.</w:t>
      </w:r>
    </w:p>
    <w:p>
      <w:pPr>
        <w:ind w:firstLine="709"/>
        <w:jc w:val="both"/>
        <w:spacing w:before="0" w:after="120" w:line="276" w:lineRule="auto"/>
      </w:pPr>
      <w:r>
        <w:rPr>
          <w:sz w:val="24"/>
        </w:rPr>
        <w:t>§ 3º Em caso de participação conjunta (art. 13), aplica-se a responsabilidade solidária entre os Proponentes participantes, conforme instrumento de parceria e proporcionalidade da contribuição de cada um para a infração.</w:t>
      </w:r>
    </w:p>
    <w:p>
      <w:pPr>
        <w:jc w:val="center"/>
        <w:spacing w:before="320" w:after="80"/>
      </w:pPr>
      <w:r>
        <w:rPr>
          <w:b/>
          <w:sz w:val="24"/>
        </w:rPr>
        <w:t>TRANSPARÊNCIA, DADOS ABERTOS E INDICADORES</w:t>
      </w:r>
    </w:p>
    <w:p>
      <w:pPr>
        <w:jc w:val="center"/>
        <w:spacing w:before="160" w:after="80"/>
      </w:pPr>
      <w:r>
        <w:rPr>
          <w:b/>
          <w:sz w:val="24"/>
        </w:rPr>
        <w:t>Seção I — Da publicidade e do portal do Programa</w:t>
      </w:r>
    </w:p>
    <w:p>
      <w:pPr>
        <w:ind w:firstLine="709"/>
        <w:jc w:val="both"/>
        <w:spacing w:before="0" w:after="120" w:line="276" w:lineRule="auto"/>
      </w:pPr>
      <w:r>
        <w:rPr>
          <w:sz w:val="24"/>
        </w:rPr>
        <w:t>Art. 57 O Programa observa, de forma permanente, os princípios constitucionais da publicidade e da transparência na gestão pública (art. 37, caput, da Constituição Federal), bem como as disposições da Lei Federal nº 12.527, de 2011 (Lei de Acesso à Informação).</w:t>
      </w:r>
    </w:p>
    <w:p>
      <w:pPr>
        <w:ind w:firstLine="709"/>
        <w:jc w:val="both"/>
        <w:spacing w:before="0" w:after="120" w:line="276" w:lineRule="auto"/>
      </w:pPr>
      <w:r>
        <w:rPr>
          <w:sz w:val="24"/>
        </w:rPr>
        <w:t>§ 1º A SDE manterá portal público do Programa, sítio eletrônico oficial dedicado ou seção específica dentro do portal da Prefeitura, contendo, no mínimo:</w:t>
      </w:r>
    </w:p>
    <w:p>
      <w:pPr>
        <w:ind w:left="850"/>
        <w:spacing w:before="0" w:after="60" w:line="276" w:lineRule="auto"/>
      </w:pPr>
      <w:r>
        <w:rPr>
          <w:sz w:val="24"/>
        </w:rPr>
        <w:t>texto integral deste Decreto, da Lei nº 7.170, de 2011 e, quando vigente, da Lei Complementar municipal autorizativa do Caminho B;</w:t>
      </w:r>
    </w:p>
    <w:p>
      <w:pPr>
        <w:ind w:left="850"/>
        <w:spacing w:before="0" w:after="60" w:line="276" w:lineRule="auto"/>
      </w:pPr>
      <w:r>
        <w:rPr>
          <w:sz w:val="24"/>
        </w:rPr>
        <w:t>Editais de cada ciclo, modelos de formulários e cronogramas;</w:t>
      </w:r>
    </w:p>
    <w:p>
      <w:pPr>
        <w:ind w:left="850"/>
        <w:spacing w:before="0" w:after="60" w:line="276" w:lineRule="auto"/>
      </w:pPr>
      <w:r>
        <w:rPr>
          <w:sz w:val="24"/>
        </w:rPr>
        <w:t>relação nominal dos APIs credenciados, vigência e contato institucional;</w:t>
      </w:r>
    </w:p>
    <w:p>
      <w:pPr>
        <w:ind w:left="850"/>
        <w:spacing w:before="0" w:after="60" w:line="276" w:lineRule="auto"/>
      </w:pPr>
      <w:r>
        <w:rPr>
          <w:sz w:val="24"/>
        </w:rPr>
        <w:t>composição da Comissão Técnica, do Comitê Decisório e do Comitê Gestor do FIT/Jlle, com atos de designação;</w:t>
      </w:r>
    </w:p>
    <w:p>
      <w:pPr>
        <w:ind w:left="850"/>
        <w:spacing w:before="0" w:after="60" w:line="276" w:lineRule="auto"/>
      </w:pPr>
      <w:r>
        <w:rPr>
          <w:sz w:val="24"/>
        </w:rPr>
        <w:t>relação dos Projetos submetidos, aprovados, aprovados com ressalvas e reprovados em cada ciclo, com pontuação final e fundamentação sumária;</w:t>
      </w:r>
    </w:p>
    <w:p>
      <w:pPr>
        <w:ind w:left="850"/>
        <w:spacing w:before="0" w:after="60" w:line="276" w:lineRule="auto"/>
      </w:pPr>
      <w:r>
        <w:rPr>
          <w:sz w:val="24"/>
        </w:rPr>
        <w:t>valor total de recursos aplicados, por Projeto e consolidado;</w:t>
      </w:r>
    </w:p>
    <w:p>
      <w:pPr>
        <w:ind w:left="850"/>
        <w:spacing w:before="0" w:after="60" w:line="276" w:lineRule="auto"/>
      </w:pPr>
      <w:r>
        <w:rPr>
          <w:sz w:val="24"/>
        </w:rPr>
        <w:t>instrumentos contratuais (Cartas de Apoio, Cartas de Captação, Contratos) assinados, resguardadas informações sigilosas;</w:t>
      </w:r>
    </w:p>
    <w:p>
      <w:pPr>
        <w:ind w:left="850"/>
        <w:spacing w:before="0" w:after="60" w:line="276" w:lineRule="auto"/>
      </w:pPr>
      <w:r>
        <w:rPr>
          <w:sz w:val="24"/>
        </w:rPr>
        <w:t>prestações de contas finais aprovadas, com dados públicos de execução;</w:t>
      </w:r>
    </w:p>
    <w:p>
      <w:pPr>
        <w:ind w:left="850"/>
        <w:spacing w:before="0" w:after="60" w:line="276" w:lineRule="auto"/>
      </w:pPr>
      <w:r>
        <w:rPr>
          <w:sz w:val="24"/>
        </w:rPr>
        <w:t>indicadores de impacto do Programa, na forma do art. 58;</w:t>
      </w:r>
    </w:p>
    <w:p>
      <w:pPr>
        <w:ind w:left="850"/>
        <w:spacing w:before="0" w:after="60" w:line="276" w:lineRule="auto"/>
      </w:pPr>
      <w:r>
        <w:rPr>
          <w:sz w:val="24"/>
        </w:rPr>
        <w:t>decisões sancionatórias definitivas e lista pública de Proponentes inidôneos;</w:t>
      </w:r>
    </w:p>
    <w:p>
      <w:pPr>
        <w:ind w:left="850"/>
        <w:spacing w:before="0" w:after="60" w:line="276" w:lineRule="auto"/>
      </w:pPr>
      <w:r>
        <w:rPr>
          <w:sz w:val="24"/>
        </w:rPr>
        <w:t>relatório anual do Programa (art. 60);</w:t>
      </w:r>
    </w:p>
    <w:p>
      <w:pPr>
        <w:ind w:left="850"/>
        <w:spacing w:before="0" w:after="60" w:line="276" w:lineRule="auto"/>
      </w:pPr>
      <w:r>
        <w:rPr>
          <w:sz w:val="24"/>
        </w:rPr>
        <w:t>canal de atendimento e de solicitações via LAI.</w:t>
      </w:r>
    </w:p>
    <w:p>
      <w:pPr>
        <w:ind w:firstLine="709"/>
        <w:jc w:val="both"/>
        <w:spacing w:before="0" w:after="120" w:line="276" w:lineRule="auto"/>
      </w:pPr>
      <w:r>
        <w:rPr>
          <w:sz w:val="24"/>
        </w:rPr>
        <w:t>§ 2º Todos os atos de efeito externo são publicados no Diário Oficial do Município (DOM), sem prejuízo da divulgação no portal.</w:t>
      </w:r>
    </w:p>
    <w:p>
      <w:pPr>
        <w:ind w:firstLine="709"/>
        <w:jc w:val="both"/>
        <w:spacing w:before="0" w:after="120" w:line="276" w:lineRule="auto"/>
      </w:pPr>
      <w:r>
        <w:rPr>
          <w:sz w:val="24"/>
        </w:rPr>
        <w:t>§ 3º Informações protegidas por sigilo legal — notadamente dados pessoais, propriedade intelectual em regime de segredo industrial e informações comerciais sensíveis do Proponente — têm divulgação limitada aos termos da LAI e da Lei Federal nº 13.709, de 2018 (LGPD), cabendo ao Proponente identificar previamente tais elementos.</w:t>
      </w:r>
    </w:p>
    <w:p>
      <w:pPr>
        <w:jc w:val="center"/>
        <w:spacing w:before="160" w:after="80"/>
      </w:pPr>
      <w:r>
        <w:rPr>
          <w:b/>
          <w:sz w:val="24"/>
        </w:rPr>
        <w:t>Seção II — Dos indicadores de impacto (KPIs)</w:t>
      </w:r>
    </w:p>
    <w:p>
      <w:pPr>
        <w:ind w:firstLine="709"/>
        <w:jc w:val="both"/>
        <w:spacing w:before="0" w:after="120" w:line="276" w:lineRule="auto"/>
      </w:pPr>
      <w:r>
        <w:rPr>
          <w:sz w:val="24"/>
        </w:rPr>
        <w:t>Art. 58 O Programa será monitorado por indicadores de impacto apurados e publicados pela SDE, abrangendo, no mínimo, as seguintes categorias:</w:t>
      </w:r>
    </w:p>
    <w:p>
      <w:pPr>
        <w:ind w:left="850"/>
        <w:spacing w:before="0" w:after="60" w:line="276" w:lineRule="auto"/>
      </w:pPr>
      <w:r>
        <w:rPr>
          <w:sz w:val="24"/>
        </w:rPr>
        <w:t>Volume e alcance: número de Projetos submetidos, aprovados e executados, por ciclo e acumulado;</w:t>
      </w:r>
    </w:p>
    <w:p>
      <w:pPr>
        <w:ind w:left="850"/>
        <w:spacing w:before="0" w:after="60" w:line="276" w:lineRule="auto"/>
      </w:pPr>
      <w:r>
        <w:rPr>
          <w:sz w:val="24"/>
        </w:rPr>
        <w:t>Recursos aplicados: valor total aplicado pelo Programa, por Projeto e consolidado, distinguindo Caminho A e Caminho B;</w:t>
      </w:r>
    </w:p>
    <w:p>
      <w:pPr>
        <w:ind w:left="850"/>
        <w:spacing w:before="0" w:after="60" w:line="276" w:lineRule="auto"/>
      </w:pPr>
      <w:r>
        <w:rPr>
          <w:sz w:val="24"/>
        </w:rPr>
        <w:t>Geração de emprego: número de empregos criados e mantidos pelas startups apoiadas, com base em declarações e dados secundários (CAGED, RAIS, quando disponíveis);</w:t>
      </w:r>
    </w:p>
    <w:p>
      <w:pPr>
        <w:ind w:left="850"/>
        <w:spacing w:before="0" w:after="60" w:line="276" w:lineRule="auto"/>
      </w:pPr>
      <w:r>
        <w:rPr>
          <w:sz w:val="24"/>
        </w:rPr>
        <w:t>Atração de investimento privado: capital externo captado pelas startups apoiadas após o apoio, informado voluntariamente pelo Proponente em relatório síntese da prestação final (art. 45, §1º, VII);</w:t>
      </w:r>
    </w:p>
    <w:p>
      <w:pPr>
        <w:ind w:left="850"/>
        <w:spacing w:before="0" w:after="60" w:line="276" w:lineRule="auto"/>
      </w:pPr>
      <w:r>
        <w:rPr>
          <w:sz w:val="24"/>
        </w:rPr>
        <w:t>Retorno tributário estimado: estimativa de retorno futuro de ISSQN, IPTU, IRRF e outros tributos municipais ou sobre folha, com base em cenários do setor e no desempenho das startups apoiadas;</w:t>
      </w:r>
    </w:p>
    <w:p>
      <w:pPr>
        <w:ind w:left="850"/>
        <w:spacing w:before="0" w:after="60" w:line="276" w:lineRule="auto"/>
      </w:pPr>
      <w:r>
        <w:rPr>
          <w:sz w:val="24"/>
        </w:rPr>
        <w:t>Eixos de contribuição: proporção de Projetos por eixo (Econômico, Social-Ambiental, Posicionamento Institucional);</w:t>
      </w:r>
    </w:p>
    <w:p>
      <w:pPr>
        <w:ind w:left="850"/>
        <w:spacing w:before="0" w:after="60" w:line="276" w:lineRule="auto"/>
      </w:pPr>
      <w:r>
        <w:rPr>
          <w:sz w:val="24"/>
        </w:rPr>
        <w:t>Diversidade: distribuição dos Proponentes por porte (PF, MEI, ME, EPP), localização no Município, setor de atuação e outras variáveis relevantes definidas pela SDE.</w:t>
      </w:r>
    </w:p>
    <w:p>
      <w:pPr>
        <w:ind w:firstLine="709"/>
        <w:jc w:val="both"/>
        <w:spacing w:before="0" w:after="120" w:line="276" w:lineRule="auto"/>
      </w:pPr>
      <w:r>
        <w:rPr>
          <w:sz w:val="24"/>
        </w:rPr>
        <w:t>§ 1º A metodologia de apuração de cada indicador é publicada pela SDE junto com a primeira divulgação, revisada a cada 4 (quatro) anos por ocasião da revisão do Programa (art. 6º, V).</w:t>
      </w:r>
    </w:p>
    <w:p>
      <w:pPr>
        <w:ind w:firstLine="709"/>
        <w:jc w:val="both"/>
        <w:spacing w:before="0" w:after="120" w:line="276" w:lineRule="auto"/>
      </w:pPr>
      <w:r>
        <w:rPr>
          <w:sz w:val="24"/>
        </w:rPr>
        <w:t>§ 2º A SDE pode acrescer novos indicadores a qualquer tempo, mediante ato fundamentado, especialmente quando decorrentes de recomendações do COMCITI, da CGM ou de boas práticas intermunicipais.</w:t>
      </w:r>
    </w:p>
    <w:p>
      <w:pPr>
        <w:ind w:firstLine="709"/>
        <w:jc w:val="both"/>
        <w:spacing w:before="0" w:after="120" w:line="276" w:lineRule="auto"/>
      </w:pPr>
      <w:r>
        <w:rPr>
          <w:sz w:val="24"/>
        </w:rPr>
        <w:t>§ 3º Os valores-meta dos indicadores para cada quadriênio são fixados pela SDE, com base em linha de base apurada no primeiro ciclo, ouvidos o COMCITI e o Comitê Decisório.</w:t>
      </w:r>
    </w:p>
    <w:p>
      <w:pPr>
        <w:jc w:val="center"/>
        <w:spacing w:before="160" w:after="80"/>
      </w:pPr>
      <w:r>
        <w:rPr>
          <w:b/>
          <w:sz w:val="24"/>
        </w:rPr>
        <w:t>Seção III — Dos dados abertos</w:t>
      </w:r>
    </w:p>
    <w:p>
      <w:pPr>
        <w:ind w:firstLine="709"/>
        <w:jc w:val="both"/>
        <w:spacing w:before="0" w:after="120" w:line="276" w:lineRule="auto"/>
      </w:pPr>
      <w:r>
        <w:rPr>
          <w:sz w:val="24"/>
        </w:rPr>
        <w:t>Art. 59 Os dados e indicadores do Programa são publicados em formato de dados abertos, com base em padrões nacionais e internacionais aplicáveis.</w:t>
      </w:r>
    </w:p>
    <w:p>
      <w:pPr>
        <w:ind w:firstLine="709"/>
        <w:jc w:val="both"/>
        <w:spacing w:before="0" w:after="120" w:line="276" w:lineRule="auto"/>
      </w:pPr>
      <w:r>
        <w:rPr>
          <w:sz w:val="24"/>
        </w:rPr>
        <w:t>§ 1º A publicação ocorre em periodicidade semestral, com atualização da base consolidada e das séries históricas.</w:t>
      </w:r>
    </w:p>
    <w:p>
      <w:pPr>
        <w:ind w:firstLine="709"/>
        <w:jc w:val="both"/>
        <w:spacing w:before="0" w:after="120" w:line="276" w:lineRule="auto"/>
      </w:pPr>
      <w:r>
        <w:rPr>
          <w:sz w:val="24"/>
        </w:rPr>
        <w:t>§ 2º Os dados são disponibilizados simultaneamente em CSV e JSON, com dicionário de dados público e changelog das atualizações.</w:t>
      </w:r>
    </w:p>
    <w:p>
      <w:pPr>
        <w:ind w:firstLine="709"/>
        <w:jc w:val="both"/>
        <w:spacing w:before="0" w:after="120" w:line="276" w:lineRule="auto"/>
      </w:pPr>
      <w:r>
        <w:rPr>
          <w:sz w:val="24"/>
        </w:rPr>
        <w:t>§ 3º Os dados abertos contêm, no mínimo, as variáveis que sustentam os indicadores do art. 58, com granularidade mínima por Projeto, preservados os sigilos aplicáveis.</w:t>
      </w:r>
    </w:p>
    <w:p>
      <w:pPr>
        <w:ind w:firstLine="709"/>
        <w:jc w:val="both"/>
        <w:spacing w:before="0" w:after="120" w:line="276" w:lineRule="auto"/>
      </w:pPr>
      <w:r>
        <w:rPr>
          <w:sz w:val="24"/>
        </w:rPr>
        <w:t>§ 4º A SDE pode disponibilizar painel visual público com os indicadores do Programa, de livre acesso, sem prejuízo da publicação em CSV/JSON.</w:t>
      </w:r>
    </w:p>
    <w:p>
      <w:pPr>
        <w:jc w:val="center"/>
        <w:spacing w:before="160" w:after="80"/>
      </w:pPr>
      <w:r>
        <w:rPr>
          <w:b/>
          <w:sz w:val="24"/>
        </w:rPr>
        <w:t>Seção IV — Do relatório anual do Programa</w:t>
      </w:r>
    </w:p>
    <w:p>
      <w:pPr>
        <w:ind w:firstLine="709"/>
        <w:jc w:val="both"/>
        <w:spacing w:before="0" w:after="120" w:line="276" w:lineRule="auto"/>
      </w:pPr>
      <w:r>
        <w:rPr>
          <w:sz w:val="24"/>
        </w:rPr>
        <w:t>Art. 60 A SDE elabora e pública, até o último dia útil de março de cada exercício, o Relatório Anual do Programa referente ao exercício anterior, contendo:</w:t>
      </w:r>
    </w:p>
    <w:p>
      <w:pPr>
        <w:ind w:left="850"/>
        <w:spacing w:before="0" w:after="60" w:line="276" w:lineRule="auto"/>
      </w:pPr>
      <w:r>
        <w:rPr>
          <w:sz w:val="24"/>
        </w:rPr>
        <w:t>visão geral do ciclo, com abertura, submissões, seleção, homologação e contratações;</w:t>
      </w:r>
    </w:p>
    <w:p>
      <w:pPr>
        <w:ind w:left="850"/>
        <w:spacing w:before="0" w:after="60" w:line="276" w:lineRule="auto"/>
      </w:pPr>
      <w:r>
        <w:rPr>
          <w:sz w:val="24"/>
        </w:rPr>
        <w:t>execução financeira e orçamentária do Programa e do FIT/Jlle;</w:t>
      </w:r>
    </w:p>
    <w:p>
      <w:pPr>
        <w:ind w:left="850"/>
        <w:spacing w:before="0" w:after="60" w:line="276" w:lineRule="auto"/>
      </w:pPr>
      <w:r>
        <w:rPr>
          <w:sz w:val="24"/>
        </w:rPr>
        <w:t>quadro consolidado dos Projetos ativos, encerrados, suspensos e sancionados;</w:t>
      </w:r>
    </w:p>
    <w:p>
      <w:pPr>
        <w:ind w:left="850"/>
        <w:spacing w:before="0" w:after="60" w:line="276" w:lineRule="auto"/>
      </w:pPr>
      <w:r>
        <w:rPr>
          <w:sz w:val="24"/>
        </w:rPr>
        <w:t>indicadores de impacto apurados no exercício (art. 58), com comparação com anos anteriores e com os valores-meta;</w:t>
      </w:r>
    </w:p>
    <w:p>
      <w:pPr>
        <w:ind w:left="850"/>
        <w:spacing w:before="0" w:after="60" w:line="276" w:lineRule="auto"/>
      </w:pPr>
      <w:r>
        <w:rPr>
          <w:sz w:val="24"/>
        </w:rPr>
        <w:t>relato de eventuais ocorrências relevantes (caso fortuito, força maior, desistências, processos administrativos);</w:t>
      </w:r>
    </w:p>
    <w:p>
      <w:pPr>
        <w:ind w:left="850"/>
        <w:spacing w:before="0" w:after="60" w:line="276" w:lineRule="auto"/>
      </w:pPr>
      <w:r>
        <w:rPr>
          <w:sz w:val="24"/>
        </w:rPr>
        <w:t>recomendações da SDE, do COMCITI, da CGM e da Procuradoria-Geral, quando houver;</w:t>
      </w:r>
    </w:p>
    <w:p>
      <w:pPr>
        <w:ind w:left="850"/>
        <w:spacing w:before="0" w:after="60" w:line="276" w:lineRule="auto"/>
      </w:pPr>
      <w:r>
        <w:rPr>
          <w:sz w:val="24"/>
        </w:rPr>
        <w:t>plano de ação para o exercício seguinte.</w:t>
      </w:r>
    </w:p>
    <w:p>
      <w:pPr>
        <w:ind w:firstLine="709"/>
        <w:jc w:val="both"/>
        <w:spacing w:before="0" w:after="120" w:line="276" w:lineRule="auto"/>
      </w:pPr>
      <w:r>
        <w:rPr>
          <w:sz w:val="24"/>
        </w:rPr>
        <w:t>§ 1º O Relatório Anual é:</w:t>
      </w:r>
    </w:p>
    <w:p>
      <w:pPr>
        <w:ind w:left="850"/>
        <w:spacing w:before="0" w:after="60" w:line="276" w:lineRule="auto"/>
      </w:pPr>
      <w:r>
        <w:rPr>
          <w:sz w:val="24"/>
        </w:rPr>
        <w:t>publicado integralmente no portal do Programa e no Diário Oficial do Município;</w:t>
      </w:r>
    </w:p>
    <w:p>
      <w:pPr>
        <w:ind w:left="850"/>
        <w:spacing w:before="0" w:after="60" w:line="276" w:lineRule="auto"/>
      </w:pPr>
      <w:r>
        <w:rPr>
          <w:sz w:val="24"/>
        </w:rPr>
        <w:t>encaminhado à Câmara Municipal de Joinville;</w:t>
      </w:r>
    </w:p>
    <w:p>
      <w:pPr>
        <w:ind w:left="850"/>
        <w:spacing w:before="0" w:after="60" w:line="276" w:lineRule="auto"/>
      </w:pPr>
      <w:r>
        <w:rPr>
          <w:sz w:val="24"/>
        </w:rPr>
        <w:t>divulgado em resumo executivo nas redes sociais oficiais da Prefeitura;</w:t>
      </w:r>
    </w:p>
    <w:p>
      <w:pPr>
        <w:ind w:left="850"/>
        <w:spacing w:before="0" w:after="60" w:line="276" w:lineRule="auto"/>
      </w:pPr>
      <w:r>
        <w:rPr>
          <w:sz w:val="24"/>
        </w:rPr>
        <w:t>comunicado ao COMCITI, que dele tomará ciência em reunião plenária, com possibilidade de manifestação formal.</w:t>
      </w:r>
    </w:p>
    <w:p>
      <w:pPr>
        <w:ind w:firstLine="709"/>
        <w:jc w:val="both"/>
        <w:spacing w:before="0" w:after="120" w:line="276" w:lineRule="auto"/>
      </w:pPr>
      <w:r>
        <w:rPr>
          <w:sz w:val="24"/>
        </w:rPr>
        <w:t>§ 2º A realização de audiência pública anual para apresentação do Relatório é facultativa, podendo ser convocada pela SDE, pelo Comitê Decisório ou por requerimento do COMCITI, quando os resultados ou o contexto assim o justificarem.</w:t>
      </w:r>
    </w:p>
    <w:p>
      <w:pPr>
        <w:jc w:val="center"/>
        <w:spacing w:before="160" w:after="80"/>
      </w:pPr>
      <w:r>
        <w:rPr>
          <w:b/>
          <w:sz w:val="24"/>
        </w:rPr>
        <w:t>Seção V — Da consolidação agregada dos Projetos</w:t>
      </w:r>
    </w:p>
    <w:p>
      <w:pPr>
        <w:ind w:firstLine="709"/>
        <w:jc w:val="both"/>
        <w:spacing w:before="0" w:after="120" w:line="276" w:lineRule="auto"/>
      </w:pPr>
      <w:r>
        <w:rPr>
          <w:sz w:val="24"/>
        </w:rPr>
        <w:t>Art. 61 A responsabilidade pela consolidação agregada dos indicadores do Programa, para fins de transparência, é exclusiva da SDE.</w:t>
      </w:r>
    </w:p>
    <w:p>
      <w:pPr>
        <w:ind w:firstLine="709"/>
        <w:jc w:val="both"/>
        <w:spacing w:before="0" w:after="120" w:line="276" w:lineRule="auto"/>
      </w:pPr>
      <w:r>
        <w:rPr>
          <w:sz w:val="24"/>
        </w:rPr>
        <w:t>§ 1º O Proponente não está obrigado a produzir, individualmente, relatório público anual de impacto da startup apoiada, ressalvada a obrigação de entregar o relatório síntese integrante da prestação de contas final (art. 45, §1º, VII) e os dados solicitados pela SDE para alimentação dos indicadores.</w:t>
      </w:r>
    </w:p>
    <w:p>
      <w:pPr>
        <w:ind w:firstLine="709"/>
        <w:jc w:val="both"/>
        <w:spacing w:before="0" w:after="120" w:line="276" w:lineRule="auto"/>
      </w:pPr>
      <w:r>
        <w:rPr>
          <w:sz w:val="24"/>
        </w:rPr>
        <w:t>§ 2º A SDE pode solicitar informações pontuais ao Proponente durante a execução do Projeto e pelos 2 (dois) exercícios seguintes à prestação final, exclusivamente para fins de apuração de indicadores, respeitados os limites da LGPD.</w:t>
      </w:r>
    </w:p>
    <w:p>
      <w:pPr>
        <w:ind w:firstLine="709"/>
        <w:jc w:val="both"/>
        <w:spacing w:before="0" w:after="120" w:line="276" w:lineRule="auto"/>
      </w:pPr>
      <w:r>
        <w:rPr>
          <w:sz w:val="24"/>
        </w:rPr>
        <w:t>§ 3º A divulgação individual do Projeto pelo Proponente rege-se pelo dever de divulgação do apoio previsto no art. 42, sem necessidade de relatório formal adicional.</w:t>
      </w:r>
    </w:p>
    <w:p>
      <w:pPr>
        <w:jc w:val="center"/>
        <w:spacing w:before="320" w:after="80"/>
      </w:pPr>
      <w:r>
        <w:rPr>
          <w:b/>
          <w:sz w:val="24"/>
        </w:rPr>
        <w:t>DISPOSIÇÕES FINAIS E TRANSITÓRIAS</w:t>
      </w:r>
    </w:p>
    <w:p>
      <w:pPr>
        <w:jc w:val="center"/>
        <w:spacing w:before="160" w:after="80"/>
      </w:pPr>
      <w:r>
        <w:rPr>
          <w:b/>
          <w:sz w:val="24"/>
        </w:rPr>
        <w:t>Seção I — Da aplicação subsidiária</w:t>
      </w:r>
    </w:p>
    <w:p>
      <w:pPr>
        <w:ind w:firstLine="709"/>
        <w:jc w:val="both"/>
        <w:spacing w:before="0" w:after="120" w:line="276" w:lineRule="auto"/>
      </w:pPr>
      <w:r>
        <w:rPr>
          <w:sz w:val="24"/>
        </w:rPr>
        <w:t>Art. 62 Aplicam-se subsidiariamente ao Programa, no que couber e na ausência de disposição específica:</w:t>
      </w:r>
    </w:p>
    <w:p>
      <w:pPr>
        <w:ind w:left="850"/>
        <w:spacing w:before="0" w:after="60" w:line="276" w:lineRule="auto"/>
      </w:pPr>
      <w:r>
        <w:rPr>
          <w:sz w:val="24"/>
        </w:rPr>
        <w:t>a Lei Federal nº 4.320, de 1964, quanto às normas gerais de contabilidade pública e à classificação da subvenção econômica como despesa;</w:t>
      </w:r>
    </w:p>
    <w:p>
      <w:pPr>
        <w:ind w:left="850"/>
        <w:spacing w:before="0" w:after="60" w:line="276" w:lineRule="auto"/>
      </w:pPr>
      <w:r>
        <w:rPr>
          <w:sz w:val="24"/>
        </w:rPr>
        <w:t>a Lei Complementar nº 101, de 2000 (Lei de Responsabilidade Fiscal), em especial os arts. 14 e 16;</w:t>
      </w:r>
    </w:p>
    <w:p>
      <w:pPr>
        <w:ind w:left="850"/>
        <w:spacing w:before="0" w:after="60" w:line="276" w:lineRule="auto"/>
      </w:pPr>
      <w:r>
        <w:rPr>
          <w:sz w:val="24"/>
        </w:rPr>
        <w:t>a Lei Federal nº 9.784, de 1999, quanto aos atos do processo administrativo não disciplinados em norma local;</w:t>
      </w:r>
    </w:p>
    <w:p>
      <w:pPr>
        <w:ind w:left="850"/>
        <w:spacing w:before="0" w:after="60" w:line="276" w:lineRule="auto"/>
      </w:pPr>
      <w:r>
        <w:rPr>
          <w:sz w:val="24"/>
        </w:rPr>
        <w:t>a Lei Federal nº 12.527, de 2011 (LAI), quanto ao acesso à informação e à publicidade ativa;</w:t>
      </w:r>
    </w:p>
    <w:p>
      <w:pPr>
        <w:ind w:left="850"/>
        <w:spacing w:before="0" w:after="60" w:line="276" w:lineRule="auto"/>
      </w:pPr>
      <w:r>
        <w:rPr>
          <w:sz w:val="24"/>
        </w:rPr>
        <w:t>a Lei Federal nº 13.709, de 2018 (LGPD), quanto ao tratamento de dados pessoais;</w:t>
      </w:r>
    </w:p>
    <w:p>
      <w:pPr>
        <w:ind w:left="850"/>
        <w:spacing w:before="0" w:after="60" w:line="276" w:lineRule="auto"/>
      </w:pPr>
      <w:r>
        <w:rPr>
          <w:sz w:val="24"/>
        </w:rPr>
        <w:t>demais normas municipais de administração financeira, patrimonial e de pessoal, quando aplicáveis por analogia.</w:t>
      </w:r>
    </w:p>
    <w:p>
      <w:pPr>
        <w:ind w:firstLine="709"/>
        <w:jc w:val="both"/>
        <w:spacing w:before="0" w:after="120" w:line="276" w:lineRule="auto"/>
      </w:pPr>
      <w:r>
        <w:rPr>
          <w:sz w:val="24"/>
        </w:rPr>
        <w:t>Parágrafo único. Em caso de dúvida interpretativa, a PGM manifesta-se de forma vinculante para a Administração, preservados os direitos do Proponente ao contraditório e à ampla defesa.</w:t>
      </w:r>
    </w:p>
    <w:p>
      <w:pPr>
        <w:jc w:val="center"/>
        <w:spacing w:before="160" w:after="80"/>
      </w:pPr>
      <w:r>
        <w:rPr>
          <w:b/>
          <w:sz w:val="24"/>
        </w:rPr>
        <w:t>Seção II — Da cláusula de revisão</w:t>
      </w:r>
    </w:p>
    <w:p>
      <w:pPr>
        <w:ind w:firstLine="709"/>
        <w:jc w:val="both"/>
        <w:spacing w:before="0" w:after="120" w:line="276" w:lineRule="auto"/>
      </w:pPr>
      <w:r>
        <w:rPr>
          <w:sz w:val="24"/>
        </w:rPr>
        <w:t>Art. 63 Este Decreto será revisto integralmente a cada 4 (quatro) anos, conforme o art. 6º, V, com base nos indicadores apurados no período (art. 58), nas manifestações do COMCITI, da CGM e da Procuradoria-Geral, e nas demandas do ecossistema.</w:t>
      </w:r>
    </w:p>
    <w:p>
      <w:pPr>
        <w:ind w:firstLine="709"/>
        <w:jc w:val="both"/>
        <w:spacing w:before="0" w:after="120" w:line="276" w:lineRule="auto"/>
      </w:pPr>
      <w:r>
        <w:rPr>
          <w:sz w:val="24"/>
        </w:rPr>
        <w:t>§ 1º A revisão poderá, fundamentadamente, ajustar parâmetros operacionais sem descaracterizar a arquitetura do Programa.</w:t>
      </w:r>
    </w:p>
    <w:p>
      <w:pPr>
        <w:ind w:firstLine="709"/>
        <w:jc w:val="both"/>
        <w:spacing w:before="0" w:after="120" w:line="276" w:lineRule="auto"/>
      </w:pPr>
      <w:r>
        <w:rPr>
          <w:sz w:val="24"/>
        </w:rPr>
        <w:t>§ 2º Alterações que envolvam o mecanismo tributário do Caminho B dependem de prévia alteração da Lei Complementar autorizativa e seguem o rito legislativo próprio.</w:t>
      </w:r>
    </w:p>
    <w:p>
      <w:pPr>
        <w:ind w:firstLine="709"/>
        <w:jc w:val="both"/>
        <w:spacing w:before="0" w:after="120" w:line="276" w:lineRule="auto"/>
      </w:pPr>
      <w:r>
        <w:rPr>
          <w:sz w:val="24"/>
        </w:rPr>
        <w:t>§ 3º (cláusula de revisão por reforma tributária não se aplica ao Caminho A, que opera por dotação orçamentária)</w:t>
      </w:r>
    </w:p>
    <w:p>
      <w:pPr>
        <w:jc w:val="center"/>
        <w:spacing w:before="160" w:after="80"/>
      </w:pPr>
      <w:r>
        <w:rPr>
          <w:b/>
          <w:sz w:val="24"/>
        </w:rPr>
        <w:t>Seção III — Das disposições transitórias</w:t>
      </w:r>
    </w:p>
    <w:p>
      <w:pPr>
        <w:ind w:firstLine="709"/>
        <w:jc w:val="both"/>
        <w:spacing w:before="0" w:after="120" w:line="276" w:lineRule="auto"/>
      </w:pPr>
      <w:r>
        <w:rPr>
          <w:sz w:val="24"/>
        </w:rPr>
        <w:t>Art. 64 Para o primeiro ciclo do Programa após a vigência deste Decreto, observadas as particularidades de implantação:</w:t>
      </w:r>
    </w:p>
    <w:p>
      <w:pPr>
        <w:ind w:left="850"/>
        <w:spacing w:before="0" w:after="60" w:line="276" w:lineRule="auto"/>
      </w:pPr>
      <w:r>
        <w:rPr>
          <w:sz w:val="24"/>
        </w:rPr>
        <w:t>o calendário poderá ser abreviado, a critério da SDE, mediante publicação de Edital específico, respeitada a antecedência mínima de 30 (trinta) dias para a abertura de submissões;</w:t>
      </w:r>
    </w:p>
    <w:p>
      <w:pPr>
        <w:ind w:left="850"/>
        <w:spacing w:before="0" w:after="60" w:line="276" w:lineRule="auto"/>
      </w:pPr>
      <w:r>
        <w:rPr>
          <w:sz w:val="24"/>
        </w:rPr>
        <w:t>a constituição da Comissão Técnica (art. 18) e do Comitê Decisório (art. 19) será finalizada em até 60 (sessenta) dias contados da publicação deste Decreto;</w:t>
      </w:r>
    </w:p>
    <w:p>
      <w:pPr>
        <w:ind w:left="850"/>
        <w:spacing w:before="0" w:after="60" w:line="276" w:lineRule="auto"/>
      </w:pPr>
      <w:r>
        <w:rPr>
          <w:sz w:val="24"/>
        </w:rPr>
        <w:t>o credenciamento dos APIs, por Decreto específico, deverá estar concluído em até 90 (noventa) dias contados da publicação deste Decreto, admitida a prorrogação motivada;</w:t>
      </w:r>
    </w:p>
    <w:p>
      <w:pPr>
        <w:ind w:left="850"/>
        <w:spacing w:before="0" w:after="60" w:line="276" w:lineRule="auto"/>
      </w:pPr>
      <w:r>
        <w:rPr>
          <w:sz w:val="24"/>
        </w:rPr>
        <w:t>a ativação operacional do FIT/Jlle, com Comitê Gestor instalado (art. 16, §3º), ocorrerá até 90 (noventa) dias contados da publicação;</w:t>
      </w:r>
    </w:p>
    <w:p>
      <w:pPr>
        <w:ind w:left="850"/>
        <w:spacing w:before="0" w:after="60" w:line="276" w:lineRule="auto"/>
      </w:pPr>
      <w:r>
        <w:rPr>
          <w:sz w:val="24"/>
        </w:rPr>
        <w:t>a primeira linha de base dos indicadores (art. 58, §3º) será consolidada ao término do primeiro ciclo, servindo de referência para as metas dos ciclos subsequentes;</w:t>
      </w:r>
    </w:p>
    <w:p>
      <w:pPr>
        <w:ind w:left="850"/>
        <w:spacing w:before="0" w:after="60" w:line="276" w:lineRule="auto"/>
      </w:pPr>
      <w:r>
        <w:rPr>
          <w:sz w:val="24"/>
        </w:rPr>
        <w:t>no Caminho B, o Programa somente entra em operação após a vigência da Lei Complementar municipal autorizativa e do respectivo regulamento complementar.</w:t>
      </w:r>
    </w:p>
    <w:p>
      <w:pPr>
        <w:ind w:firstLine="709"/>
        <w:jc w:val="both"/>
        <w:spacing w:before="0" w:after="120" w:line="276" w:lineRule="auto"/>
      </w:pPr>
      <w:r>
        <w:rPr>
          <w:sz w:val="24"/>
        </w:rPr>
        <w:t>§ 1º A SDE divulgará, em até 30 (trinta) dias contados da publicação deste Decreto, o cronograma de implantação com datas-chave das medidas previstas neste artigo.</w:t>
      </w:r>
    </w:p>
    <w:p>
      <w:pPr>
        <w:ind w:firstLine="709"/>
        <w:jc w:val="both"/>
        <w:spacing w:before="0" w:after="120" w:line="276" w:lineRule="auto"/>
      </w:pPr>
      <w:r>
        <w:rPr>
          <w:sz w:val="24"/>
        </w:rPr>
        <w:t>§ 2º Eventuais Projetos já em avaliação ou contratação no âmbito de iniciativas municipais anteriores de apoio à inovação que sejam compatíveis com este Decreto poderão ser incorporados ao Programa, mediante ato fundamentado da SDE e parecer da PGM.</w:t>
      </w:r>
    </w:p>
    <w:p>
      <w:pPr>
        <w:jc w:val="center"/>
        <w:spacing w:before="160" w:after="80"/>
      </w:pPr>
      <w:r>
        <w:rPr>
          <w:b/>
          <w:sz w:val="24"/>
        </w:rPr>
        <w:t>Seção IV — Da vigência e revogações</w:t>
      </w:r>
    </w:p>
    <w:p>
      <w:pPr>
        <w:ind w:firstLine="709"/>
        <w:jc w:val="both"/>
        <w:spacing w:before="0" w:after="120" w:line="276" w:lineRule="auto"/>
      </w:pPr>
      <w:r>
        <w:rPr>
          <w:sz w:val="24"/>
        </w:rPr>
        <w:t>Art. 65 Este Decreto entra em vigor na data de sua publicação, ressalvadas:</w:t>
      </w:r>
    </w:p>
    <w:p>
      <w:pPr>
        <w:ind w:left="850"/>
        <w:spacing w:before="0" w:after="60" w:line="276" w:lineRule="auto"/>
      </w:pPr>
      <w:r>
        <w:rPr>
          <w:sz w:val="24"/>
        </w:rPr>
        <w:t>as disposições do Capítulo V relativas ao Caminho B, que produzem efeitos a partir da vigência da Lei Complementar municipal autorizativa;</w:t>
      </w:r>
    </w:p>
    <w:p>
      <w:pPr>
        <w:ind w:left="850"/>
        <w:spacing w:before="0" w:after="60" w:line="276" w:lineRule="auto"/>
      </w:pPr>
      <w:r>
        <w:rPr>
          <w:sz w:val="24"/>
        </w:rPr>
        <w:t>as disposições que expressamente fixem termo diverso para sua eficácia.</w:t>
      </w:r>
    </w:p>
    <w:p>
      <w:pPr>
        <w:ind w:firstLine="709"/>
        <w:jc w:val="both"/>
        <w:spacing w:before="0" w:after="120" w:line="276" w:lineRule="auto"/>
      </w:pPr>
      <w:r>
        <w:rPr>
          <w:sz w:val="24"/>
        </w:rPr>
        <w:t>§ 1º Ficam revogadas as disposições em contrário, em especial aquelas que versem sobre apoio municipal direto a Projetos de Inovação de forma incompatível com este Decreto.</w:t>
      </w:r>
    </w:p>
    <w:p>
      <w:pPr>
        <w:ind w:firstLine="709"/>
        <w:jc w:val="both"/>
        <w:spacing w:before="0" w:after="120" w:line="276" w:lineRule="auto"/>
      </w:pPr>
      <w:r>
        <w:rPr>
          <w:sz w:val="24"/>
        </w:rPr>
        <w:t>§ 2º A SDE providenciará, no prazo de 60 (sessenta) dias da publicação deste Decreto, levantamento dos atos normativos municipais que tratem de temas correlatos, para fins de identificação de eventuais incompatibilidades e encaminhamento à Procuradoria-Geral.</w:t>
      </w:r>
    </w:p>
    <w:p>
      <w:pPr>
        <w:jc w:val="center"/>
        <w:spacing w:before="160" w:after="80"/>
      </w:pPr>
      <w:r>
        <w:rPr>
          <w:b/>
          <w:sz w:val="24"/>
        </w:rPr>
        <w:t>Fechamento</w:t>
      </w:r>
    </w:p>
    <w:p>
      <w:pPr>
        <w:jc w:val="center"/>
        <w:spacing w:before="0" w:after="200"/>
      </w:pPr>
      <w:r>
        <w:rPr>
          <w:b/>
          <w:sz w:val="26"/>
        </w:rPr>
        <w:t>Joinville, __ de ________ de 2026.</w:t>
      </w:r>
    </w:p>
    <w:p>
      <w:pPr>
        <w:jc w:val="center"/>
        <w:spacing w:before="0" w:after="200"/>
      </w:pPr>
      <w:r>
        <w:rPr>
          <w:b/>
          <w:sz w:val="26"/>
        </w:rPr>
        <w:t>ADRIANO BORNSCHEIN SILVAPrefeito do Município de Joinville</w:t>
      </w:r>
    </w:p>
    <w:p>
      <w:pPr>
        <w:jc w:val="center"/>
        <w:spacing w:before="0" w:after="200"/>
      </w:pPr>
      <w:r>
        <w:rPr>
          <w:b/>
          <w:sz w:val="26"/>
        </w:rPr>
        <w:t>Assinatura do Secretário da SDE — referendo conforme LOM de Joinville</w:t>
      </w:r>
    </w:p>
    <w:p>
      <w:pPr>
        <w:jc w:val="center"/>
        <w:spacing w:before="0" w:after="200"/>
      </w:pPr>
      <w:r>
        <w:rPr>
          <w:b/>
          <w:sz w:val="26"/>
        </w:rPr>
        <w:t>Assinatura do Secretário da SEFAZ — referendo quanto ao impacto orçamentário-financeiro</w:t>
      </w:r>
    </w:p>
    <w:p>
      <w:r>
        <w:br w:type="page"/>
      </w:r>
    </w:p>
    <w:p>
      <w:pPr>
        <w:jc w:val="center"/>
        <w:spacing w:before="400" w:after="400"/>
      </w:pPr>
      <w:r>
        <w:rPr>
          <w:sz w:val="20"/>
        </w:rPr>
        <w:t>* * *</w:t>
      </w:r>
    </w:p>
    <w:p>
      <w:pPr>
        <w:jc w:val="center"/>
        <w:spacing w:before="0" w:after="360"/>
      </w:pPr>
      <w:r>
        <w:rPr>
          <w:b/>
          <w:sz w:val="22"/>
        </w:rPr>
        <w:t>PARTE II — DECRETO DOS AMBIENTES DE PROGRAMAS DE INOVAÇÃO (APIs)</w:t>
      </w:r>
    </w:p>
    <w:p>
      <w:pPr>
        <w:jc w:val="center"/>
        <w:spacing w:before="320" w:after="80"/>
      </w:pPr>
      <w:r>
        <w:rPr>
          <w:b/>
          <w:sz w:val="24"/>
        </w:rPr>
        <w:t>PREÂMBULO E CONSIDERANDOS</w:t>
      </w:r>
    </w:p>
    <w:p>
      <w:pPr>
        <w:jc w:val="center"/>
        <w:spacing w:before="0" w:after="200"/>
      </w:pPr>
      <w:r>
        <w:rPr>
          <w:b/>
          <w:sz w:val="26"/>
        </w:rPr>
        <w:t>DECRETO Nº ______, DE __ DE ________ DE 2026.</w:t>
      </w:r>
    </w:p>
    <w:p>
      <w:pPr>
        <w:jc w:val="center"/>
        <w:spacing w:before="80" w:after="200"/>
      </w:pPr>
      <w:r>
        <w:rPr>
          <w:i/>
          <w:sz w:val="22"/>
        </w:rPr>
        <w:t>Regulamenta os Arranjos Promotores de Inovação (APIs) no âmbito do Programa Municipal de Incentivo à Inovação de Joinville (PII/Jlle), nos termos da Lei Municipal nº 7.170, de 19 de dezembro de 2011, e do Decreto nº ______, de ___ de ________ de 2026, organiza os APIs em clusters setoriais alinhados ao Plano Estratégico de Desenvolvimento Econômico Municipal — PEDEM 2022, define o processo de credenciamento, as competências, as vedações, o acompanhamento, as sanções e o descredenciamento, e dá outras providências.</w:t>
      </w:r>
    </w:p>
    <w:p>
      <w:pPr>
        <w:jc w:val="both"/>
        <w:spacing w:before="200" w:after="120"/>
      </w:pPr>
      <w:r>
        <w:rPr>
          <w:sz w:val="24"/>
        </w:rPr>
        <w:t>O PREFEITO DE JOINVILLE, no uso das atribuições que lhe são conferidas pelo art. 68, incisos IX e XII, da Lei Orgânica do Município, e</w:t>
      </w:r>
    </w:p>
    <w:p>
      <w:pPr>
        <w:jc w:val="center"/>
        <w:spacing w:before="160" w:after="80"/>
      </w:pPr>
      <w:r>
        <w:rPr>
          <w:b/>
          <w:sz w:val="24"/>
        </w:rPr>
        <w:t>CONSIDERANDO</w:t>
      </w:r>
    </w:p>
    <w:p>
      <w:pPr>
        <w:jc w:val="center"/>
        <w:spacing w:before="160" w:after="80"/>
      </w:pPr>
      <w:r>
        <w:rPr>
          <w:b/>
          <w:sz w:val="24"/>
        </w:rPr>
        <w:t>DECRETA:</w:t>
      </w:r>
    </w:p>
    <w:p>
      <w:pPr>
        <w:jc w:val="center"/>
        <w:spacing w:before="320" w:after="80"/>
      </w:pPr>
      <w:r>
        <w:rPr>
          <w:b/>
          <w:sz w:val="24"/>
        </w:rPr>
        <w:t>DISPOSIÇÕES PRELIMINARES</w:t>
      </w:r>
    </w:p>
    <w:p>
      <w:pPr>
        <w:jc w:val="center"/>
        <w:spacing w:before="160" w:after="80"/>
      </w:pPr>
      <w:r>
        <w:rPr>
          <w:b/>
          <w:sz w:val="24"/>
        </w:rPr>
        <w:t>Seção I — Do objeto</w:t>
      </w:r>
    </w:p>
    <w:p>
      <w:pPr>
        <w:ind w:firstLine="709"/>
        <w:jc w:val="both"/>
        <w:spacing w:before="0" w:after="120" w:line="276" w:lineRule="auto"/>
      </w:pPr>
      <w:r>
        <w:rPr>
          <w:sz w:val="24"/>
        </w:rPr>
        <w:t>Art. 1º Este Decreto regulamenta a organização, o credenciamento, as competências, o acompanhamento, as vedações, as sanções e o descredenciamento dos Arranjos Promotores de Inovação (APIs) no âmbito do Programa Municipal de Incentivo à Inovação de Joinville (PII/Jlle), nos termos do art. 17, §3º, do Decreto nº ______, de ___ de ________ de 2026.</w:t>
      </w:r>
    </w:p>
    <w:p>
      <w:pPr>
        <w:ind w:firstLine="709"/>
        <w:jc w:val="both"/>
        <w:spacing w:before="0" w:after="120" w:line="276" w:lineRule="auto"/>
      </w:pPr>
      <w:r>
        <w:rPr>
          <w:sz w:val="24"/>
        </w:rPr>
        <w:t>Parágrafo único. Este Decreto integra o conjunto normativo do Programa e deve ser interpretado em conjunto com a Lei Municipal nº 7.170, de 2011, com o Decreto do Programa (PII/Jlle), com a Lei Municipal nº 7.190, de 2012 e sua redação atualizada pela Lei Municipal nº 9.538, de 2023, bem como com o Regimento Interno do COMCITI.</w:t>
      </w:r>
    </w:p>
    <w:p>
      <w:pPr>
        <w:jc w:val="center"/>
        <w:spacing w:before="160" w:after="80"/>
      </w:pPr>
      <w:r>
        <w:rPr>
          <w:b/>
          <w:sz w:val="24"/>
        </w:rPr>
        <w:t>Seção II — Da aplicabilidade</w:t>
      </w:r>
    </w:p>
    <w:p>
      <w:pPr>
        <w:ind w:firstLine="709"/>
        <w:jc w:val="both"/>
        <w:spacing w:before="0" w:after="120" w:line="276" w:lineRule="auto"/>
      </w:pPr>
      <w:r>
        <w:rPr>
          <w:sz w:val="24"/>
        </w:rPr>
        <w:t>Art. 2º As disposições deste Decreto aplicam-se integralmente aos dois modelos de entrega do apoio financeiro do Programa, nos termos do Decreto do Programa:</w:t>
      </w:r>
    </w:p>
    <w:p>
      <w:pPr>
        <w:ind w:left="850"/>
        <w:spacing w:before="0" w:after="60" w:line="276" w:lineRule="auto"/>
      </w:pPr>
      <w:r>
        <w:rPr>
          <w:sz w:val="24"/>
        </w:rPr>
        <w:t>ao Caminho A — apoio financeiro direto, na modalidade de subvenção econômica, operado por meio do Fundo Municipal de Inovação Tecnológica de Joinville (FIT/Jlle);</w:t>
      </w:r>
    </w:p>
    <w:p>
      <w:pPr>
        <w:ind w:left="850"/>
        <w:spacing w:before="0" w:after="60" w:line="276" w:lineRule="auto"/>
      </w:pPr>
      <w:r>
        <w:rPr>
          <w:sz w:val="24"/>
        </w:rPr>
        <w:t>ao Caminho B — mecanismo de incentivo fiscal fundado no redirecionamento parcial de ISSQN e IPTU por contribuintes incentivadores, quando e se vigente a Lei Complementar municipal autorizativa.</w:t>
      </w:r>
    </w:p>
    <w:p>
      <w:pPr>
        <w:ind w:firstLine="709"/>
        <w:jc w:val="both"/>
        <w:spacing w:before="0" w:after="120" w:line="276" w:lineRule="auto"/>
      </w:pPr>
      <w:r>
        <w:rPr>
          <w:sz w:val="24"/>
        </w:rPr>
        <w:t>§ 1º A estrutura e as competências dos APIs são idênticas em ambos os Caminhos, não havendo diferenciação de credenciamento, composição ou obrigações em razão do mecanismo de entrega do recurso.</w:t>
      </w:r>
    </w:p>
    <w:p>
      <w:pPr>
        <w:ind w:firstLine="709"/>
        <w:jc w:val="both"/>
        <w:spacing w:before="0" w:after="120" w:line="276" w:lineRule="auto"/>
      </w:pPr>
      <w:r>
        <w:rPr>
          <w:sz w:val="24"/>
        </w:rPr>
        <w:t>§ 2º Enquanto não vigente a Lei Complementar municipal autorizativa referida no inciso II, este Decreto produz efeitos plenos em relação ao Caminho A.</w:t>
      </w:r>
    </w:p>
    <w:p>
      <w:pPr>
        <w:jc w:val="center"/>
        <w:spacing w:before="160" w:after="80"/>
      </w:pPr>
      <w:r>
        <w:rPr>
          <w:b/>
          <w:sz w:val="24"/>
        </w:rPr>
        <w:t>Seção III — Das definições</w:t>
      </w:r>
    </w:p>
    <w:p>
      <w:pPr>
        <w:ind w:firstLine="709"/>
        <w:jc w:val="both"/>
        <w:spacing w:before="0" w:after="120" w:line="276" w:lineRule="auto"/>
      </w:pPr>
      <w:r>
        <w:rPr>
          <w:sz w:val="24"/>
        </w:rPr>
        <w:t>Art. 3º Para os efeitos deste Decreto, considera-se:</w:t>
      </w:r>
    </w:p>
    <w:p>
      <w:pPr>
        <w:ind w:left="850"/>
        <w:spacing w:before="0" w:after="60" w:line="276" w:lineRule="auto"/>
      </w:pPr>
      <w:r>
        <w:rPr>
          <w:sz w:val="24"/>
        </w:rPr>
        <w:t>API — Arranjo Promotor de Inovação: estrutura temática setorial, credenciada pelo Município, responsável pelo filtro de elegibilidade, pela orientação técnica e pelo acompanhamento dos Proponentes do Programa, organizada em torno de um cluster setorial específico e operada por uma entidade gestora designada;</w:t>
      </w:r>
    </w:p>
    <w:p>
      <w:pPr>
        <w:ind w:left="850"/>
        <w:spacing w:before="0" w:after="60" w:line="276" w:lineRule="auto"/>
      </w:pPr>
      <w:r>
        <w:rPr>
          <w:sz w:val="24"/>
        </w:rPr>
        <w:t>Cluster setorial: recorte temático de atuação de um API, alinhado a um ou mais eixos econômicos estratégicos do Plano Estratégico de Desenvolvimento Econômico Municipal — PEDEM, vigente à data do credenciamento;</w:t>
      </w:r>
    </w:p>
    <w:p>
      <w:pPr>
        <w:ind w:left="850"/>
        <w:spacing w:before="0" w:after="60" w:line="276" w:lineRule="auto"/>
      </w:pPr>
      <w:r>
        <w:rPr>
          <w:sz w:val="24"/>
        </w:rPr>
        <w:t>Entidade gestora: pessoa jurídica de direito público ou privado, sem fins lucrativos, credenciada para operar um API em determinado cluster setorial, nos termos deste Decreto;</w:t>
      </w:r>
    </w:p>
    <w:p>
      <w:pPr>
        <w:ind w:left="850"/>
        <w:spacing w:before="0" w:after="60" w:line="276" w:lineRule="auto"/>
      </w:pPr>
      <w:r>
        <w:rPr>
          <w:sz w:val="24"/>
        </w:rPr>
        <w:t>Proponente: a pessoa física ou jurídica que apresenta Projeto de Inovação ao Programa, por intermédio de API credenciado, observados os requisitos do Decreto do Programa;</w:t>
      </w:r>
    </w:p>
    <w:p>
      <w:pPr>
        <w:ind w:left="850"/>
        <w:spacing w:before="0" w:after="60" w:line="276" w:lineRule="auto"/>
      </w:pPr>
      <w:r>
        <w:rPr>
          <w:sz w:val="24"/>
        </w:rPr>
        <w:t>Carta de vinculação: documento formal, assinado pelo API e pelo Proponente, que declara a relação entre ambos para fins de submissão de Projeto, observadas as vedações do art. 9º, §3º, do Decreto do Programa;</w:t>
      </w:r>
    </w:p>
    <w:p>
      <w:pPr>
        <w:ind w:left="850"/>
        <w:spacing w:before="0" w:after="60" w:line="276" w:lineRule="auto"/>
      </w:pPr>
      <w:r>
        <w:rPr>
          <w:sz w:val="24"/>
        </w:rPr>
        <w:t>Chamamento público: procedimento competitivo, impessoal e transparente, destinado ao credenciamento de entidades gestoras de APIs, nos termos do Capítulo IV deste Decreto;</w:t>
      </w:r>
    </w:p>
    <w:p>
      <w:pPr>
        <w:ind w:left="850"/>
        <w:spacing w:before="0" w:after="60" w:line="276" w:lineRule="auto"/>
      </w:pPr>
      <w:r>
        <w:rPr>
          <w:sz w:val="24"/>
        </w:rPr>
        <w:t>Credencial: o ato administrativo que reconhece uma entidade como gestora de um API, por prazo determinado e sob condições específicas;</w:t>
      </w:r>
    </w:p>
    <w:p>
      <w:pPr>
        <w:ind w:left="850"/>
        <w:spacing w:before="0" w:after="60" w:line="276" w:lineRule="auto"/>
      </w:pPr>
      <w:r>
        <w:rPr>
          <w:sz w:val="24"/>
        </w:rPr>
        <w:t>COMCITI: o Conselho Municipal de Ciência, Tecnologia e Inovação, instituído pela Lei Municipal nº 7.190, de 2012, atualmente regido pela Lei Municipal nº 9.538, de 2023;</w:t>
      </w:r>
    </w:p>
    <w:p>
      <w:pPr>
        <w:ind w:left="850"/>
        <w:spacing w:before="0" w:after="60" w:line="276" w:lineRule="auto"/>
      </w:pPr>
      <w:r>
        <w:rPr>
          <w:sz w:val="24"/>
        </w:rPr>
        <w:t>SDE: a Secretaria gestora do Programa, nos termos do Decreto do Programa, responsável pela operação cotidiana da relação com os APIs;</w:t>
      </w:r>
    </w:p>
    <w:p>
      <w:pPr>
        <w:ind w:left="850"/>
        <w:spacing w:before="0" w:after="60" w:line="276" w:lineRule="auto"/>
      </w:pPr>
      <w:r>
        <w:rPr>
          <w:sz w:val="24"/>
        </w:rPr>
        <w:t>PEDEM: o Plano Estratégico de Desenvolvimento Econômico Municipal de Joinville, instrumento de planejamento econômico que orienta a definição dos clusters setoriais dos APIs.</w:t>
      </w:r>
    </w:p>
    <w:p>
      <w:pPr>
        <w:jc w:val="center"/>
        <w:spacing w:before="160" w:after="80"/>
      </w:pPr>
      <w:r>
        <w:rPr>
          <w:b/>
          <w:sz w:val="24"/>
        </w:rPr>
        <w:t>Seção IV — Dos princípios</w:t>
      </w:r>
    </w:p>
    <w:p>
      <w:pPr>
        <w:ind w:firstLine="709"/>
        <w:jc w:val="both"/>
        <w:spacing w:before="0" w:after="120" w:line="276" w:lineRule="auto"/>
      </w:pPr>
      <w:r>
        <w:rPr>
          <w:sz w:val="24"/>
        </w:rPr>
        <w:t>Art. 4º A organização, o credenciamento e a atuação dos APIs observarão os seguintes princípios:</w:t>
      </w:r>
    </w:p>
    <w:p>
      <w:pPr>
        <w:ind w:left="850"/>
        <w:spacing w:before="0" w:after="60" w:line="276" w:lineRule="auto"/>
      </w:pPr>
      <w:r>
        <w:rPr>
          <w:sz w:val="24"/>
        </w:rPr>
        <w:t>Legalidade, impessoalidade, moralidade, publicidade e eficiência — aplicáveis a todos os atos relativos ao credenciamento, à atuação e ao descredenciamento;</w:t>
      </w:r>
    </w:p>
    <w:p>
      <w:pPr>
        <w:ind w:left="850"/>
        <w:spacing w:before="0" w:after="60" w:line="276" w:lineRule="auto"/>
      </w:pPr>
      <w:r>
        <w:rPr>
          <w:sz w:val="24"/>
        </w:rPr>
        <w:t>Separação entre orientação e decisão — o API atua como facilitador e porta de entrada do Programa, sendo-lhe vedado participar, direta ou indiretamente, da avaliação de mérito, da homologação dos resultados ou da fiscalização financeira dos Projetos;</w:t>
      </w:r>
    </w:p>
    <w:p>
      <w:pPr>
        <w:ind w:left="850"/>
        <w:spacing w:before="0" w:after="60" w:line="276" w:lineRule="auto"/>
      </w:pPr>
      <w:r>
        <w:rPr>
          <w:sz w:val="24"/>
        </w:rPr>
        <w:t>Alinhamento estratégico — a organização temática dos APIs segue os eixos econômicos estratégicos definidos pelo PEDEM vigente, preservada a capacidade de adaptação a revisões posteriores do plano;</w:t>
      </w:r>
    </w:p>
    <w:p>
      <w:pPr>
        <w:ind w:left="850"/>
        <w:spacing w:before="0" w:after="60" w:line="276" w:lineRule="auto"/>
      </w:pPr>
      <w:r>
        <w:rPr>
          <w:sz w:val="24"/>
        </w:rPr>
        <w:t>Pluralidade setorial — o Programa opera com múltiplos APIs, cada um especializado em um cluster setorial, de modo a refletir a diversidade da base produtiva do Município e a qualificar a orientação aos Proponentes;</w:t>
      </w:r>
    </w:p>
    <w:p>
      <w:pPr>
        <w:ind w:left="850"/>
        <w:spacing w:before="0" w:after="60" w:line="276" w:lineRule="auto"/>
      </w:pPr>
      <w:r>
        <w:rPr>
          <w:sz w:val="24"/>
        </w:rPr>
        <w:t>Continuidade institucional — as regras de credenciamento, substituição e renovação são desenhadas para preservar a continuidade operacional do Programa, mesmo diante de eventual substituição da entidade gestora de um API;</w:t>
      </w:r>
    </w:p>
    <w:p>
      <w:pPr>
        <w:ind w:left="850"/>
        <w:spacing w:before="0" w:after="60" w:line="276" w:lineRule="auto"/>
      </w:pPr>
      <w:r>
        <w:rPr>
          <w:sz w:val="24"/>
        </w:rPr>
        <w:t>Prevenção de conflito de interesses — vedações, impedimentos e declarações formais são aplicáveis à entidade gestora, a seus dirigentes e a seus prepostos, nos termos do Capítulo VII deste Decreto;</w:t>
      </w:r>
    </w:p>
    <w:p>
      <w:pPr>
        <w:ind w:left="850"/>
        <w:spacing w:before="0" w:after="60" w:line="276" w:lineRule="auto"/>
      </w:pPr>
      <w:r>
        <w:rPr>
          <w:sz w:val="24"/>
        </w:rPr>
        <w:t>Transparência ativa — a relação completa de APIs credenciados, de entidades gestoras, de dirigentes declarantes e de indicadores de desempenho é publicada e mantida atualizada no portal do Programa;</w:t>
      </w:r>
    </w:p>
    <w:p>
      <w:pPr>
        <w:ind w:left="850"/>
        <w:spacing w:before="0" w:after="60" w:line="276" w:lineRule="auto"/>
      </w:pPr>
      <w:r>
        <w:rPr>
          <w:sz w:val="24"/>
        </w:rPr>
        <w:t>Subsidiariedade regulatória — as matérias não disciplinadas neste Decreto são regidas subsidiariamente pelo Decreto do Programa, pela Lei nº 7.170, de 2011, pela Lei nº 9.784, de 1999, e pela legislação municipal aplicável.</w:t>
      </w:r>
    </w:p>
    <w:p>
      <w:pPr>
        <w:jc w:val="center"/>
        <w:spacing w:before="160" w:after="80"/>
      </w:pPr>
      <w:r>
        <w:rPr>
          <w:b/>
          <w:sz w:val="24"/>
        </w:rPr>
        <w:t>Seção V — Do alinhamento ao PEDEM</w:t>
      </w:r>
    </w:p>
    <w:p>
      <w:pPr>
        <w:ind w:firstLine="709"/>
        <w:jc w:val="both"/>
        <w:spacing w:before="0" w:after="120" w:line="276" w:lineRule="auto"/>
      </w:pPr>
      <w:r>
        <w:rPr>
          <w:sz w:val="24"/>
        </w:rPr>
        <w:t>Art. 5º A organização temática dos APIs observa, como diretriz estratégica permanente, os eixos econômicos estratégicos do PEDEM vigente no Município, sendo certo que:</w:t>
      </w:r>
    </w:p>
    <w:p>
      <w:pPr>
        <w:ind w:left="850"/>
        <w:spacing w:before="0" w:after="60" w:line="276" w:lineRule="auto"/>
      </w:pPr>
      <w:r>
        <w:rPr>
          <w:sz w:val="24"/>
        </w:rPr>
        <w:t>à data da edição deste Decreto, são reconhecidos como vigentes os 5 (cinco) eixos identificados pelo PEDEM 2022 — Cadeias Produtivas; Saúde e Bem-Estar; Turismo, Cultura, Economia Criativa e Colaborativa; Logística; e Inovação Tecnológica;</w:t>
      </w:r>
    </w:p>
    <w:p>
      <w:pPr>
        <w:ind w:left="850"/>
        <w:spacing w:before="0" w:after="60" w:line="276" w:lineRule="auto"/>
      </w:pPr>
      <w:r>
        <w:rPr>
          <w:sz w:val="24"/>
        </w:rPr>
        <w:t>a relação de clusters setoriais e de APIs correspondentes, estabelecida no Capítulo II deste Decreto, espelha os eixos do PEDEM vigente, preservada a capacidade de criação, fusão ou supressão de clusters por ato próprio, nos termos deste Decreto;</w:t>
      </w:r>
    </w:p>
    <w:p>
      <w:pPr>
        <w:ind w:left="850"/>
        <w:spacing w:before="0" w:after="60" w:line="276" w:lineRule="auto"/>
      </w:pPr>
      <w:r>
        <w:rPr>
          <w:sz w:val="24"/>
        </w:rPr>
        <w:t>a revisão formal do PEDEM enseja a revisão subsequente da relação de clusters e de APIs, por deliberação do COMCITI e ato do Prefeito, observado o procedimento do art. 10 deste Decreto;</w:t>
      </w:r>
    </w:p>
    <w:p>
      <w:pPr>
        <w:ind w:left="850"/>
        <w:spacing w:before="0" w:after="60" w:line="276" w:lineRule="auto"/>
      </w:pPr>
      <w:r>
        <w:rPr>
          <w:sz w:val="24"/>
        </w:rPr>
        <w:t>a vinculação ao PEDEM não obsta a criação, fundamentada, de APIs em temas transversais ou complementares aos eixos, sempre que demonstrado o interesse público municipal e a aderência à Lei nº 7.170, de 2011.</w:t>
      </w:r>
    </w:p>
    <w:p>
      <w:pPr>
        <w:ind w:firstLine="709"/>
        <w:jc w:val="both"/>
        <w:spacing w:before="0" w:after="120" w:line="276" w:lineRule="auto"/>
      </w:pPr>
      <w:r>
        <w:rPr>
          <w:sz w:val="24"/>
        </w:rPr>
        <w:t>Parágrafo único. A ancoragem dos clusters no PEDEM não transfere à política de inovação a condição de instrumento substitutivo do próprio PEDEM — ambos coexistem e se reforçam, cada qual com sua finalidade específica.</w:t>
      </w:r>
    </w:p>
    <w:p>
      <w:pPr>
        <w:jc w:val="center"/>
        <w:spacing w:before="320" w:after="80"/>
      </w:pPr>
      <w:r>
        <w:rPr>
          <w:b/>
          <w:sz w:val="24"/>
        </w:rPr>
        <w:t>CLUSTERS SETORIAIS E APIS INICIAIS</w:t>
      </w:r>
    </w:p>
    <w:p>
      <w:pPr>
        <w:jc w:val="center"/>
        <w:spacing w:before="160" w:after="80"/>
      </w:pPr>
      <w:r>
        <w:rPr>
          <w:b/>
          <w:sz w:val="24"/>
        </w:rPr>
        <w:t>Seção I — Da organização por clusters setoriais</w:t>
      </w:r>
    </w:p>
    <w:p>
      <w:pPr>
        <w:ind w:firstLine="709"/>
        <w:jc w:val="both"/>
        <w:spacing w:before="0" w:after="120" w:line="276" w:lineRule="auto"/>
      </w:pPr>
      <w:r>
        <w:rPr>
          <w:sz w:val="24"/>
        </w:rPr>
        <w:t>Art. 6º Os APIs do Programa organizam-se em clusters setoriais, cada qual especializado em um recorte temático alinhado a um dos eixos econômicos estratégicos do PEDEM vigente.</w:t>
      </w:r>
    </w:p>
    <w:p>
      <w:pPr>
        <w:ind w:firstLine="709"/>
        <w:jc w:val="both"/>
        <w:spacing w:before="0" w:after="120" w:line="276" w:lineRule="auto"/>
      </w:pPr>
      <w:r>
        <w:rPr>
          <w:sz w:val="24"/>
        </w:rPr>
        <w:t>§ 1º A cada cluster setorial corresponde 1 (um) API credenciado, operado por 1 (uma) entidade gestora, nos termos deste Decreto.</w:t>
      </w:r>
    </w:p>
    <w:p>
      <w:pPr>
        <w:ind w:firstLine="709"/>
        <w:jc w:val="both"/>
        <w:spacing w:before="0" w:after="120" w:line="276" w:lineRule="auto"/>
      </w:pPr>
      <w:r>
        <w:rPr>
          <w:sz w:val="24"/>
        </w:rPr>
        <w:t>§ 2º É vedada a sobreposição de clusters setoriais cobrindo a mesma área temática, salvo por subdivisão expressamente justificada em ato do COMCITI com base em diversidade regional, funcional ou de porte do ecossistema.</w:t>
      </w:r>
    </w:p>
    <w:p>
      <w:pPr>
        <w:ind w:firstLine="709"/>
        <w:jc w:val="both"/>
        <w:spacing w:before="0" w:after="120" w:line="276" w:lineRule="auto"/>
      </w:pPr>
      <w:r>
        <w:rPr>
          <w:sz w:val="24"/>
        </w:rPr>
        <w:t>§ 3º A definição do recorte temático de cada cluster é matéria do edital de chamamento público ou do ato de credenciamento transitório, preservada a compatibilidade com o eixo do PEDEM correspondente.</w:t>
      </w:r>
    </w:p>
    <w:p>
      <w:pPr>
        <w:jc w:val="center"/>
        <w:spacing w:before="160" w:after="80"/>
      </w:pPr>
      <w:r>
        <w:rPr>
          <w:b/>
          <w:sz w:val="24"/>
        </w:rPr>
        <w:t>Seção II — Dos clusters iniciais</w:t>
      </w:r>
    </w:p>
    <w:p>
      <w:pPr>
        <w:ind w:firstLine="709"/>
        <w:jc w:val="both"/>
        <w:spacing w:before="0" w:after="120" w:line="276" w:lineRule="auto"/>
      </w:pPr>
      <w:r>
        <w:rPr>
          <w:sz w:val="24"/>
        </w:rPr>
        <w:t>Art. 7º Ficam reconhecidos, à data da edição deste Decreto, os seguintes 5 (cinco) clusters setoriais, em espelhamento aos eixos econômicos estratégicos do PEDEM 2022:</w:t>
      </w:r>
    </w:p>
    <w:p>
      <w:pPr>
        <w:ind w:left="850"/>
        <w:spacing w:before="0" w:after="60" w:line="276" w:lineRule="auto"/>
      </w:pPr>
      <w:r>
        <w:rPr>
          <w:sz w:val="24"/>
        </w:rPr>
        <w:t>Cluster Indústria 4.0 e Cadeias Produtivas — recorte temático: manufatura avançada, metalmecânica, plástico, borracha, materiais, automação industrial, digitalização de processos fabris e cadeias produtivas tradicionais do Município. Correspondência PEDEM: Eixo 1 — Cadeias Produtivas;</w:t>
      </w:r>
    </w:p>
    <w:p>
      <w:pPr>
        <w:ind w:left="850"/>
        <w:spacing w:before="0" w:after="60" w:line="276" w:lineRule="auto"/>
      </w:pPr>
      <w:r>
        <w:rPr>
          <w:sz w:val="24"/>
        </w:rPr>
        <w:t>Cluster Saúde e Bem-Estar — recorte temático: healthtechs, dispositivos e equipamentos médicos, bioeconomia aplicada à saúde, tecnologias assistivas, saúde digital e inovação em serviços de atenção à saúde. Correspondência PEDEM: Eixo 2 — Saúde e Bem-Estar;</w:t>
      </w:r>
    </w:p>
    <w:p>
      <w:pPr>
        <w:ind w:left="850"/>
        <w:spacing w:before="0" w:after="60" w:line="276" w:lineRule="auto"/>
      </w:pPr>
      <w:r>
        <w:rPr>
          <w:sz w:val="24"/>
        </w:rPr>
        <w:t>Cluster Economia Criativa, Turismo e Cultura — recorte temático: produção cultural inovadora, tecnologias aplicadas ao turismo, gastronomia, artes cênicas, audiovisual, design, moda autoral e patrimônio cultural. Correspondência PEDEM: Eixo 3 — Turismo, Cultura, Economia Criativa e Colaborativa;</w:t>
      </w:r>
    </w:p>
    <w:p>
      <w:pPr>
        <w:ind w:left="850"/>
        <w:spacing w:before="0" w:after="60" w:line="276" w:lineRule="auto"/>
      </w:pPr>
      <w:r>
        <w:rPr>
          <w:sz w:val="24"/>
        </w:rPr>
        <w:t>Cluster Logística, Mobilidade e Infraestrutura — recorte temático: tecnologias aplicadas a transporte, logística multimodal, operações portuárias, ferroviárias e aeroportuárias, mobilidade urbana inteligente e cadeias de suprimentos. Correspondência PEDEM: Eixo 4 — Logística;</w:t>
      </w:r>
    </w:p>
    <w:p>
      <w:pPr>
        <w:ind w:left="850"/>
        <w:spacing w:before="0" w:after="60" w:line="276" w:lineRule="auto"/>
      </w:pPr>
      <w:r>
        <w:rPr>
          <w:sz w:val="24"/>
        </w:rPr>
        <w:t>Cluster Tecnologia, Software e Serviços de Informação — recorte temático: desenvolvimento de software, serviços de tecnologia da informação, inteligência artificial, cibersegurança, telecomunicações e modelos de negócio digitais. Correspondência PEDEM: Eixo 5 — Inovação Tecnológica.</w:t>
      </w:r>
    </w:p>
    <w:p>
      <w:pPr>
        <w:ind w:firstLine="709"/>
        <w:jc w:val="both"/>
        <w:spacing w:before="0" w:after="120" w:line="276" w:lineRule="auto"/>
      </w:pPr>
      <w:r>
        <w:rPr>
          <w:sz w:val="24"/>
        </w:rPr>
        <w:t>§ 1º A relação constante deste artigo não é numerus clausus — novos clusters podem ser criados, nos termos do art. 10 deste Decreto, sempre que demonstrado o interesse público municipal e a aderência aos eixos do PEDEM vigente.</w:t>
      </w:r>
    </w:p>
    <w:p>
      <w:pPr>
        <w:ind w:firstLine="709"/>
        <w:jc w:val="both"/>
        <w:spacing w:before="0" w:after="120" w:line="276" w:lineRule="auto"/>
      </w:pPr>
      <w:r>
        <w:rPr>
          <w:sz w:val="24"/>
        </w:rPr>
        <w:t>§ 2º Um mesmo Proponente poderá, sucessivamente em ciclos distintos, apresentar Projetos vinculados a clusters diferentes, desde que justificada a aderência temática de cada Projeto ao respectivo cluster.</w:t>
      </w:r>
    </w:p>
    <w:p>
      <w:pPr>
        <w:ind w:firstLine="709"/>
        <w:jc w:val="both"/>
        <w:spacing w:before="0" w:after="120" w:line="276" w:lineRule="auto"/>
      </w:pPr>
      <w:r>
        <w:rPr>
          <w:sz w:val="24"/>
        </w:rPr>
        <w:t>§ 3º Projetos de natureza transversal, que abranjam mais de um cluster, serão vinculados ao cluster predominante, conforme manifestação do API correspondente e ratificação da SDE.</w:t>
      </w:r>
    </w:p>
    <w:p>
      <w:pPr>
        <w:jc w:val="center"/>
        <w:spacing w:before="160" w:after="80"/>
      </w:pPr>
      <w:r>
        <w:rPr>
          <w:b/>
          <w:sz w:val="24"/>
        </w:rPr>
        <w:t>Seção III — Da natureza do API</w:t>
      </w:r>
    </w:p>
    <w:p>
      <w:pPr>
        <w:ind w:firstLine="709"/>
        <w:jc w:val="both"/>
        <w:spacing w:before="0" w:after="120" w:line="276" w:lineRule="auto"/>
      </w:pPr>
      <w:r>
        <w:rPr>
          <w:sz w:val="24"/>
        </w:rPr>
        <w:t>Art. 8º O API é estrutura técnico-operacional do Programa, e não se confunde com a entidade gestora que o opera, aplicando-se as seguintes diretrizes:</w:t>
      </w:r>
    </w:p>
    <w:p>
      <w:pPr>
        <w:ind w:left="850"/>
        <w:spacing w:before="0" w:after="60" w:line="276" w:lineRule="auto"/>
      </w:pPr>
      <w:r>
        <w:rPr>
          <w:sz w:val="24"/>
        </w:rPr>
        <w:t>o API é permanente enquanto vigente o cluster a que corresponde, podendo sua entidade gestora ser substituída sem extinção do API, nos termos do art. 9º;</w:t>
      </w:r>
    </w:p>
    <w:p>
      <w:pPr>
        <w:ind w:left="850"/>
        <w:spacing w:before="0" w:after="60" w:line="276" w:lineRule="auto"/>
      </w:pPr>
      <w:r>
        <w:rPr>
          <w:sz w:val="24"/>
        </w:rPr>
        <w:t>a extinção de um API é condicionada à extinção, fusão ou reorganização do cluster correspondente, por ato próprio decorrente de revisão do PEDEM ou de deliberação do COMCITI fundamentada em dado objetivo;</w:t>
      </w:r>
    </w:p>
    <w:p>
      <w:pPr>
        <w:ind w:left="850"/>
        <w:spacing w:before="0" w:after="60" w:line="276" w:lineRule="auto"/>
      </w:pPr>
      <w:r>
        <w:rPr>
          <w:sz w:val="24"/>
        </w:rPr>
        <w:t>o API não detém personalidade jurídica própria — sua representação institucional perante o Programa é exercida pela entidade gestora credenciada;</w:t>
      </w:r>
    </w:p>
    <w:p>
      <w:pPr>
        <w:ind w:left="850"/>
        <w:spacing w:before="0" w:after="60" w:line="276" w:lineRule="auto"/>
      </w:pPr>
      <w:r>
        <w:rPr>
          <w:sz w:val="24"/>
        </w:rPr>
        <w:t>o API não é órgão da Administração Pública Municipal, não integra a estrutura administrativa do Executivo e não tem poder de decisão sobre os recursos do FIT/Jlle ou sobre o mérito de Projetos.</w:t>
      </w:r>
    </w:p>
    <w:p>
      <w:pPr>
        <w:jc w:val="center"/>
        <w:spacing w:before="160" w:after="80"/>
      </w:pPr>
      <w:r>
        <w:rPr>
          <w:b/>
          <w:sz w:val="24"/>
        </w:rPr>
        <w:t>Seção IV — Da entidade gestora única</w:t>
      </w:r>
    </w:p>
    <w:p>
      <w:pPr>
        <w:ind w:firstLine="709"/>
        <w:jc w:val="both"/>
        <w:spacing w:before="0" w:after="120" w:line="276" w:lineRule="auto"/>
      </w:pPr>
      <w:r>
        <w:rPr>
          <w:sz w:val="24"/>
        </w:rPr>
        <w:t>Art. 9º Cada API é operado por 1 (uma) entidade gestora credenciada, observados os requisitos do Capítulo III deste Decreto.</w:t>
      </w:r>
    </w:p>
    <w:p>
      <w:pPr>
        <w:ind w:firstLine="709"/>
        <w:jc w:val="both"/>
        <w:spacing w:before="0" w:after="120" w:line="276" w:lineRule="auto"/>
      </w:pPr>
      <w:r>
        <w:rPr>
          <w:sz w:val="24"/>
        </w:rPr>
        <w:t>§ 1º A entidade gestora pode ser substituída, sem extinção do API correspondente, nas seguintes hipóteses:</w:t>
      </w:r>
    </w:p>
    <w:p>
      <w:pPr>
        <w:ind w:left="850"/>
        <w:spacing w:before="0" w:after="60" w:line="276" w:lineRule="auto"/>
      </w:pPr>
      <w:r>
        <w:rPr>
          <w:sz w:val="24"/>
        </w:rPr>
        <w:t>por renúncia formalizada da entidade gestora, com antecedência mínima de 180 (cento e oitenta) dias em relação ao término da vigência da credencial;</w:t>
      </w:r>
    </w:p>
    <w:p>
      <w:pPr>
        <w:ind w:left="850"/>
        <w:spacing w:before="0" w:after="60" w:line="276" w:lineRule="auto"/>
      </w:pPr>
      <w:r>
        <w:rPr>
          <w:sz w:val="24"/>
        </w:rPr>
        <w:t>por descredenciamento, nos termos do Capítulo VII deste Decreto;</w:t>
      </w:r>
    </w:p>
    <w:p>
      <w:pPr>
        <w:ind w:left="850"/>
        <w:spacing w:before="0" w:after="60" w:line="276" w:lineRule="auto"/>
      </w:pPr>
      <w:r>
        <w:rPr>
          <w:sz w:val="24"/>
        </w:rPr>
        <w:t>por término da validade da credencial, sem renovação, nos termos do Capítulo IV;</w:t>
      </w:r>
    </w:p>
    <w:p>
      <w:pPr>
        <w:ind w:left="850"/>
        <w:spacing w:before="0" w:after="60" w:line="276" w:lineRule="auto"/>
      </w:pPr>
      <w:r>
        <w:rPr>
          <w:sz w:val="24"/>
        </w:rPr>
        <w:t>por fusão, cisão, incorporação, extinção ou perda de capacidade operacional da entidade gestora, comprovada por documentação idônea.</w:t>
      </w:r>
    </w:p>
    <w:p>
      <w:pPr>
        <w:ind w:firstLine="709"/>
        <w:jc w:val="both"/>
        <w:spacing w:before="0" w:after="120" w:line="276" w:lineRule="auto"/>
      </w:pPr>
      <w:r>
        <w:rPr>
          <w:sz w:val="24"/>
        </w:rPr>
        <w:t>§ 2º A substituição da entidade gestora é formalizada por ato do Prefeito, precedido de parecer do COMCITI e de manifestação técnica da SDE, e pode ser precedida por período transitório de até 120 (cento e vinte) dias para transferência organizada de carteira de Proponentes, registros e responsabilidades.</w:t>
      </w:r>
    </w:p>
    <w:p>
      <w:pPr>
        <w:ind w:firstLine="709"/>
        <w:jc w:val="both"/>
        <w:spacing w:before="0" w:after="120" w:line="276" w:lineRule="auto"/>
      </w:pPr>
      <w:r>
        <w:rPr>
          <w:sz w:val="24"/>
        </w:rPr>
        <w:t>§ 3º Durante o período transitório de substituição, a entidade gestora cessante mantém as obrigações de acompanhamento dos Proponentes já vinculados, até formal assunção pela nova entidade gestora, sob pena das sanções do Capítulo VII.</w:t>
      </w:r>
    </w:p>
    <w:p>
      <w:pPr>
        <w:ind w:firstLine="709"/>
        <w:jc w:val="both"/>
        <w:spacing w:before="0" w:after="120" w:line="276" w:lineRule="auto"/>
      </w:pPr>
      <w:r>
        <w:rPr>
          <w:sz w:val="24"/>
        </w:rPr>
        <w:t>§ 4º É vedada a substituição da entidade gestora sem prévia definição da sucessora ou sem plano de transição aprovado pela SDE, exceto nas hipóteses de descredenciamento por descumprimento grave, que observam rito próprio.</w:t>
      </w:r>
    </w:p>
    <w:p>
      <w:pPr>
        <w:jc w:val="center"/>
        <w:spacing w:before="160" w:after="80"/>
      </w:pPr>
      <w:r>
        <w:rPr>
          <w:b/>
          <w:sz w:val="24"/>
        </w:rPr>
        <w:t>Seção V — Da atualização dos clusters</w:t>
      </w:r>
    </w:p>
    <w:p>
      <w:pPr>
        <w:ind w:firstLine="709"/>
        <w:jc w:val="both"/>
        <w:spacing w:before="0" w:after="120" w:line="276" w:lineRule="auto"/>
      </w:pPr>
      <w:r>
        <w:rPr>
          <w:sz w:val="24"/>
        </w:rPr>
        <w:t>Art. 10 A relação de clusters setoriais e de APIs correspondentes será revista sempre que:</w:t>
      </w:r>
    </w:p>
    <w:p>
      <w:pPr>
        <w:ind w:left="850"/>
        <w:spacing w:before="0" w:after="60" w:line="276" w:lineRule="auto"/>
      </w:pPr>
      <w:r>
        <w:rPr>
          <w:sz w:val="24"/>
        </w:rPr>
        <w:t>o PEDEM sofrer revisão formal publicada pelo Município, hipótese em que a SDE, em até 180 (cento e oitenta) dias da publicação do novo PEDEM, submeterá ao COMCITI proposta de atualização da relação de clusters;</w:t>
      </w:r>
    </w:p>
    <w:p>
      <w:pPr>
        <w:ind w:left="850"/>
        <w:spacing w:before="0" w:after="60" w:line="276" w:lineRule="auto"/>
      </w:pPr>
      <w:r>
        <w:rPr>
          <w:sz w:val="24"/>
        </w:rPr>
        <w:t>o COMCITI, por deliberação fundamentada da maioria simples de seus membros presentes em reunião regularmente convocada, identificar a necessidade de criação, fusão, subdivisão ou supressão de cluster setorial, com base em dado econômico, científico ou institucional objetivo, observado o quórum mínimo de instalação previsto no Regimento Interno do Conselho;</w:t>
      </w:r>
    </w:p>
    <w:p>
      <w:pPr>
        <w:ind w:left="850"/>
        <w:spacing w:before="0" w:after="60" w:line="276" w:lineRule="auto"/>
      </w:pPr>
      <w:r>
        <w:rPr>
          <w:sz w:val="24"/>
        </w:rPr>
        <w:t>houver proposta da SDE, devidamente motivada, apresentada ao COMCITI para deliberação.</w:t>
      </w:r>
    </w:p>
    <w:p>
      <w:pPr>
        <w:ind w:firstLine="709"/>
        <w:jc w:val="both"/>
        <w:spacing w:before="0" w:after="120" w:line="276" w:lineRule="auto"/>
      </w:pPr>
      <w:r>
        <w:rPr>
          <w:sz w:val="24"/>
        </w:rPr>
        <w:t>§ 1º A alteração da relação de clusters formaliza-se por decreto do Prefeito, precedido de parecer do COMCITI e de nota técnica da SDE.</w:t>
      </w:r>
    </w:p>
    <w:p>
      <w:pPr>
        <w:ind w:firstLine="709"/>
        <w:jc w:val="both"/>
        <w:spacing w:before="0" w:after="120" w:line="276" w:lineRule="auto"/>
      </w:pPr>
      <w:r>
        <w:rPr>
          <w:sz w:val="24"/>
        </w:rPr>
        <w:t>§ 2º A criação de novo cluster enseja chamamento público específico para credenciamento de entidade gestora, nos termos do Capítulo IV deste Decreto, salvo nas hipóteses de reorganização interna que não ensejem nova entidade gestora.</w:t>
      </w:r>
    </w:p>
    <w:p>
      <w:pPr>
        <w:ind w:firstLine="709"/>
        <w:jc w:val="both"/>
        <w:spacing w:before="0" w:after="120" w:line="276" w:lineRule="auto"/>
      </w:pPr>
      <w:r>
        <w:rPr>
          <w:sz w:val="24"/>
        </w:rPr>
        <w:t>§ 3º A supressão ou fusão de cluster observará cláusula de transição que assegure a continuidade da orientação dos Proponentes em execução e a transferência organizada das carteiras aos clusters sucessores.</w:t>
      </w:r>
    </w:p>
    <w:p>
      <w:pPr>
        <w:jc w:val="center"/>
        <w:spacing w:before="320" w:after="80"/>
      </w:pPr>
      <w:r>
        <w:rPr>
          <w:b/>
          <w:sz w:val="24"/>
        </w:rPr>
        <w:t>NATUREZA E REQUISITOS DA ENTIDADE GESTORA</w:t>
      </w:r>
    </w:p>
    <w:p>
      <w:pPr>
        <w:jc w:val="center"/>
        <w:spacing w:before="160" w:after="80"/>
      </w:pPr>
      <w:r>
        <w:rPr>
          <w:b/>
          <w:sz w:val="24"/>
        </w:rPr>
        <w:t>Seção I — Da natureza da entidade gestora</w:t>
      </w:r>
    </w:p>
    <w:p>
      <w:pPr>
        <w:ind w:firstLine="709"/>
        <w:jc w:val="both"/>
        <w:spacing w:before="0" w:after="120" w:line="276" w:lineRule="auto"/>
      </w:pPr>
      <w:r>
        <w:rPr>
          <w:sz w:val="24"/>
        </w:rPr>
        <w:t>Art. 11 A entidade gestora de API é pessoa jurídica, pública ou privada sem fins lucrativos, com finalidade estatutária compatível com o fomento à inovação tecnológica, à pesquisa científica ou ao desenvolvimento empresarial, credenciada na forma do Capítulo IV deste Decreto.</w:t>
      </w:r>
    </w:p>
    <w:p>
      <w:pPr>
        <w:ind w:firstLine="709"/>
        <w:jc w:val="both"/>
        <w:spacing w:before="0" w:after="120" w:line="276" w:lineRule="auto"/>
      </w:pPr>
      <w:r>
        <w:rPr>
          <w:sz w:val="24"/>
        </w:rPr>
        <w:t>§ 1º Consideram-se pessoas jurídicas aptas a atuar como entidade gestora de API:</w:t>
      </w:r>
    </w:p>
    <w:p>
      <w:pPr>
        <w:ind w:left="850"/>
        <w:spacing w:before="0" w:after="60" w:line="276" w:lineRule="auto"/>
      </w:pPr>
      <w:r>
        <w:rPr>
          <w:sz w:val="24"/>
        </w:rPr>
        <w:t>associações civis sem fins lucrativos, constituídas nos termos do Código Civil, art. 53 e seguintes;</w:t>
      </w:r>
    </w:p>
    <w:p>
      <w:pPr>
        <w:ind w:left="850"/>
        <w:spacing w:before="0" w:after="60" w:line="276" w:lineRule="auto"/>
      </w:pPr>
      <w:r>
        <w:rPr>
          <w:sz w:val="24"/>
        </w:rPr>
        <w:t>fundações de direito privado, instituídas nos termos do Código Civil, art. 62 e seguintes;</w:t>
      </w:r>
    </w:p>
    <w:p>
      <w:pPr>
        <w:ind w:left="850"/>
        <w:spacing w:before="0" w:after="60" w:line="276" w:lineRule="auto"/>
      </w:pPr>
      <w:r>
        <w:rPr>
          <w:sz w:val="24"/>
        </w:rPr>
        <w:t>Organizações da Sociedade Civil de Interesse Público (OSCIPs), qualificadas na forma da Lei Federal nº 9.790, de 1999;</w:t>
      </w:r>
    </w:p>
    <w:p>
      <w:pPr>
        <w:ind w:left="850"/>
        <w:spacing w:before="0" w:after="60" w:line="276" w:lineRule="auto"/>
      </w:pPr>
      <w:r>
        <w:rPr>
          <w:sz w:val="24"/>
        </w:rPr>
        <w:t>Instituições Científicas, Tecnológicas e de Inovação (ICTs) privadas, assim entendidas as entidades privadas sem fins lucrativos que tenham por missão institucional, entre outras, executar atividades de pesquisa básica ou aplicada de caráter científico ou tecnológico, ou de desenvolvimento de novos produtos, serviços ou processos;</w:t>
      </w:r>
    </w:p>
    <w:p>
      <w:pPr>
        <w:ind w:left="850"/>
        <w:spacing w:before="0" w:after="60" w:line="276" w:lineRule="auto"/>
      </w:pPr>
      <w:r>
        <w:rPr>
          <w:sz w:val="24"/>
        </w:rPr>
        <w:t>entidades empresariais sem fins lucrativos (associações comerciais, industriais ou setoriais, sindicatos patronais de categoria econômica);</w:t>
      </w:r>
    </w:p>
    <w:p>
      <w:pPr>
        <w:ind w:left="850"/>
        <w:spacing w:before="0" w:after="60" w:line="276" w:lineRule="auto"/>
      </w:pPr>
      <w:r>
        <w:rPr>
          <w:sz w:val="24"/>
        </w:rPr>
        <w:t>fundações de apoio instituídas e vinculadas a ICTs ou Instituições de Ensino Superior com atuação em Joinville ou região;</w:t>
      </w:r>
    </w:p>
    <w:p>
      <w:pPr>
        <w:ind w:left="850"/>
        <w:spacing w:before="0" w:after="60" w:line="276" w:lineRule="auto"/>
      </w:pPr>
      <w:r>
        <w:rPr>
          <w:sz w:val="24"/>
        </w:rPr>
        <w:t>entidades da administração pública indireta com finalidade de fomento à inovação, ao empreendedorismo ou ao desenvolvimento econômico setorial.</w:t>
      </w:r>
    </w:p>
    <w:p>
      <w:pPr>
        <w:ind w:firstLine="709"/>
        <w:jc w:val="both"/>
        <w:spacing w:before="0" w:after="120" w:line="276" w:lineRule="auto"/>
      </w:pPr>
      <w:r>
        <w:rPr>
          <w:sz w:val="24"/>
        </w:rPr>
        <w:t>§ 2º É vedada a atuação como entidade gestora de API por:</w:t>
      </w:r>
    </w:p>
    <w:p>
      <w:pPr>
        <w:ind w:left="850"/>
        <w:spacing w:before="0" w:after="60" w:line="276" w:lineRule="auto"/>
      </w:pPr>
      <w:r>
        <w:rPr>
          <w:sz w:val="24"/>
        </w:rPr>
        <w:t>pessoa jurídica de direito privado com fins lucrativos, sob qualquer forma societária;</w:t>
      </w:r>
    </w:p>
    <w:p>
      <w:pPr>
        <w:ind w:left="850"/>
        <w:spacing w:before="0" w:after="60" w:line="276" w:lineRule="auto"/>
      </w:pPr>
      <w:r>
        <w:rPr>
          <w:sz w:val="24"/>
        </w:rPr>
        <w:t>sociedades empresárias, sociedades simples e empresários individuais, nos termos do Código Civil, art. 966 e seguintes;</w:t>
      </w:r>
    </w:p>
    <w:p>
      <w:pPr>
        <w:ind w:left="850"/>
        <w:spacing w:before="0" w:after="60" w:line="276" w:lineRule="auto"/>
      </w:pPr>
      <w:r>
        <w:rPr>
          <w:sz w:val="24"/>
        </w:rPr>
        <w:t>microempresas, empresas de pequeno porte ou microempreendedores individuais (MEI);</w:t>
      </w:r>
    </w:p>
    <w:p>
      <w:pPr>
        <w:ind w:left="850"/>
        <w:spacing w:before="0" w:after="60" w:line="276" w:lineRule="auto"/>
      </w:pPr>
      <w:r>
        <w:rPr>
          <w:sz w:val="24"/>
        </w:rPr>
        <w:t>pessoas físicas.</w:t>
      </w:r>
    </w:p>
    <w:p>
      <w:pPr>
        <w:ind w:firstLine="709"/>
        <w:jc w:val="both"/>
        <w:spacing w:before="0" w:after="120" w:line="276" w:lineRule="auto"/>
      </w:pPr>
      <w:r>
        <w:rPr>
          <w:sz w:val="24"/>
        </w:rPr>
        <w:t>§ 3º A entidade gestora pode acumular, no âmbito deste Decreto, a condição de gestora de API com outras finalidades estatutárias, desde que mantenha separação contábil e gerencial clara entre as atividades de gestão do API e as demais, sob pena de descredenciamento, na forma do Capítulo VII.</w:t>
      </w:r>
    </w:p>
    <w:p>
      <w:pPr>
        <w:ind w:firstLine="709"/>
        <w:jc w:val="both"/>
        <w:spacing w:before="0" w:after="120" w:line="276" w:lineRule="auto"/>
      </w:pPr>
      <w:r>
        <w:rPr>
          <w:sz w:val="24"/>
        </w:rPr>
        <w:t>§ 4º Os requisitos e a documentação previstos nas Seções seguintes são o mínimo indispensável à comprovação da idoneidade, da finalidade pública e da capacidade operacional da entidade, observado o art. 4º, III e VIII, da Lei Federal nº 13.874, de 2019 (Lei da Liberdade Econômica) — que veda o abuso do poder regulatório por exigências técnicas desnecessárias ao fim desejado —, os princípios da celeridade, da razoabilidade e da proporcionalidade e a vedação à exigência de obrigações acessórias desnecessárias ou redundantes.</w:t>
      </w:r>
    </w:p>
    <w:p>
      <w:pPr>
        <w:jc w:val="center"/>
        <w:spacing w:before="160" w:after="80"/>
      </w:pPr>
      <w:r>
        <w:rPr>
          <w:b/>
          <w:sz w:val="24"/>
        </w:rPr>
        <w:t>Seção II — Dos requisitos gerais</w:t>
      </w:r>
    </w:p>
    <w:p>
      <w:pPr>
        <w:ind w:firstLine="709"/>
        <w:jc w:val="both"/>
        <w:spacing w:before="0" w:after="120" w:line="276" w:lineRule="auto"/>
      </w:pPr>
      <w:r>
        <w:rPr>
          <w:sz w:val="24"/>
        </w:rPr>
        <w:t>Art. 12 São requisitos gerais, cumulativos, para o credenciamento da entidade gestora de API:</w:t>
      </w:r>
    </w:p>
    <w:p>
      <w:pPr>
        <w:ind w:left="850"/>
        <w:spacing w:before="0" w:after="60" w:line="276" w:lineRule="auto"/>
      </w:pPr>
      <w:r>
        <w:rPr>
          <w:sz w:val="24"/>
        </w:rPr>
        <w:t>personalidade jurídica regular, com inscrição ativa no CNPJ;</w:t>
      </w:r>
    </w:p>
    <w:p>
      <w:pPr>
        <w:ind w:left="850"/>
        <w:spacing w:before="0" w:after="60" w:line="276" w:lineRule="auto"/>
      </w:pPr>
      <w:r>
        <w:rPr>
          <w:sz w:val="24"/>
        </w:rPr>
        <w:t>ato constitutivo ou estatuto social vigente, com finalidade estatutária que abranja, ao menos em parte, o fomento à inovação, ao empreendedorismo ou ao desenvolvimento econômico de setor correspondente ao cluster pretendido;</w:t>
      </w:r>
    </w:p>
    <w:p>
      <w:pPr>
        <w:ind w:left="850"/>
        <w:spacing w:before="0" w:after="60" w:line="276" w:lineRule="auto"/>
      </w:pPr>
      <w:r>
        <w:rPr>
          <w:sz w:val="24"/>
        </w:rPr>
        <w:t>sede, filial ou unidade operacional em Joinville ou na região metropolitana, com capacidade de atendimento presencial a proponentes locais;</w:t>
      </w:r>
    </w:p>
    <w:p>
      <w:pPr>
        <w:ind w:left="850"/>
        <w:spacing w:before="0" w:after="60" w:line="276" w:lineRule="auto"/>
      </w:pPr>
      <w:r>
        <w:rPr>
          <w:sz w:val="24"/>
        </w:rPr>
        <w:t>tempo mínimo de 2 (dois) anos de funcionamento regular, a contar da data de registro do ato constitutivo, ressalvadas as hipóteses do art. 13, §§ 3º e 4º;</w:t>
      </w:r>
    </w:p>
    <w:p>
      <w:pPr>
        <w:ind w:left="850"/>
        <w:spacing w:before="0" w:after="60" w:line="276" w:lineRule="auto"/>
      </w:pPr>
      <w:r>
        <w:rPr>
          <w:sz w:val="24"/>
        </w:rPr>
        <w:t>regularidade fiscal e trabalhista perante as Fazendas Federal, Estadual e Municipal, o FGTS e a Justiça do Trabalho (CNDT);</w:t>
      </w:r>
    </w:p>
    <w:p>
      <w:pPr>
        <w:ind w:left="850"/>
        <w:spacing w:before="0" w:after="60" w:line="276" w:lineRule="auto"/>
      </w:pPr>
      <w:r>
        <w:rPr>
          <w:sz w:val="24"/>
        </w:rPr>
        <w:t>inexistência de sanção vigente de inidoneidade ou de suspensão para licitar e contratar com a Administração Pública, em qualquer esfera federativa;</w:t>
      </w:r>
    </w:p>
    <w:p>
      <w:pPr>
        <w:ind w:left="850"/>
        <w:spacing w:before="0" w:after="60" w:line="276" w:lineRule="auto"/>
      </w:pPr>
      <w:r>
        <w:rPr>
          <w:sz w:val="24"/>
        </w:rPr>
        <w:t>ausência de condenação transitada em julgado, da entidade ou de seus dirigentes, por ato de improbidade administrativa (Lei Federal nº 8.429, de 1992) ou por ato lesivo à administração pública (Lei Federal nº 12.846, de 2013).</w:t>
      </w:r>
    </w:p>
    <w:p>
      <w:pPr>
        <w:ind w:firstLine="709"/>
        <w:jc w:val="both"/>
        <w:spacing w:before="0" w:after="120" w:line="276" w:lineRule="auto"/>
      </w:pPr>
      <w:r>
        <w:rPr>
          <w:sz w:val="24"/>
        </w:rPr>
        <w:t>Parágrafo único. A comprovação do tempo mínimo de funcionamento (inciso IV) faz-se pela data de registro original do ato constitutivo, ressalvadas fusões, cisões ou incorporações em que a entidade sucessora mantenha a finalidade estatutária e o patrimônio operacional das antecessoras.</w:t>
      </w:r>
    </w:p>
    <w:p>
      <w:pPr>
        <w:jc w:val="center"/>
        <w:spacing w:before="160" w:after="80"/>
      </w:pPr>
      <w:r>
        <w:rPr>
          <w:b/>
          <w:sz w:val="24"/>
        </w:rPr>
        <w:t>Seção III — Dos requisitos de capacidade técnica e operacional</w:t>
      </w:r>
    </w:p>
    <w:p>
      <w:pPr>
        <w:ind w:firstLine="709"/>
        <w:jc w:val="both"/>
        <w:spacing w:before="0" w:after="120" w:line="276" w:lineRule="auto"/>
      </w:pPr>
      <w:r>
        <w:rPr>
          <w:sz w:val="24"/>
        </w:rPr>
        <w:t>Art. 13 A entidade gestora deve comprovar, no momento do credenciamento, capacidade mínima de operação, demonstrando, de forma cumulativa:</w:t>
      </w:r>
    </w:p>
    <w:p>
      <w:pPr>
        <w:ind w:left="850"/>
        <w:spacing w:before="0" w:after="60" w:line="276" w:lineRule="auto"/>
      </w:pPr>
      <w:r>
        <w:rPr>
          <w:sz w:val="24"/>
        </w:rPr>
        <w:t>coordenador responsável designado, com formação ou experiência em áreas correlatas ao cluster, para ser o ponto focal perante a SDE;</w:t>
      </w:r>
    </w:p>
    <w:p>
      <w:pPr>
        <w:ind w:left="850"/>
        <w:spacing w:before="0" w:after="60" w:line="276" w:lineRule="auto"/>
      </w:pPr>
      <w:r>
        <w:rPr>
          <w:sz w:val="24"/>
        </w:rPr>
        <w:t>estrutura mínima de atendimento a Proponentes — espaço físico próprio ou compartilhado, canais digitais (e-mail institucional e telefone) e sítio eletrônico ativo;</w:t>
      </w:r>
    </w:p>
    <w:p>
      <w:pPr>
        <w:ind w:left="850"/>
        <w:spacing w:before="0" w:after="60" w:line="276" w:lineRule="auto"/>
      </w:pPr>
      <w:r>
        <w:rPr>
          <w:sz w:val="24"/>
        </w:rPr>
        <w:t>atuação setorial prévia, comprovada por declaração institucional do representante legal, acompanhada de ao menos 1 (um) caso narrativo de iniciativa de inovação, empreendedorismo ou pesquisa apoiada, orientada ou acompanhada pela entidade nos últimos 2 (dois) anos — com descrição breve do apoio prestado e evidência sumária (link, publicação, termo ou registro equivalente);</w:t>
      </w:r>
    </w:p>
    <w:p>
      <w:pPr>
        <w:ind w:left="850"/>
        <w:spacing w:before="0" w:after="60" w:line="276" w:lineRule="auto"/>
      </w:pPr>
      <w:r>
        <w:rPr>
          <w:sz w:val="24"/>
        </w:rPr>
        <w:t>inexistência de inscrição em cadastros nacionais de inadimplentes da Administração Pública (CADIN, CEIS, CNEP) ou sucedâneos.</w:t>
      </w:r>
    </w:p>
    <w:p>
      <w:pPr>
        <w:ind w:firstLine="709"/>
        <w:jc w:val="both"/>
        <w:spacing w:before="0" w:after="120" w:line="276" w:lineRule="auto"/>
      </w:pPr>
      <w:r>
        <w:rPr>
          <w:sz w:val="24"/>
        </w:rPr>
        <w:t>§ 1º A comprovação prevista neste artigo é requisito de ingresso, dimensionada para barreira mínima de entrada. As exigências de produção e desempenho durante a vigência da credencial — número mínimo de Proponentes orientados, relatórios periódicos, indicadores de resultado e gatilhos de descredenciamento por desempenho — são matéria do Capítulo VI deste Decreto.</w:t>
      </w:r>
    </w:p>
    <w:p>
      <w:pPr>
        <w:ind w:firstLine="709"/>
        <w:jc w:val="both"/>
        <w:spacing w:before="0" w:after="120" w:line="276" w:lineRule="auto"/>
      </w:pPr>
      <w:r>
        <w:rPr>
          <w:sz w:val="24"/>
        </w:rPr>
        <w:t>§ 2º O Edital de chamamento público não poderá exigir requisitos técnicos adicionais além dos previstos neste artigo, salvo quando estritamente necessários à especificidade do cluster e mediante parecer prévio do COMCITI que justifique a exigência de forma objetiva.</w:t>
      </w:r>
    </w:p>
    <w:p>
      <w:pPr>
        <w:ind w:firstLine="709"/>
        <w:jc w:val="both"/>
        <w:spacing w:before="0" w:after="120" w:line="276" w:lineRule="auto"/>
      </w:pPr>
      <w:r>
        <w:rPr>
          <w:sz w:val="24"/>
        </w:rPr>
        <w:t>§ 3º Em clusters em formação ou sem entidade atuante com perfil consolidado, o Edital pode admitir entidade em constituição ou com menos de 2 (dois) anos de funcionamento, desde que apresente plano de atuação bianual e seja acompanhada por entidade parceira já atuante no ecossistema, formalizada mediante termo de cooperação apresentado no momento do credenciamento.</w:t>
      </w:r>
    </w:p>
    <w:p>
      <w:pPr>
        <w:ind w:firstLine="709"/>
        <w:jc w:val="both"/>
        <w:spacing w:before="0" w:after="120" w:line="276" w:lineRule="auto"/>
      </w:pPr>
      <w:r>
        <w:rPr>
          <w:sz w:val="24"/>
        </w:rPr>
        <w:t>§ 4º O tempo mínimo previsto no art. 12, inciso IV, pode ser reduzido para 6 (seis) meses no caso de entidade resultante de fusão, cisão ou incorporação de entidades preexistentes atuantes no ecossistema de inovação, desde que a sucessora reúna a capacidade técnica das antecessoras.</w:t>
      </w:r>
    </w:p>
    <w:p>
      <w:pPr>
        <w:jc w:val="center"/>
        <w:spacing w:before="160" w:after="80"/>
      </w:pPr>
      <w:r>
        <w:rPr>
          <w:b/>
          <w:sz w:val="24"/>
        </w:rPr>
        <w:t>Seção IV — Das vedações subjetivas</w:t>
      </w:r>
    </w:p>
    <w:p>
      <w:pPr>
        <w:ind w:firstLine="709"/>
        <w:jc w:val="both"/>
        <w:spacing w:before="0" w:after="120" w:line="276" w:lineRule="auto"/>
      </w:pPr>
      <w:r>
        <w:rPr>
          <w:sz w:val="24"/>
        </w:rPr>
        <w:t>Art. 14 É vedada a atuação como entidade gestora de API à pessoa jurídica:</w:t>
      </w:r>
    </w:p>
    <w:p>
      <w:pPr>
        <w:ind w:left="850"/>
        <w:spacing w:before="0" w:after="60" w:line="276" w:lineRule="auto"/>
      </w:pPr>
      <w:r>
        <w:rPr>
          <w:sz w:val="24"/>
        </w:rPr>
        <w:t>cujo dirigente (presidente, vice-presidente, diretor administrativo, financeiro, técnico ou equivalente, bem como conselheiros com poder decisório) seja cônjuge, companheiro ou parente, em linha reta, colateral ou por afinidade, até o 3º (terceiro) grau, de: Prefeito, Vice-Prefeito ou Secretário Municipal; Vereadores do Município de Joinville; membros do Poder Judiciário em exercício de competência jurisdicional no Município; membros do Ministério Público Estadual em exercício no Município; membros do Tribunal de Contas do Estado de Santa Catarina com competência sobre o Município.</w:t>
      </w:r>
    </w:p>
    <w:p>
      <w:pPr>
        <w:ind w:left="850"/>
        <w:spacing w:before="0" w:after="60" w:line="276" w:lineRule="auto"/>
      </w:pPr>
      <w:r>
        <w:rPr>
          <w:sz w:val="24"/>
        </w:rPr>
        <w:t>Prefeito, Vice-Prefeito ou Secretário Municipal;</w:t>
      </w:r>
    </w:p>
    <w:p>
      <w:pPr>
        <w:ind w:left="850"/>
        <w:spacing w:before="0" w:after="60" w:line="276" w:lineRule="auto"/>
      </w:pPr>
      <w:r>
        <w:rPr>
          <w:sz w:val="24"/>
        </w:rPr>
        <w:t>Vereadores do Município de Joinville;</w:t>
      </w:r>
    </w:p>
    <w:p>
      <w:pPr>
        <w:ind w:left="850"/>
        <w:spacing w:before="0" w:after="60" w:line="276" w:lineRule="auto"/>
      </w:pPr>
      <w:r>
        <w:rPr>
          <w:sz w:val="24"/>
        </w:rPr>
        <w:t>membros do Poder Judiciário em exercício de competência jurisdicional no Município;</w:t>
      </w:r>
    </w:p>
    <w:p>
      <w:pPr>
        <w:ind w:left="850"/>
        <w:spacing w:before="0" w:after="60" w:line="276" w:lineRule="auto"/>
      </w:pPr>
      <w:r>
        <w:rPr>
          <w:sz w:val="24"/>
        </w:rPr>
        <w:t>membros do Ministério Público Estadual em exercício no Município;</w:t>
      </w:r>
    </w:p>
    <w:p>
      <w:pPr>
        <w:ind w:left="850"/>
        <w:spacing w:before="0" w:after="60" w:line="276" w:lineRule="auto"/>
      </w:pPr>
      <w:r>
        <w:rPr>
          <w:sz w:val="24"/>
        </w:rPr>
        <w:t>membros do Tribunal de Contas do Estado de Santa Catarina com competência sobre o Município.</w:t>
      </w:r>
    </w:p>
    <w:p>
      <w:pPr>
        <w:ind w:left="850"/>
        <w:spacing w:before="0" w:after="60" w:line="276" w:lineRule="auto"/>
      </w:pPr>
      <w:r>
        <w:rPr>
          <w:sz w:val="24"/>
        </w:rPr>
        <w:t>cujo dirigente exerça, em caráter concomitante, cargo eletivo ou cargo em comissão de livre provimento na administração direta ou indireta do Município de Joinville;</w:t>
      </w:r>
    </w:p>
    <w:p>
      <w:pPr>
        <w:ind w:left="850"/>
        <w:spacing w:before="0" w:after="60" w:line="276" w:lineRule="auto"/>
      </w:pPr>
      <w:r>
        <w:rPr>
          <w:sz w:val="24"/>
        </w:rPr>
        <w:t>que tenha sido, nos 5 (cinco) anos anteriores à data de inscrição, condenada por ato de improbidade administrativa, com trânsito em julgado, ou tenha sofrido sanção de suspensão ou inidoneidade pela Administração Pública, em qualquer esfera federativa;</w:t>
      </w:r>
    </w:p>
    <w:p>
      <w:pPr>
        <w:ind w:left="850"/>
        <w:spacing w:before="0" w:after="60" w:line="276" w:lineRule="auto"/>
      </w:pPr>
      <w:r>
        <w:rPr>
          <w:sz w:val="24"/>
        </w:rPr>
        <w:t>que esteja em estado de insolvência civil, recuperação judicial, recuperação extrajudicial ou falência;</w:t>
      </w:r>
    </w:p>
    <w:p>
      <w:pPr>
        <w:ind w:left="850"/>
        <w:spacing w:before="0" w:after="60" w:line="276" w:lineRule="auto"/>
      </w:pPr>
      <w:r>
        <w:rPr>
          <w:sz w:val="24"/>
        </w:rPr>
        <w:t>que esteja inscrita em cadastro nacional de inadimplentes da Administração Pública federal (CADIN, SICAF-impedidos, CEIS, CNEP ou sucedâneos).</w:t>
      </w:r>
    </w:p>
    <w:p>
      <w:pPr>
        <w:ind w:firstLine="709"/>
        <w:jc w:val="both"/>
        <w:spacing w:before="0" w:after="120" w:line="276" w:lineRule="auto"/>
      </w:pPr>
      <w:r>
        <w:rPr>
          <w:sz w:val="24"/>
        </w:rPr>
        <w:t>§ 1º As vedações deste artigo aplicam-se cumulativamente à entidade gestora e aos seus dirigentes, devendo ser comprovadas mediante declaração formal, sob as penas da lei, e documentação correspondente, na forma do Edital de chamamento público.</w:t>
      </w:r>
    </w:p>
    <w:p>
      <w:pPr>
        <w:ind w:firstLine="709"/>
        <w:jc w:val="both"/>
        <w:spacing w:before="0" w:after="120" w:line="276" w:lineRule="auto"/>
      </w:pPr>
      <w:r>
        <w:rPr>
          <w:sz w:val="24"/>
        </w:rPr>
        <w:t>§ 2º A superveniência de qualquer das vedações previstas neste artigo durante a vigência da credencial enseja o início de processo de descredenciamento, nos termos do Capítulo VII deste Decreto, preservados o contraditório e a ampla defesa.</w:t>
      </w:r>
    </w:p>
    <w:p>
      <w:pPr>
        <w:ind w:firstLine="709"/>
        <w:jc w:val="both"/>
        <w:spacing w:before="0" w:after="120" w:line="276" w:lineRule="auto"/>
      </w:pPr>
      <w:r>
        <w:rPr>
          <w:sz w:val="24"/>
        </w:rPr>
        <w:t>§ 3º A vedação do inciso I, alínea "e", abrange os membros do Tribunal de Contas do Estado em atividade, bem como aqueles afastados ou aposentados há menos de 12 (doze) meses, em observância à quarentena fiscalizatória.</w:t>
      </w:r>
    </w:p>
    <w:p>
      <w:pPr>
        <w:jc w:val="center"/>
        <w:spacing w:before="160" w:after="80"/>
      </w:pPr>
      <w:r>
        <w:rPr>
          <w:b/>
          <w:sz w:val="24"/>
        </w:rPr>
        <w:t>Seção V — Da documentação exigida</w:t>
      </w:r>
    </w:p>
    <w:p>
      <w:pPr>
        <w:ind w:firstLine="709"/>
        <w:jc w:val="both"/>
        <w:spacing w:before="0" w:after="120" w:line="276" w:lineRule="auto"/>
      </w:pPr>
      <w:r>
        <w:rPr>
          <w:sz w:val="24"/>
        </w:rPr>
        <w:t>Art. 15 Para o credenciamento inicial, a renovação ou a substituição de entidade gestora, a entidade apresentará, em meio eletrônico, apenas os seguintes documentos:</w:t>
      </w:r>
    </w:p>
    <w:p>
      <w:pPr>
        <w:ind w:left="850"/>
        <w:spacing w:before="0" w:after="60" w:line="276" w:lineRule="auto"/>
      </w:pPr>
      <w:r>
        <w:rPr>
          <w:sz w:val="24"/>
        </w:rPr>
        <w:t>ato constitutivo ou estatuto social vigente, com registro no cartório competente;</w:t>
      </w:r>
    </w:p>
    <w:p>
      <w:pPr>
        <w:ind w:left="850"/>
        <w:spacing w:before="0" w:after="60" w:line="276" w:lineRule="auto"/>
      </w:pPr>
      <w:r>
        <w:rPr>
          <w:sz w:val="24"/>
        </w:rPr>
        <w:t>comprovante de inscrição no CNPJ;</w:t>
      </w:r>
    </w:p>
    <w:p>
      <w:pPr>
        <w:ind w:left="850"/>
        <w:spacing w:before="0" w:after="60" w:line="276" w:lineRule="auto"/>
      </w:pPr>
      <w:r>
        <w:rPr>
          <w:sz w:val="24"/>
        </w:rPr>
        <w:t>comprovante de endereço da sede, filial ou unidade operacional em Joinville ou na região metropolitana;</w:t>
      </w:r>
    </w:p>
    <w:p>
      <w:pPr>
        <w:ind w:left="850"/>
        <w:spacing w:before="0" w:after="60" w:line="276" w:lineRule="auto"/>
      </w:pPr>
      <w:r>
        <w:rPr>
          <w:sz w:val="24"/>
        </w:rPr>
        <w:t>ata da última assembleia que elegeu o corpo dirigente;</w:t>
      </w:r>
    </w:p>
    <w:p>
      <w:pPr>
        <w:ind w:left="850"/>
        <w:spacing w:before="0" w:after="60" w:line="276" w:lineRule="auto"/>
      </w:pPr>
      <w:r>
        <w:rPr>
          <w:sz w:val="24"/>
        </w:rPr>
        <w:t>relação nominal e qualificada dos dirigentes, acompanhada de declaração única, assinada pelo representante legal, atestando, sob as penas da lei: (a) inexistência das vedações do art. 14; (b) regularidade fiscal e trabalhista; (c) ausência de inscrição em CADIN, CEIS e CNEP; (d) inexistência de condenações por improbidade administrativa ou por ato lesivo à administração pública nos últimos 5 (cinco) anos;</w:t>
      </w:r>
    </w:p>
    <w:p>
      <w:pPr>
        <w:ind w:left="850"/>
        <w:spacing w:before="0" w:after="60" w:line="276" w:lineRule="auto"/>
      </w:pPr>
      <w:r>
        <w:rPr>
          <w:sz w:val="24"/>
        </w:rPr>
        <w:t>proposta de atuação no API, integrando em documento único: breve histórico institucional, portfólio de atuação nos 2 (dois) anos anteriores, equipe e estrutura disponíveis, plano de trabalho bianual com metas e indicadores;</w:t>
      </w:r>
    </w:p>
    <w:p>
      <w:pPr>
        <w:ind w:left="850"/>
        <w:spacing w:before="0" w:after="60" w:line="276" w:lineRule="auto"/>
      </w:pPr>
      <w:r>
        <w:rPr>
          <w:sz w:val="24"/>
        </w:rPr>
        <w:t>quando aplicável, comprovante de qualificação como OSCIP (Lei Federal nº 9.790, de 1999), utilidade pública ou certificação análoga.</w:t>
      </w:r>
    </w:p>
    <w:p>
      <w:pPr>
        <w:ind w:firstLine="709"/>
        <w:jc w:val="both"/>
        <w:spacing w:before="0" w:after="120" w:line="276" w:lineRule="auto"/>
      </w:pPr>
      <w:r>
        <w:rPr>
          <w:sz w:val="24"/>
        </w:rPr>
        <w:t>§ 1º A SDE verificará diretamente, por meio de consultas eletrônicas públicas (Receita Federal, Justiça do Trabalho, CADIN e equivalentes), a regularidade fiscal, trabalhista e a inexistência de inscrição em cadastros de inadimplentes, dispensando-se a juntada de certidões sempre que a informação for obtida oficialmente pela própria Administração, em observância ao art. 3º, § 3º, III, da Lei Federal nº 13.726, de 2018 (Lei da Desburocratização).</w:t>
      </w:r>
    </w:p>
    <w:p>
      <w:pPr>
        <w:ind w:firstLine="709"/>
        <w:jc w:val="both"/>
        <w:spacing w:before="0" w:after="120" w:line="276" w:lineRule="auto"/>
      </w:pPr>
      <w:r>
        <w:rPr>
          <w:sz w:val="24"/>
        </w:rPr>
        <w:t>§ 2º A declaração única do inciso V substitui a apresentação de certidões de antecedentes cíveis, fiscais e administrativas, ressalvada a verificação eletrônica pela SDE (§ 1º). A falsidade ou omissão na declaração caracteriza crime e enseja descredenciamento sumário.</w:t>
      </w:r>
    </w:p>
    <w:p>
      <w:pPr>
        <w:ind w:firstLine="709"/>
        <w:jc w:val="both"/>
        <w:spacing w:before="0" w:after="120" w:line="276" w:lineRule="auto"/>
      </w:pPr>
      <w:r>
        <w:rPr>
          <w:sz w:val="24"/>
        </w:rPr>
        <w:t>§ 3º É vedada a exigência, pelo Edital ou pela SDE, de documentos adicionais aos previstos no caput, salvo quando estritamente necessários à especificidade do cluster, mediante parecer prévio fundamentado do COMCITI.</w:t>
      </w:r>
    </w:p>
    <w:p>
      <w:pPr>
        <w:ind w:firstLine="709"/>
        <w:jc w:val="both"/>
        <w:spacing w:before="0" w:after="120" w:line="276" w:lineRule="auto"/>
      </w:pPr>
      <w:r>
        <w:rPr>
          <w:sz w:val="24"/>
        </w:rPr>
        <w:t>§ 4º A falta de qualquer dos documentos do caput, não sanada no prazo do Edital, importa na inabilitação, sem prejuízo de reinscrição em novo ciclo.</w:t>
      </w:r>
    </w:p>
    <w:p>
      <w:pPr>
        <w:jc w:val="center"/>
        <w:spacing w:before="320" w:after="80"/>
      </w:pPr>
      <w:r>
        <w:rPr>
          <w:b/>
          <w:sz w:val="24"/>
        </w:rPr>
        <w:t>CREDENCIAMENTO</w:t>
      </w:r>
    </w:p>
    <w:p>
      <w:pPr>
        <w:jc w:val="center"/>
        <w:spacing w:before="160" w:after="80"/>
      </w:pPr>
      <w:r>
        <w:rPr>
          <w:b/>
          <w:sz w:val="24"/>
        </w:rPr>
        <w:t>Seção I — Do chamamento público</w:t>
      </w:r>
    </w:p>
    <w:p>
      <w:pPr>
        <w:ind w:firstLine="709"/>
        <w:jc w:val="both"/>
        <w:spacing w:before="0" w:after="120" w:line="276" w:lineRule="auto"/>
      </w:pPr>
      <w:r>
        <w:rPr>
          <w:sz w:val="24"/>
        </w:rPr>
        <w:t>Art. 16 O credenciamento ordinário de entidade gestora de API dá-se por chamamento público, procedimento competitivo, impessoal e transparente, observados os princípios da Lei Federal nº 13.019, de 2014, no que couber, e da Lei Federal nº 9.784, de 1999.</w:t>
      </w:r>
    </w:p>
    <w:p>
      <w:pPr>
        <w:ind w:firstLine="709"/>
        <w:jc w:val="both"/>
        <w:spacing w:before="0" w:after="120" w:line="276" w:lineRule="auto"/>
      </w:pPr>
      <w:r>
        <w:rPr>
          <w:sz w:val="24"/>
        </w:rPr>
        <w:t>§ 1º O Edital de chamamento público é instruído pela SDE, com manifestação prévia do COMCITI, e publicado em:</w:t>
      </w:r>
    </w:p>
    <w:p>
      <w:pPr>
        <w:ind w:left="850"/>
        <w:spacing w:before="0" w:after="60" w:line="276" w:lineRule="auto"/>
      </w:pPr>
      <w:r>
        <w:rPr>
          <w:sz w:val="24"/>
        </w:rPr>
        <w:t>Diário Oficial do Município (DOM);</w:t>
      </w:r>
    </w:p>
    <w:p>
      <w:pPr>
        <w:ind w:left="850"/>
        <w:spacing w:before="0" w:after="60" w:line="276" w:lineRule="auto"/>
      </w:pPr>
      <w:r>
        <w:rPr>
          <w:sz w:val="24"/>
        </w:rPr>
        <w:t>portal eletrônico do Programa;</w:t>
      </w:r>
    </w:p>
    <w:p>
      <w:pPr>
        <w:ind w:left="850"/>
        <w:spacing w:before="0" w:after="60" w:line="276" w:lineRule="auto"/>
      </w:pPr>
      <w:r>
        <w:rPr>
          <w:sz w:val="24"/>
        </w:rPr>
        <w:t>sítio eletrônico institucional da Prefeitura Municipal de Joinville.</w:t>
      </w:r>
    </w:p>
    <w:p>
      <w:pPr>
        <w:ind w:firstLine="709"/>
        <w:jc w:val="both"/>
        <w:spacing w:before="0" w:after="120" w:line="276" w:lineRule="auto"/>
      </w:pPr>
      <w:r>
        <w:rPr>
          <w:sz w:val="24"/>
        </w:rPr>
        <w:t>§ 2º O chamamento público é gratuito. É vedada a cobrança de qualquer taxa, caução, emolumento ou contrapartida financeira como condição de participação no credenciamento.</w:t>
      </w:r>
    </w:p>
    <w:p>
      <w:pPr>
        <w:ind w:firstLine="709"/>
        <w:jc w:val="both"/>
        <w:spacing w:before="0" w:after="120" w:line="276" w:lineRule="auto"/>
      </w:pPr>
      <w:r>
        <w:rPr>
          <w:sz w:val="24"/>
        </w:rPr>
        <w:t>§ 3º O Edital conterá, no mínimo:</w:t>
      </w:r>
    </w:p>
    <w:p>
      <w:pPr>
        <w:ind w:left="850"/>
        <w:spacing w:before="0" w:after="60" w:line="276" w:lineRule="auto"/>
      </w:pPr>
      <w:r>
        <w:rPr>
          <w:sz w:val="24"/>
        </w:rPr>
        <w:t>identificação do(s) cluster(s) em aberto para credenciamento;</w:t>
      </w:r>
    </w:p>
    <w:p>
      <w:pPr>
        <w:ind w:left="850"/>
        <w:spacing w:before="0" w:after="60" w:line="276" w:lineRule="auto"/>
      </w:pPr>
      <w:r>
        <w:rPr>
          <w:sz w:val="24"/>
        </w:rPr>
        <w:t>requisitos de participação (Capítulo III) e documentos exigidos (art. 15);</w:t>
      </w:r>
    </w:p>
    <w:p>
      <w:pPr>
        <w:ind w:left="850"/>
        <w:spacing w:before="0" w:after="60" w:line="276" w:lineRule="auto"/>
      </w:pPr>
      <w:r>
        <w:rPr>
          <w:sz w:val="24"/>
        </w:rPr>
        <w:t>cronograma nos termos do art. 17;</w:t>
      </w:r>
    </w:p>
    <w:p>
      <w:pPr>
        <w:ind w:left="850"/>
        <w:spacing w:before="0" w:after="60" w:line="276" w:lineRule="auto"/>
      </w:pPr>
      <w:r>
        <w:rPr>
          <w:sz w:val="24"/>
        </w:rPr>
        <w:t>composição da Comissão de Credenciamento (art. 18);</w:t>
      </w:r>
    </w:p>
    <w:p>
      <w:pPr>
        <w:ind w:left="850"/>
        <w:spacing w:before="0" w:after="60" w:line="276" w:lineRule="auto"/>
      </w:pPr>
      <w:r>
        <w:rPr>
          <w:sz w:val="24"/>
        </w:rPr>
        <w:t>critérios de análise e de desempate (art. 19);</w:t>
      </w:r>
    </w:p>
    <w:p>
      <w:pPr>
        <w:ind w:left="850"/>
        <w:spacing w:before="0" w:after="60" w:line="276" w:lineRule="auto"/>
      </w:pPr>
      <w:r>
        <w:rPr>
          <w:sz w:val="24"/>
        </w:rPr>
        <w:t>prazos e instâncias recursais;</w:t>
      </w:r>
    </w:p>
    <w:p>
      <w:pPr>
        <w:ind w:left="850"/>
        <w:spacing w:before="0" w:after="60" w:line="276" w:lineRule="auto"/>
      </w:pPr>
      <w:r>
        <w:rPr>
          <w:sz w:val="24"/>
        </w:rPr>
        <w:t>canal eletrônico de submissão e de comunicações oficiais.</w:t>
      </w:r>
    </w:p>
    <w:p>
      <w:pPr>
        <w:ind w:firstLine="709"/>
        <w:jc w:val="both"/>
        <w:spacing w:before="0" w:after="120" w:line="276" w:lineRule="auto"/>
      </w:pPr>
      <w:r>
        <w:rPr>
          <w:sz w:val="24"/>
        </w:rPr>
        <w:t>§ 4º É vedada a inclusão, no Edital, de cláusulas ou exigências não previstas neste Decreto ou no Decreto do Programa, ressalvadas as especificidades objetivas de cluster justificadas por parecer prévio do COMCITI.</w:t>
      </w:r>
    </w:p>
    <w:p>
      <w:pPr>
        <w:jc w:val="center"/>
        <w:spacing w:before="160" w:after="80"/>
      </w:pPr>
      <w:r>
        <w:rPr>
          <w:b/>
          <w:sz w:val="24"/>
        </w:rPr>
        <w:t>Seção II — Do cronograma padrão</w:t>
      </w:r>
    </w:p>
    <w:p>
      <w:pPr>
        <w:ind w:firstLine="709"/>
        <w:jc w:val="both"/>
        <w:spacing w:before="0" w:after="120" w:line="276" w:lineRule="auto"/>
      </w:pPr>
      <w:r>
        <w:rPr>
          <w:sz w:val="24"/>
        </w:rPr>
        <w:t>Art. 17 O cronograma do chamamento público ordinário observará os seguintes prazos mínimos, contados em dias corridos, salvo indicação em contrário:</w:t>
      </w:r>
    </w:p>
    <w:p>
      <w:pPr>
        <w:ind w:left="850"/>
        <w:spacing w:before="0" w:after="60" w:line="276" w:lineRule="auto"/>
      </w:pPr>
      <w:r>
        <w:rPr>
          <w:sz w:val="24"/>
        </w:rPr>
        <w:t>inscrições: 30 (trinta) dias a partir da publicação do Edital no DOM;</w:t>
      </w:r>
    </w:p>
    <w:p>
      <w:pPr>
        <w:ind w:left="850"/>
        <w:spacing w:before="0" w:after="60" w:line="276" w:lineRule="auto"/>
      </w:pPr>
      <w:r>
        <w:rPr>
          <w:sz w:val="24"/>
        </w:rPr>
        <w:t>análise pela Comissão de Credenciamento: 30 (trinta) dias a contar do encerramento das inscrições, prorrogáveis uma única vez por até 15 (quinze) dias, mediante decisão motivada;</w:t>
      </w:r>
    </w:p>
    <w:p>
      <w:pPr>
        <w:ind w:left="850"/>
        <w:spacing w:before="0" w:after="60" w:line="276" w:lineRule="auto"/>
      </w:pPr>
      <w:r>
        <w:rPr>
          <w:sz w:val="24"/>
        </w:rPr>
        <w:t>publicação do resultado preliminar: até 5 (cinco) dias após o término da análise;</w:t>
      </w:r>
    </w:p>
    <w:p>
      <w:pPr>
        <w:ind w:left="850"/>
        <w:spacing w:before="0" w:after="60" w:line="276" w:lineRule="auto"/>
      </w:pPr>
      <w:r>
        <w:rPr>
          <w:sz w:val="24"/>
        </w:rPr>
        <w:t>prazo recursal: 5 (cinco) dias úteis a contar da publicação do resultado preliminar, garantido o contraditório e a ampla defesa;</w:t>
      </w:r>
    </w:p>
    <w:p>
      <w:pPr>
        <w:ind w:left="850"/>
        <w:spacing w:before="0" w:after="60" w:line="276" w:lineRule="auto"/>
      </w:pPr>
      <w:r>
        <w:rPr>
          <w:sz w:val="24"/>
        </w:rPr>
        <w:t>decisão dos recursos e publicação do resultado final: até 10 (dez) dias após o encerramento do prazo recursal;</w:t>
      </w:r>
    </w:p>
    <w:p>
      <w:pPr>
        <w:ind w:left="850"/>
        <w:spacing w:before="0" w:after="60" w:line="276" w:lineRule="auto"/>
      </w:pPr>
      <w:r>
        <w:rPr>
          <w:sz w:val="24"/>
        </w:rPr>
        <w:t>homologação: ato do Prefeito no prazo de até 15 (quinze) dias após o resultado final.</w:t>
      </w:r>
    </w:p>
    <w:p>
      <w:pPr>
        <w:ind w:firstLine="709"/>
        <w:jc w:val="both"/>
        <w:spacing w:before="0" w:after="120" w:line="276" w:lineRule="auto"/>
      </w:pPr>
      <w:r>
        <w:rPr>
          <w:sz w:val="24"/>
        </w:rPr>
        <w:t>Parágrafo único. A duração total máxima do chamamento público ordinário, da publicação do Edital à homologação, não excederá 120 (cento e vinte) dias, ressalvadas a prorrogação prevista no inciso II e eventuais suspensões determinadas por decisão judicial ou do Tribunal de Contas.</w:t>
      </w:r>
    </w:p>
    <w:p>
      <w:pPr>
        <w:jc w:val="center"/>
        <w:spacing w:before="160" w:after="80"/>
      </w:pPr>
      <w:r>
        <w:rPr>
          <w:b/>
          <w:sz w:val="24"/>
        </w:rPr>
        <w:t>Seção III — Da Comissão de Credenciamento</w:t>
      </w:r>
    </w:p>
    <w:p>
      <w:pPr>
        <w:ind w:firstLine="709"/>
        <w:jc w:val="both"/>
        <w:spacing w:before="0" w:after="120" w:line="276" w:lineRule="auto"/>
      </w:pPr>
      <w:r>
        <w:rPr>
          <w:sz w:val="24"/>
        </w:rPr>
        <w:t>Art. 18 A Comissão de Credenciamento é órgão colegiado de caráter técnico, instituído por portaria da SDE, responsável pela análise documental e de mérito das inscrições.</w:t>
      </w:r>
    </w:p>
    <w:p>
      <w:pPr>
        <w:ind w:firstLine="709"/>
        <w:jc w:val="both"/>
        <w:spacing w:before="0" w:after="120" w:line="276" w:lineRule="auto"/>
      </w:pPr>
      <w:r>
        <w:rPr>
          <w:sz w:val="24"/>
        </w:rPr>
        <w:t>§ 1º A Comissão terá composição fixa de 3 (três) membros titulares, com respectivos suplentes:</w:t>
      </w:r>
    </w:p>
    <w:p>
      <w:pPr>
        <w:ind w:left="850"/>
        <w:spacing w:before="0" w:after="60" w:line="276" w:lineRule="auto"/>
      </w:pPr>
      <w:r>
        <w:rPr>
          <w:sz w:val="24"/>
        </w:rPr>
        <w:t>1 (um) representante da SDE, que a presidirá;</w:t>
      </w:r>
    </w:p>
    <w:p>
      <w:pPr>
        <w:ind w:left="850"/>
        <w:spacing w:before="0" w:after="60" w:line="276" w:lineRule="auto"/>
      </w:pPr>
      <w:r>
        <w:rPr>
          <w:sz w:val="24"/>
        </w:rPr>
        <w:t>1 (um) representante do COMCITI, indicado pelo pleno do Conselho, preferencialmente com atuação temática no cluster em análise;</w:t>
      </w:r>
    </w:p>
    <w:p>
      <w:pPr>
        <w:ind w:left="850"/>
        <w:spacing w:before="0" w:after="60" w:line="276" w:lineRule="auto"/>
      </w:pPr>
      <w:r>
        <w:rPr>
          <w:sz w:val="24"/>
        </w:rPr>
        <w:t>1 (um) representante da Procuradoria-Geral do Município (PGM) ou da Controladoria-Geral do Município (CGM), atuando como observador jurídico-fiscal.</w:t>
      </w:r>
    </w:p>
    <w:p>
      <w:pPr>
        <w:ind w:firstLine="709"/>
        <w:jc w:val="both"/>
        <w:spacing w:before="0" w:after="120" w:line="276" w:lineRule="auto"/>
      </w:pPr>
      <w:r>
        <w:rPr>
          <w:sz w:val="24"/>
        </w:rPr>
        <w:t>§ 2º Membros da Comissão declaram formalmente ausência de impedimento (art. 14) e de conflito de interesse, sob as penas da lei, sendo substituídos por seus suplentes em caso de impedimento superveniente.</w:t>
      </w:r>
    </w:p>
    <w:p>
      <w:pPr>
        <w:ind w:firstLine="709"/>
        <w:jc w:val="both"/>
        <w:spacing w:before="0" w:after="120" w:line="276" w:lineRule="auto"/>
      </w:pPr>
      <w:r>
        <w:rPr>
          <w:sz w:val="24"/>
        </w:rPr>
        <w:t>§ 3º Os atos da Comissão são fundamentados, registrados em ata e publicados no portal do Programa, preservados eventuais dados sigilosos das entidades proponentes.</w:t>
      </w:r>
    </w:p>
    <w:p>
      <w:pPr>
        <w:jc w:val="center"/>
        <w:spacing w:before="160" w:after="80"/>
      </w:pPr>
      <w:r>
        <w:rPr>
          <w:b/>
          <w:sz w:val="24"/>
        </w:rPr>
        <w:t>Seção IV — Da análise e decisão</w:t>
      </w:r>
    </w:p>
    <w:p>
      <w:pPr>
        <w:ind w:firstLine="709"/>
        <w:jc w:val="both"/>
        <w:spacing w:before="0" w:after="120" w:line="276" w:lineRule="auto"/>
      </w:pPr>
      <w:r>
        <w:rPr>
          <w:sz w:val="24"/>
        </w:rPr>
        <w:t>Art. 19 A análise das inscrições ocorre em 2 (duas) etapas sucessivas, de caráter eliminatório e classificatório:</w:t>
      </w:r>
    </w:p>
    <w:p>
      <w:pPr>
        <w:ind w:left="850"/>
        <w:spacing w:before="0" w:after="60" w:line="276" w:lineRule="auto"/>
      </w:pPr>
      <w:r>
        <w:rPr>
          <w:sz w:val="24"/>
        </w:rPr>
        <w:t>Etapa 1 — Habilitação documental: verificação do atendimento aos requisitos dos Capítulos III e ao art. 15. A falta ou irregularidade de documento, não sanada no prazo do Edital, enseja a inabilitação sumária da entidade inscrita;</w:t>
      </w:r>
    </w:p>
    <w:p>
      <w:pPr>
        <w:ind w:left="850"/>
        <w:spacing w:before="0" w:after="60" w:line="276" w:lineRule="auto"/>
      </w:pPr>
      <w:r>
        <w:rPr>
          <w:sz w:val="24"/>
        </w:rPr>
        <w:t>Etapa 2 — Análise de mérito: exame da adequação da entidade ao cluster e da robustez operacional da proposta de atuação apresentada (art. 15, VI), observados os seguintes critérios cumulativos: aderência da finalidade estatutária ao cluster pretendido; consistência do plano de trabalho bianual, metas e indicadores; estrutura técnica e operacional declarada (art. 13); histórico de atuação setorial (art. 13, III); capacidade de articulação com o ecossistema local de inovação.</w:t>
      </w:r>
    </w:p>
    <w:p>
      <w:pPr>
        <w:ind w:left="850"/>
        <w:spacing w:before="0" w:after="60" w:line="276" w:lineRule="auto"/>
      </w:pPr>
      <w:r>
        <w:rPr>
          <w:sz w:val="24"/>
        </w:rPr>
        <w:t>aderência da finalidade estatutária ao cluster pretendido;</w:t>
      </w:r>
    </w:p>
    <w:p>
      <w:pPr>
        <w:ind w:left="850"/>
        <w:spacing w:before="0" w:after="60" w:line="276" w:lineRule="auto"/>
      </w:pPr>
      <w:r>
        <w:rPr>
          <w:sz w:val="24"/>
        </w:rPr>
        <w:t>consistência do plano de trabalho bianual, metas e indicadores;</w:t>
      </w:r>
    </w:p>
    <w:p>
      <w:pPr>
        <w:ind w:left="850"/>
        <w:spacing w:before="0" w:after="60" w:line="276" w:lineRule="auto"/>
      </w:pPr>
      <w:r>
        <w:rPr>
          <w:sz w:val="24"/>
        </w:rPr>
        <w:t>estrutura técnica e operacional declarada (art. 13);</w:t>
      </w:r>
    </w:p>
    <w:p>
      <w:pPr>
        <w:ind w:left="850"/>
        <w:spacing w:before="0" w:after="60" w:line="276" w:lineRule="auto"/>
      </w:pPr>
      <w:r>
        <w:rPr>
          <w:sz w:val="24"/>
        </w:rPr>
        <w:t>histórico de atuação setorial (art. 13, III);</w:t>
      </w:r>
    </w:p>
    <w:p>
      <w:pPr>
        <w:ind w:left="850"/>
        <w:spacing w:before="0" w:after="60" w:line="276" w:lineRule="auto"/>
      </w:pPr>
      <w:r>
        <w:rPr>
          <w:sz w:val="24"/>
        </w:rPr>
        <w:t>capacidade de articulação com o ecossistema local de inovação.</w:t>
      </w:r>
    </w:p>
    <w:p>
      <w:pPr>
        <w:ind w:firstLine="709"/>
        <w:jc w:val="both"/>
        <w:spacing w:before="0" w:after="120" w:line="276" w:lineRule="auto"/>
      </w:pPr>
      <w:r>
        <w:rPr>
          <w:sz w:val="24"/>
        </w:rPr>
        <w:t>§ 1º A análise de mérito é registrada em parecer técnico fundamentado, com atribuição de conceito "Apta" ou "Inapta" por entidade, e, havendo mais de uma entidade apta para um mesmo cluster, classificação em ordem de preferência.</w:t>
      </w:r>
    </w:p>
    <w:p>
      <w:pPr>
        <w:ind w:firstLine="709"/>
        <w:jc w:val="both"/>
        <w:spacing w:before="0" w:after="120" w:line="276" w:lineRule="auto"/>
      </w:pPr>
      <w:r>
        <w:rPr>
          <w:sz w:val="24"/>
        </w:rPr>
        <w:t>§ 2º Em caso de empate na classificação, aplicam-se sucessivamente os seguintes critérios de desempate:</w:t>
      </w:r>
    </w:p>
    <w:p>
      <w:pPr>
        <w:ind w:left="850"/>
        <w:spacing w:before="0" w:after="60" w:line="276" w:lineRule="auto"/>
      </w:pPr>
      <w:r>
        <w:rPr>
          <w:sz w:val="24"/>
        </w:rPr>
        <w:t>maior tempo de atuação setorial comprovado;</w:t>
      </w:r>
    </w:p>
    <w:p>
      <w:pPr>
        <w:ind w:left="850"/>
        <w:spacing w:before="0" w:after="60" w:line="276" w:lineRule="auto"/>
      </w:pPr>
      <w:r>
        <w:rPr>
          <w:sz w:val="24"/>
        </w:rPr>
        <w:t>maior número de iniciativas de inovação comprovadamente apoiadas nos 2 (dois) anos anteriores;</w:t>
      </w:r>
    </w:p>
    <w:p>
      <w:pPr>
        <w:ind w:left="850"/>
        <w:spacing w:before="0" w:after="60" w:line="276" w:lineRule="auto"/>
      </w:pPr>
      <w:r>
        <w:rPr>
          <w:sz w:val="24"/>
        </w:rPr>
        <w:t>maior aderência declarada a metas de inclusão regional e setorial;</w:t>
      </w:r>
    </w:p>
    <w:p>
      <w:pPr>
        <w:ind w:left="850"/>
        <w:spacing w:before="0" w:after="60" w:line="276" w:lineRule="auto"/>
      </w:pPr>
      <w:r>
        <w:rPr>
          <w:sz w:val="24"/>
        </w:rPr>
        <w:t>sorteio público, devidamente registrado em ata.</w:t>
      </w:r>
    </w:p>
    <w:p>
      <w:pPr>
        <w:ind w:firstLine="709"/>
        <w:jc w:val="both"/>
        <w:spacing w:before="0" w:after="120" w:line="276" w:lineRule="auto"/>
      </w:pPr>
      <w:r>
        <w:rPr>
          <w:sz w:val="24"/>
        </w:rPr>
        <w:t>§ 3º Para cada cluster é credenciada 1 (uma) única entidade gestora, nos termos do art. 9º deste Decreto, sendo as demais classificadas como suplentes, na ordem de classificação, para eventual substituição (art. 9º, § 1º).</w:t>
      </w:r>
    </w:p>
    <w:p>
      <w:pPr>
        <w:ind w:firstLine="709"/>
        <w:jc w:val="both"/>
        <w:spacing w:before="0" w:after="120" w:line="276" w:lineRule="auto"/>
      </w:pPr>
      <w:r>
        <w:rPr>
          <w:sz w:val="24"/>
        </w:rPr>
        <w:t>§ 4º Ausência de inscrição ou de entidade apta em determinado cluster: o Edital pode prever prorrogação automática única de 30 (trinta) dias; persistindo a ausência, aplica-se o regime do art. 13, § 3º, admitindo-se entidade em constituição ou com termo de cooperação com entidade parceira, mediante ato fundamentado da SDE com manifestação do COMCITI.</w:t>
      </w:r>
    </w:p>
    <w:p>
      <w:pPr>
        <w:jc w:val="center"/>
        <w:spacing w:before="160" w:after="80"/>
      </w:pPr>
      <w:r>
        <w:rPr>
          <w:b/>
          <w:sz w:val="24"/>
        </w:rPr>
        <w:t>Seção V — Da validade e renovação da credencial</w:t>
      </w:r>
    </w:p>
    <w:p>
      <w:pPr>
        <w:ind w:firstLine="709"/>
        <w:jc w:val="both"/>
        <w:spacing w:before="0" w:after="120" w:line="276" w:lineRule="auto"/>
      </w:pPr>
      <w:r>
        <w:rPr>
          <w:sz w:val="24"/>
        </w:rPr>
        <w:t>Art. 20 A credencial da entidade gestora de API tem validade de 4 (quatro) anos, contados da publicação do ato de homologação do credenciamento.</w:t>
      </w:r>
    </w:p>
    <w:p>
      <w:pPr>
        <w:ind w:firstLine="709"/>
        <w:jc w:val="both"/>
        <w:spacing w:before="0" w:after="120" w:line="276" w:lineRule="auto"/>
      </w:pPr>
      <w:r>
        <w:rPr>
          <w:sz w:val="24"/>
        </w:rPr>
        <w:t>§ 1º A renovação da credencial é simplificada, sem novo chamamento público, e depende de:</w:t>
      </w:r>
    </w:p>
    <w:p>
      <w:pPr>
        <w:ind w:left="850"/>
        <w:spacing w:before="0" w:after="60" w:line="276" w:lineRule="auto"/>
      </w:pPr>
      <w:r>
        <w:rPr>
          <w:sz w:val="24"/>
        </w:rPr>
        <w:t>requerimento da entidade gestora à SDE, apresentado com antecedência mínima de 60 (sessenta) dias em relação ao término da validade;</w:t>
      </w:r>
    </w:p>
    <w:p>
      <w:pPr>
        <w:ind w:left="850"/>
        <w:spacing w:before="0" w:after="60" w:line="276" w:lineRule="auto"/>
      </w:pPr>
      <w:r>
        <w:rPr>
          <w:sz w:val="24"/>
        </w:rPr>
        <w:t>comprovação de regularidade dos requisitos do Capítulo III (atualização dos documentos do art. 15);</w:t>
      </w:r>
    </w:p>
    <w:p>
      <w:pPr>
        <w:ind w:left="850"/>
        <w:spacing w:before="0" w:after="60" w:line="276" w:lineRule="auto"/>
      </w:pPr>
      <w:r>
        <w:rPr>
          <w:sz w:val="24"/>
        </w:rPr>
        <w:t>avaliação positiva de desempenho no último ciclo de 4 anos, apurada nos termos do Capítulo VI deste Decreto, mediante parecer da SDE submetido ao COMCITI;</w:t>
      </w:r>
    </w:p>
    <w:p>
      <w:pPr>
        <w:ind w:left="850"/>
        <w:spacing w:before="0" w:after="60" w:line="276" w:lineRule="auto"/>
      </w:pPr>
      <w:r>
        <w:rPr>
          <w:sz w:val="24"/>
        </w:rPr>
        <w:t>manifestação favorável do COMCITI, em deliberação fundamentada, por maioria simples dos presentes.</w:t>
      </w:r>
    </w:p>
    <w:p>
      <w:pPr>
        <w:ind w:firstLine="709"/>
        <w:jc w:val="both"/>
        <w:spacing w:before="0" w:after="120" w:line="276" w:lineRule="auto"/>
      </w:pPr>
      <w:r>
        <w:rPr>
          <w:sz w:val="24"/>
        </w:rPr>
        <w:t>§ 2º A renovação, quando concedida, formaliza-se por ato do Prefeito, com novo prazo de vigência de 4 (quatro) anos, contado da data da renovação.</w:t>
      </w:r>
    </w:p>
    <w:p>
      <w:pPr>
        <w:ind w:firstLine="709"/>
        <w:jc w:val="both"/>
        <w:spacing w:before="0" w:after="120" w:line="276" w:lineRule="auto"/>
      </w:pPr>
      <w:r>
        <w:rPr>
          <w:sz w:val="24"/>
        </w:rPr>
        <w:t>§ 3º A não renovação — por solicitação da entidade, parecer desfavorável do COMCITI ou ausência de requerimento tempestivo — enseja o encerramento da credencial, com aplicação do regime de transição previsto no art. 9º, § 2º, para preservação da continuidade operacional do cluster.</w:t>
      </w:r>
    </w:p>
    <w:p>
      <w:pPr>
        <w:jc w:val="center"/>
        <w:spacing w:before="160" w:after="80"/>
      </w:pPr>
      <w:r>
        <w:rPr>
          <w:b/>
          <w:sz w:val="24"/>
        </w:rPr>
        <w:t>Seção VI — Do credenciamento extraordinário</w:t>
      </w:r>
    </w:p>
    <w:p>
      <w:pPr>
        <w:ind w:firstLine="709"/>
        <w:jc w:val="both"/>
        <w:spacing w:before="0" w:after="120" w:line="276" w:lineRule="auto"/>
      </w:pPr>
      <w:r>
        <w:rPr>
          <w:sz w:val="24"/>
        </w:rPr>
        <w:t>Art. 21 Admite-se chamamento público extraordinário, fora da janela ordinária, nas seguintes hipóteses:</w:t>
      </w:r>
    </w:p>
    <w:p>
      <w:pPr>
        <w:ind w:left="850"/>
        <w:spacing w:before="0" w:after="60" w:line="276" w:lineRule="auto"/>
      </w:pPr>
      <w:r>
        <w:rPr>
          <w:sz w:val="24"/>
        </w:rPr>
        <w:t>criação de novo cluster setorial (art. 10);</w:t>
      </w:r>
    </w:p>
    <w:p>
      <w:pPr>
        <w:ind w:left="850"/>
        <w:spacing w:before="0" w:after="60" w:line="276" w:lineRule="auto"/>
      </w:pPr>
      <w:r>
        <w:rPr>
          <w:sz w:val="24"/>
        </w:rPr>
        <w:t>vacância definitiva da entidade gestora, por descredenciamento (Cap. VII), renúncia, extinção da entidade ou hipóteses equivalentes do art. 9º, § 1º;</w:t>
      </w:r>
    </w:p>
    <w:p>
      <w:pPr>
        <w:ind w:left="850"/>
        <w:spacing w:before="0" w:after="60" w:line="276" w:lineRule="auto"/>
      </w:pPr>
      <w:r>
        <w:rPr>
          <w:sz w:val="24"/>
        </w:rPr>
        <w:t>ampliação do rol de clusters por ato do Prefeito, com manifestação do COMCITI, fundamentada em revisão formal do PEDEM.</w:t>
      </w:r>
    </w:p>
    <w:p>
      <w:pPr>
        <w:ind w:firstLine="709"/>
        <w:jc w:val="both"/>
        <w:spacing w:before="0" w:after="120" w:line="276" w:lineRule="auto"/>
      </w:pPr>
      <w:r>
        <w:rPr>
          <w:sz w:val="24"/>
        </w:rPr>
        <w:t>§ 1º No chamamento extraordinário, o prazo mínimo de inscrições é reduzido para 15 (quinze) dias, observados os demais prazos do art. 17 de forma proporcional.</w:t>
      </w:r>
    </w:p>
    <w:p>
      <w:pPr>
        <w:ind w:firstLine="709"/>
        <w:jc w:val="both"/>
        <w:spacing w:before="0" w:after="120" w:line="276" w:lineRule="auto"/>
      </w:pPr>
      <w:r>
        <w:rPr>
          <w:sz w:val="24"/>
        </w:rPr>
        <w:t>§ 2º Durante a tramitação do chamamento extraordinário decorrente de vacância, a continuidade operacional do cluster é assegurada na forma do art. 9º, § 3º, sob responsabilidade da entidade gestora cessante ou, em sua impossibilidade, por encargo direto da SDE, mediante plano de transição específico.</w:t>
      </w:r>
    </w:p>
    <w:p>
      <w:pPr>
        <w:jc w:val="center"/>
        <w:spacing w:before="320" w:after="80"/>
      </w:pPr>
      <w:r>
        <w:rPr>
          <w:b/>
          <w:sz w:val="24"/>
        </w:rPr>
        <w:t>COMPETÊNCIAS OPERACIONAIS</w:t>
      </w:r>
    </w:p>
    <w:p>
      <w:pPr>
        <w:jc w:val="center"/>
        <w:spacing w:before="160" w:after="80"/>
      </w:pPr>
      <w:r>
        <w:rPr>
          <w:b/>
          <w:sz w:val="24"/>
        </w:rPr>
        <w:t>Seção I — Das competências detalhadas</w:t>
      </w:r>
    </w:p>
    <w:p>
      <w:pPr>
        <w:ind w:firstLine="709"/>
        <w:jc w:val="both"/>
        <w:spacing w:before="0" w:after="120" w:line="276" w:lineRule="auto"/>
      </w:pPr>
      <w:r>
        <w:rPr>
          <w:sz w:val="24"/>
        </w:rPr>
        <w:t>Art. 22 A entidade gestora de API, no exercício de suas competências previstas no art. 17, § 1º, do Decreto do Programa, observará o seguinte detalhamento operacional:</w:t>
      </w:r>
    </w:p>
    <w:p>
      <w:pPr>
        <w:ind w:left="850"/>
        <w:spacing w:before="0" w:after="60" w:line="276" w:lineRule="auto"/>
      </w:pPr>
      <w:r>
        <w:rPr>
          <w:sz w:val="24"/>
        </w:rPr>
        <w:t>orientação ao Proponente — prestar suporte técnico na estruturação do Projeto, incluindo: elucidação dos requisitos do Edital, apoio na definição do plano de trabalho, revisão prévia dos documentos de habilitação, orientação sobre aderência do Projeto ao cluster e às prioridades do Programa;</w:t>
      </w:r>
    </w:p>
    <w:p>
      <w:pPr>
        <w:ind w:left="850"/>
        <w:spacing w:before="0" w:after="60" w:line="276" w:lineRule="auto"/>
      </w:pPr>
      <w:r>
        <w:rPr>
          <w:sz w:val="24"/>
        </w:rPr>
        <w:t>pré-qualificação técnica — examinar o Projeto e emitir Parecer de Pré-Qualificação, de caráter exclusivamente orientador, aferindo: (a) aderência ao cluster setorial; (b) clareza da proposta e viabilidade operacional; (c) completude documental para submissão. O parecer é favorável, favorável com recomendações, ou desfavorável — sempre fundamentado;</w:t>
      </w:r>
    </w:p>
    <w:p>
      <w:pPr>
        <w:ind w:left="850"/>
        <w:spacing w:before="0" w:after="60" w:line="276" w:lineRule="auto"/>
      </w:pPr>
      <w:r>
        <w:rPr>
          <w:sz w:val="24"/>
        </w:rPr>
        <w:t>encaminhamento agregado — consolidar e encaminhar à SDE, dentro do cronograma do Edital, a relação dos Projetos pré-qualificados do cluster, acompanhada dos respectivos Pareceres de Pré-Qualificação e da documentação correspondente;</w:t>
      </w:r>
    </w:p>
    <w:p>
      <w:pPr>
        <w:ind w:left="850"/>
        <w:spacing w:before="0" w:after="60" w:line="276" w:lineRule="auto"/>
      </w:pPr>
      <w:r>
        <w:rPr>
          <w:sz w:val="24"/>
        </w:rPr>
        <w:t>acompanhamento durante a execução — oferecer suporte técnico e administrativo aos Proponentes vinculados cujos Projetos forem aprovados, respeitando a autonomia técnica do Proponente e a imparcialidade do API;</w:t>
      </w:r>
    </w:p>
    <w:p>
      <w:pPr>
        <w:ind w:left="850"/>
        <w:spacing w:before="0" w:after="60" w:line="276" w:lineRule="auto"/>
      </w:pPr>
      <w:r>
        <w:rPr>
          <w:sz w:val="24"/>
        </w:rPr>
        <w:t>reporte à SDE — comunicar tempestivamente à Secretaria gestora quaisquer desvios, irregularidades, riscos ou dificuldades operacionais identificados durante o acompanhamento dos Projetos vinculados, nos termos do Capítulo VI deste Decreto.</w:t>
      </w:r>
    </w:p>
    <w:p>
      <w:pPr>
        <w:ind w:firstLine="709"/>
        <w:jc w:val="both"/>
        <w:spacing w:before="0" w:after="120" w:line="276" w:lineRule="auto"/>
      </w:pPr>
      <w:r>
        <w:rPr>
          <w:sz w:val="24"/>
        </w:rPr>
        <w:t>§ 1º O Parecer de Pré-Qualificação do API (inciso II) é peça consultiva destinada a subsidiar a instrução do processo pela SDE e pela Comissão Técnica do Programa (art. 18 do Decreto do Programa), não vincula a decisão de mérito, nos termos do art. 17, § 2º, do Decreto do Programa, e não se confunde com a análise de mérito do credenciamento da entidade (art. 19, inciso II, deste Decreto), que versa sobre matéria distinta.</w:t>
      </w:r>
    </w:p>
    <w:p>
      <w:pPr>
        <w:ind w:firstLine="709"/>
        <w:jc w:val="both"/>
        <w:spacing w:before="0" w:after="120" w:line="276" w:lineRule="auto"/>
      </w:pPr>
      <w:r>
        <w:rPr>
          <w:sz w:val="24"/>
        </w:rPr>
        <w:t>§ 2º O API pode recusar a pré-qualificação de Projeto manifestamente incompatível com o cluster setorial ou com os requisitos do Edital — decisão fundamentada, comunicada ao Proponente e registrada para fins de transparência. Do ato de recusa cabe recurso direto à SDE, no prazo de 5 (cinco) dias úteis.</w:t>
      </w:r>
    </w:p>
    <w:p>
      <w:pPr>
        <w:ind w:firstLine="709"/>
        <w:jc w:val="both"/>
        <w:spacing w:before="0" w:after="120" w:line="276" w:lineRule="auto"/>
      </w:pPr>
      <w:r>
        <w:rPr>
          <w:sz w:val="24"/>
        </w:rPr>
        <w:t>§ 3º A pré-qualificação não gera expectativa de aprovação do Projeto — a decisão de mérito e a homologação são competências exclusivas da Comissão Técnica e do Comitê Decisório, respectivamente.</w:t>
      </w:r>
    </w:p>
    <w:p>
      <w:pPr>
        <w:jc w:val="center"/>
        <w:spacing w:before="160" w:after="80"/>
      </w:pPr>
      <w:r>
        <w:rPr>
          <w:b/>
          <w:sz w:val="24"/>
        </w:rPr>
        <w:t>Seção II — Da carta de vinculação</w:t>
      </w:r>
    </w:p>
    <w:p>
      <w:pPr>
        <w:ind w:firstLine="709"/>
        <w:jc w:val="both"/>
        <w:spacing w:before="0" w:after="120" w:line="276" w:lineRule="auto"/>
      </w:pPr>
      <w:r>
        <w:rPr>
          <w:sz w:val="24"/>
        </w:rPr>
        <w:t>Art. 23 A carta de vinculação, prevista no art. 9º, § 1º, do Decreto do Programa, é o instrumento formal que declara a relação entre API e Proponente para fins de submissão de Projeto ao Programa.</w:t>
      </w:r>
    </w:p>
    <w:p>
      <w:pPr>
        <w:ind w:firstLine="709"/>
        <w:jc w:val="both"/>
        <w:spacing w:before="0" w:after="120" w:line="276" w:lineRule="auto"/>
      </w:pPr>
      <w:r>
        <w:rPr>
          <w:sz w:val="24"/>
        </w:rPr>
        <w:t>§ 1º A carta de vinculação conterá, no mínimo:</w:t>
      </w:r>
    </w:p>
    <w:p>
      <w:pPr>
        <w:ind w:left="850"/>
        <w:spacing w:before="0" w:after="60" w:line="276" w:lineRule="auto"/>
      </w:pPr>
      <w:r>
        <w:rPr>
          <w:sz w:val="24"/>
        </w:rPr>
        <w:t>identificação completa do Proponente e do API;</w:t>
      </w:r>
    </w:p>
    <w:p>
      <w:pPr>
        <w:ind w:left="850"/>
        <w:spacing w:before="0" w:after="60" w:line="276" w:lineRule="auto"/>
      </w:pPr>
      <w:r>
        <w:rPr>
          <w:sz w:val="24"/>
        </w:rPr>
        <w:t>cluster setorial em que o Projeto se insere;</w:t>
      </w:r>
    </w:p>
    <w:p>
      <w:pPr>
        <w:ind w:left="850"/>
        <w:spacing w:before="0" w:after="60" w:line="276" w:lineRule="auto"/>
      </w:pPr>
      <w:r>
        <w:rPr>
          <w:sz w:val="24"/>
        </w:rPr>
        <w:t>indicação do ciclo e do Edital de submissão;</w:t>
      </w:r>
    </w:p>
    <w:p>
      <w:pPr>
        <w:ind w:left="850"/>
        <w:spacing w:before="0" w:after="60" w:line="276" w:lineRule="auto"/>
      </w:pPr>
      <w:r>
        <w:rPr>
          <w:sz w:val="24"/>
        </w:rPr>
        <w:t>declaração do API de ausência de relação societária, familiar ou de conflito de interesse com o Proponente (art. 9º, § 3º, do Decreto do Programa);</w:t>
      </w:r>
    </w:p>
    <w:p>
      <w:pPr>
        <w:ind w:left="850"/>
        <w:spacing w:before="0" w:after="60" w:line="276" w:lineRule="auto"/>
      </w:pPr>
      <w:r>
        <w:rPr>
          <w:sz w:val="24"/>
        </w:rPr>
        <w:t>cláusula financeira expressa, nos termos do art. 24 deste Decreto, com uma das seguintes redações objetivas: "Sem contrapartida financeira" — quando o API adotar política de atendimento integralmente gratuito; ou "Contrapartida financeira de X% (por extenso) do valor aprovado do Projeto pelo Comitê Decisório", observado o teto de 5% (cinco por cento) previsto no art. 24, § 2º, I, com indicação expressa de que o pagamento somente é devido após a liberação efetiva dos recursos aprovados, sendo vedada cobrança antecipada ou condicional (art. 24, § 2º, II);</w:t>
      </w:r>
    </w:p>
    <w:p>
      <w:pPr>
        <w:ind w:left="850"/>
        <w:spacing w:before="0" w:after="60" w:line="276" w:lineRule="auto"/>
      </w:pPr>
      <w:r>
        <w:rPr>
          <w:sz w:val="24"/>
        </w:rPr>
        <w:t>"Sem contrapartida financeira" — quando o API adotar política de atendimento integralmente gratuito; ou</w:t>
      </w:r>
    </w:p>
    <w:p>
      <w:pPr>
        <w:ind w:left="850"/>
        <w:spacing w:before="0" w:after="60" w:line="276" w:lineRule="auto"/>
      </w:pPr>
      <w:r>
        <w:rPr>
          <w:sz w:val="24"/>
        </w:rPr>
        <w:t>"Contrapartida financeira de X% (por extenso) do valor aprovado do Projeto pelo Comitê Decisório", observado o teto de 5% (cinco por cento) previsto no art. 24, § 2º, I, com indicação expressa de que o pagamento somente é devido após a liberação efetiva dos recursos aprovados, sendo vedada cobrança antecipada ou condicional (art. 24, § 2º, II);</w:t>
      </w:r>
    </w:p>
    <w:p>
      <w:pPr>
        <w:ind w:left="850"/>
        <w:spacing w:before="0" w:after="60" w:line="276" w:lineRule="auto"/>
      </w:pPr>
      <w:r>
        <w:rPr>
          <w:sz w:val="24"/>
        </w:rPr>
        <w:t>assinatura do representante legal do API e do Proponente, com data.</w:t>
      </w:r>
    </w:p>
    <w:p>
      <w:pPr>
        <w:ind w:firstLine="709"/>
        <w:jc w:val="both"/>
        <w:spacing w:before="0" w:after="120" w:line="276" w:lineRule="auto"/>
      </w:pPr>
      <w:r>
        <w:rPr>
          <w:sz w:val="24"/>
        </w:rPr>
        <w:t>§ 2º A ausência ou a imprecisão da cláusula financeira (§ 1º, V) torna a carta inábil para fins de submissão do Projeto, devendo ser corrigida pelas partes antes do protocolo. Na dúvida interpretativa, prevalece a gratuidade — a cobrança pelo API depende de previsão expressa e inequívoca na carta.</w:t>
      </w:r>
    </w:p>
    <w:p>
      <w:pPr>
        <w:ind w:firstLine="709"/>
        <w:jc w:val="both"/>
        <w:spacing w:before="0" w:after="120" w:line="276" w:lineRule="auto"/>
      </w:pPr>
      <w:r>
        <w:rPr>
          <w:sz w:val="24"/>
        </w:rPr>
        <w:t>§ 3º A carta de vinculação é emitida antes da submissão do Projeto à SDE e integra a documentação do Projeto para fins de habilitação.</w:t>
      </w:r>
    </w:p>
    <w:p>
      <w:pPr>
        <w:ind w:firstLine="709"/>
        <w:jc w:val="both"/>
        <w:spacing w:before="0" w:after="120" w:line="276" w:lineRule="auto"/>
      </w:pPr>
      <w:r>
        <w:rPr>
          <w:sz w:val="24"/>
        </w:rPr>
        <w:t>§ 4º A alteração, revogação ou rescisão da carta de vinculação durante o ciclo segue o regime do art. 9º, § 4º, do Decreto do Programa (troca de vinculação mediante concordância das partes e manifestação à SDE). A troca de API enseja emissão de nova carta com cláusula financeira correspondente à política do novo API.</w:t>
      </w:r>
    </w:p>
    <w:p>
      <w:pPr>
        <w:jc w:val="center"/>
        <w:spacing w:before="160" w:after="80"/>
      </w:pPr>
      <w:r>
        <w:rPr>
          <w:b/>
          <w:sz w:val="24"/>
        </w:rPr>
        <w:t>Seção III — Da contrapartida financeira facultativa</w:t>
      </w:r>
    </w:p>
    <w:p>
      <w:pPr>
        <w:ind w:firstLine="709"/>
        <w:jc w:val="both"/>
        <w:spacing w:before="0" w:after="120" w:line="276" w:lineRule="auto"/>
      </w:pPr>
      <w:r>
        <w:rPr>
          <w:sz w:val="24"/>
        </w:rPr>
        <w:t>Art. 24 A entidade gestora de API pode, a seu critério, estabelecer contrapartida financeira do Proponente pela prestação dos serviços de orientação, pré-qualificação e acompanhamento, observadas as regras desta Seção.</w:t>
      </w:r>
    </w:p>
    <w:p>
      <w:pPr>
        <w:ind w:firstLine="709"/>
        <w:jc w:val="both"/>
        <w:spacing w:before="0" w:after="120" w:line="276" w:lineRule="auto"/>
      </w:pPr>
      <w:r>
        <w:rPr>
          <w:sz w:val="24"/>
        </w:rPr>
        <w:t>§ 1º A contrapartida é facultativa — não há obrigação legal de cobrança, sendo legítima tanto a política de atendimento integralmente gratuito quanto a adoção de contrapartida, conforme o modelo institucional de cada entidade gestora.</w:t>
      </w:r>
    </w:p>
    <w:p>
      <w:pPr>
        <w:ind w:firstLine="709"/>
        <w:jc w:val="both"/>
        <w:spacing w:before="0" w:after="120" w:line="276" w:lineRule="auto"/>
      </w:pPr>
      <w:r>
        <w:rPr>
          <w:sz w:val="24"/>
        </w:rPr>
        <w:t>§ 2º Adotada contrapartida, esta observará os seguintes limites:</w:t>
      </w:r>
    </w:p>
    <w:p>
      <w:pPr>
        <w:ind w:left="850"/>
        <w:spacing w:before="0" w:after="60" w:line="276" w:lineRule="auto"/>
      </w:pPr>
      <w:r>
        <w:rPr>
          <w:sz w:val="24"/>
        </w:rPr>
        <w:t>o valor total da contrapartida, por Projeto, não ultrapassará 5% (cinco por cento) do valor aprovado do Projeto pelo Comitê Decisório;</w:t>
      </w:r>
    </w:p>
    <w:p>
      <w:pPr>
        <w:ind w:left="850"/>
        <w:spacing w:before="0" w:after="60" w:line="276" w:lineRule="auto"/>
      </w:pPr>
      <w:r>
        <w:rPr>
          <w:sz w:val="24"/>
        </w:rPr>
        <w:t>o pagamento da contrapartida somente é devido após a homologação do Projeto e a efetiva liberação dos recursos do Programa ao Proponente — é vedada cobrança antecipada, taxa de inscrição, taxa de análise ou qualquer cobrança condicional à orientação ou à pré-qualificação;</w:t>
      </w:r>
    </w:p>
    <w:p>
      <w:pPr>
        <w:ind w:left="850"/>
        <w:spacing w:before="0" w:after="60" w:line="276" w:lineRule="auto"/>
      </w:pPr>
      <w:r>
        <w:rPr>
          <w:sz w:val="24"/>
        </w:rPr>
        <w:t>a contrapartida é suportada com recursos próprios do Proponente, não podendo ser paga diretamente pelo FIT/Jlle, nem compor a planilha orçamentária do Projeto como item próprio do apoio financeiro do Programa.</w:t>
      </w:r>
    </w:p>
    <w:p>
      <w:pPr>
        <w:ind w:firstLine="709"/>
        <w:jc w:val="both"/>
        <w:spacing w:before="0" w:after="120" w:line="276" w:lineRule="auto"/>
      </w:pPr>
      <w:r>
        <w:rPr>
          <w:sz w:val="24"/>
        </w:rPr>
        <w:t>§ 3º A política de contrapartida da entidade gestora — existindo ou não — será publicada pelo API em seu sítio eletrônico institucional e comunicada à SDE antes da abertura de cada ciclo de submissão, em condições objetivas, isonômicas e aplicáveis a todos os Proponentes do cluster. É vedada a diferenciação de percentual ou condição entre Proponentes vinculados ao mesmo API no mesmo ciclo.</w:t>
      </w:r>
    </w:p>
    <w:p>
      <w:pPr>
        <w:ind w:firstLine="709"/>
        <w:jc w:val="both"/>
        <w:spacing w:before="0" w:after="120" w:line="276" w:lineRule="auto"/>
      </w:pPr>
      <w:r>
        <w:rPr>
          <w:sz w:val="24"/>
        </w:rPr>
        <w:t>§ 4º A menção à política de contrapartida (§ 3º) integra a carta de vinculação (art. 23, § 1º, V), permitindo ao Proponente decisão informada quanto à escolha do API — exercício da autonomia prevista no art. 9º, § 4º, do Decreto do Programa.</w:t>
      </w:r>
    </w:p>
    <w:p>
      <w:pPr>
        <w:ind w:firstLine="709"/>
        <w:jc w:val="both"/>
        <w:spacing w:before="0" w:after="120" w:line="276" w:lineRule="auto"/>
      </w:pPr>
      <w:r>
        <w:rPr>
          <w:sz w:val="24"/>
        </w:rPr>
        <w:t>§ 5º A cobrança de contrapartida em desconformidade com esta Seção enseja as sanções do Capítulo VII, sem prejuízo da devolução integral dos valores recebidos indevidamente, corrigidos monetariamente.</w:t>
      </w:r>
    </w:p>
    <w:p>
      <w:pPr>
        <w:ind w:firstLine="709"/>
        <w:jc w:val="both"/>
        <w:spacing w:before="0" w:after="120" w:line="276" w:lineRule="auto"/>
      </w:pPr>
      <w:r>
        <w:rPr>
          <w:sz w:val="24"/>
        </w:rPr>
        <w:t>§ 6º A contrapartida financeira, quando adotada, somente é exigível quando formalizada expressamente na cláusula financeira da carta de vinculação (art. 23, § 1º, V). Na ausência dessa previsão expressa e inequívoca, presume-se gratuidade do atendimento, sendo indevida qualquer cobrança posterior pelo API.</w:t>
      </w:r>
    </w:p>
    <w:p>
      <w:pPr>
        <w:jc w:val="center"/>
        <w:spacing w:before="160" w:after="80"/>
      </w:pPr>
      <w:r>
        <w:rPr>
          <w:b/>
          <w:sz w:val="24"/>
        </w:rPr>
        <w:t>Seção IV — Das vedações operacionais</w:t>
      </w:r>
    </w:p>
    <w:p>
      <w:pPr>
        <w:ind w:firstLine="709"/>
        <w:jc w:val="both"/>
        <w:spacing w:before="0" w:after="120" w:line="276" w:lineRule="auto"/>
      </w:pPr>
      <w:r>
        <w:rPr>
          <w:sz w:val="24"/>
        </w:rPr>
        <w:t>Art. 25 É vedado à entidade gestora de API, no exercício de suas competências:</w:t>
      </w:r>
    </w:p>
    <w:p>
      <w:pPr>
        <w:ind w:left="850"/>
        <w:spacing w:before="0" w:after="60" w:line="276" w:lineRule="auto"/>
      </w:pPr>
      <w:r>
        <w:rPr>
          <w:sz w:val="24"/>
        </w:rPr>
        <w:t>cobrar taxa, emolumento ou valor de qualquer natureza como condição de acesso à orientação, à pré-qualificação ou à emissão da carta de vinculação;</w:t>
      </w:r>
    </w:p>
    <w:p>
      <w:pPr>
        <w:ind w:left="850"/>
        <w:spacing w:before="0" w:after="60" w:line="276" w:lineRule="auto"/>
      </w:pPr>
      <w:r>
        <w:rPr>
          <w:sz w:val="24"/>
        </w:rPr>
        <w:t>condicionar a pré-qualificação ou o acompanhamento à contratação de serviços adicionais, ao pagamento antecipado ou à cessão de direitos do Proponente;</w:t>
      </w:r>
    </w:p>
    <w:p>
      <w:pPr>
        <w:ind w:left="850"/>
        <w:spacing w:before="0" w:after="60" w:line="276" w:lineRule="auto"/>
      </w:pPr>
      <w:r>
        <w:rPr>
          <w:sz w:val="24"/>
        </w:rPr>
        <w:t>assumir ou co-executar o Projeto do Proponente vinculado, ressalvadas hipóteses em que a entidade figure legitimamente como instituição executora em ato de parceria formal, desde que previamente declarado e compatível com a autonomia técnica do Projeto;</w:t>
      </w:r>
    </w:p>
    <w:p>
      <w:pPr>
        <w:ind w:left="850"/>
        <w:spacing w:before="0" w:after="60" w:line="276" w:lineRule="auto"/>
      </w:pPr>
      <w:r>
        <w:rPr>
          <w:sz w:val="24"/>
        </w:rPr>
        <w:t>participar, direta ou indiretamente, da avaliação de mérito (Comissão Técnica), da homologação (Comitê Decisório) ou da fiscalização financeira dos Projetos vinculados, nos termos do art. 17, § 2º, do Decreto do Programa;</w:t>
      </w:r>
    </w:p>
    <w:p>
      <w:pPr>
        <w:ind w:left="850"/>
        <w:spacing w:before="0" w:after="60" w:line="276" w:lineRule="auto"/>
      </w:pPr>
      <w:r>
        <w:rPr>
          <w:sz w:val="24"/>
        </w:rPr>
        <w:t>recusar vinculação de Proponente habilitado ao cluster por motivo discriminatório, pessoal ou político, obrigando-se a atender em condições isonômicas todos os Proponentes do cluster;</w:t>
      </w:r>
    </w:p>
    <w:p>
      <w:pPr>
        <w:ind w:left="850"/>
        <w:spacing w:before="0" w:after="60" w:line="276" w:lineRule="auto"/>
      </w:pPr>
      <w:r>
        <w:rPr>
          <w:sz w:val="24"/>
        </w:rPr>
        <w:t>divulgar dados sigilosos de Projetos submetidos ou em execução, ressalvadas as informações que constituam transparência ativa nos termos do Capítulo VI;</w:t>
      </w:r>
    </w:p>
    <w:p>
      <w:pPr>
        <w:ind w:left="850"/>
        <w:spacing w:before="0" w:after="60" w:line="276" w:lineRule="auto"/>
      </w:pPr>
      <w:r>
        <w:rPr>
          <w:sz w:val="24"/>
        </w:rPr>
        <w:t>firmar carta de vinculação com Proponente que esteja vinculado a outro API no mesmo ciclo (dupla vinculação);</w:t>
      </w:r>
    </w:p>
    <w:p>
      <w:pPr>
        <w:ind w:left="850"/>
        <w:spacing w:before="0" w:after="60" w:line="276" w:lineRule="auto"/>
      </w:pPr>
      <w:r>
        <w:rPr>
          <w:sz w:val="24"/>
        </w:rPr>
        <w:t>exigir do Proponente, como condição da vinculação, filiação associativa, pagamento de anuidade ou adesão a programas próprios da entidade gestora não diretamente relacionados ao Programa.</w:t>
      </w:r>
    </w:p>
    <w:p>
      <w:pPr>
        <w:ind w:firstLine="709"/>
        <w:jc w:val="both"/>
        <w:spacing w:before="0" w:after="120" w:line="276" w:lineRule="auto"/>
      </w:pPr>
      <w:r>
        <w:rPr>
          <w:sz w:val="24"/>
        </w:rPr>
        <w:t>Parágrafo único. A inobservância de qualquer das vedações deste artigo enseja a aplicação do regime sancionatório do Capítulo VII, sem prejuízo das sanções administrativas, cíveis e penais cabíveis.</w:t>
      </w:r>
    </w:p>
    <w:p>
      <w:pPr>
        <w:jc w:val="center"/>
        <w:spacing w:before="160" w:after="80"/>
      </w:pPr>
      <w:r>
        <w:rPr>
          <w:b/>
          <w:sz w:val="24"/>
        </w:rPr>
        <w:t>Seção V — Da articulação institucional</w:t>
      </w:r>
    </w:p>
    <w:p>
      <w:pPr>
        <w:ind w:firstLine="709"/>
        <w:jc w:val="both"/>
        <w:spacing w:before="0" w:after="120" w:line="276" w:lineRule="auto"/>
      </w:pPr>
      <w:r>
        <w:rPr>
          <w:sz w:val="24"/>
        </w:rPr>
        <w:t>Art. 26 A entidade gestora de API articula-se, no exercício de suas competências, com os demais atores do ecossistema municipal de inovação:</w:t>
      </w:r>
    </w:p>
    <w:p>
      <w:pPr>
        <w:ind w:left="850"/>
        <w:spacing w:before="0" w:after="60" w:line="276" w:lineRule="auto"/>
      </w:pPr>
      <w:r>
        <w:rPr>
          <w:sz w:val="24"/>
        </w:rPr>
        <w:t>com a SDE, em canal direto de comunicação, para assuntos relativos ao Programa, ao Edital e ao acompanhamento dos Proponentes vinculados;</w:t>
      </w:r>
    </w:p>
    <w:p>
      <w:pPr>
        <w:ind w:left="850"/>
        <w:spacing w:before="0" w:after="60" w:line="276" w:lineRule="auto"/>
      </w:pPr>
      <w:r>
        <w:rPr>
          <w:sz w:val="24"/>
        </w:rPr>
        <w:t>com o COMCITI, em pauta temática do cluster, para subsidiar deliberações do Conselho em matérias de sua competência;</w:t>
      </w:r>
    </w:p>
    <w:p>
      <w:pPr>
        <w:ind w:left="850"/>
        <w:spacing w:before="0" w:after="60" w:line="276" w:lineRule="auto"/>
      </w:pPr>
      <w:r>
        <w:rPr>
          <w:sz w:val="24"/>
        </w:rPr>
        <w:t>com outros APIs, em Projetos de natureza transversal, mediante articulação formal registrada na carta de vinculação (art. 23);</w:t>
      </w:r>
    </w:p>
    <w:p>
      <w:pPr>
        <w:ind w:left="850"/>
        <w:spacing w:before="0" w:after="60" w:line="276" w:lineRule="auto"/>
      </w:pPr>
      <w:r>
        <w:rPr>
          <w:sz w:val="24"/>
        </w:rPr>
        <w:t>com instituições de ensino, pesquisa, fomento e mercado que atuem no cluster, para potencializar o alcance do Programa.</w:t>
      </w:r>
    </w:p>
    <w:p>
      <w:pPr>
        <w:ind w:firstLine="709"/>
        <w:jc w:val="both"/>
        <w:spacing w:before="0" w:after="120" w:line="276" w:lineRule="auto"/>
      </w:pPr>
      <w:r>
        <w:rPr>
          <w:sz w:val="24"/>
        </w:rPr>
        <w:t>Parágrafo único. A articulação de que trata este artigo não confere ao API poder decisório sobre matérias de competência da SDE, da Comissão Técnica, do Comitê Decisório ou do COMCITI, preservando-se a separação entre orientação e decisão (art. 4º, inciso II, deste Decreto).</w:t>
      </w:r>
    </w:p>
    <w:p>
      <w:pPr>
        <w:jc w:val="center"/>
        <w:spacing w:before="320" w:after="80"/>
      </w:pPr>
      <w:r>
        <w:rPr>
          <w:b/>
          <w:sz w:val="24"/>
        </w:rPr>
        <w:t>ACOMPANHAMENTO E PRESTAÇÃO DE CONTAS</w:t>
      </w:r>
    </w:p>
    <w:p>
      <w:pPr>
        <w:jc w:val="center"/>
        <w:spacing w:before="160" w:after="80"/>
      </w:pPr>
      <w:r>
        <w:rPr>
          <w:b/>
          <w:sz w:val="24"/>
        </w:rPr>
        <w:t>Seção I — Dos relatórios periódicos</w:t>
      </w:r>
    </w:p>
    <w:p>
      <w:pPr>
        <w:ind w:firstLine="709"/>
        <w:jc w:val="both"/>
        <w:spacing w:before="0" w:after="120" w:line="276" w:lineRule="auto"/>
      </w:pPr>
      <w:r>
        <w:rPr>
          <w:sz w:val="24"/>
        </w:rPr>
        <w:t>Art. 27 A entidade gestora de API prestará contas de sua atuação à SDE mediante 2 (dois) relatórios no ciclo anual:</w:t>
      </w:r>
    </w:p>
    <w:p>
      <w:pPr>
        <w:ind w:left="850"/>
        <w:spacing w:before="0" w:after="60" w:line="276" w:lineRule="auto"/>
      </w:pPr>
      <w:r>
        <w:rPr>
          <w:sz w:val="24"/>
        </w:rPr>
        <w:t>Relatório Semestral Sintético — enviado à SDE até 30 (trinta) dias após o encerramento de cada semestre civil, contendo: número de Proponentes atendidos no semestre, com breve descrição do suporte prestado; número de Projetos pré-qualificados encaminhados à SDE, com respectivos Pareceres de Pré-Qualificação; número de Projetos em acompanhamento durante execução, com status resumido (em curso, concluído, com desvio reportado); registro de desvios, irregularidades ou riscos identificados (art. 22, V); atualização da política de contrapartida financeira, se houver alteração.</w:t>
      </w:r>
    </w:p>
    <w:p>
      <w:pPr>
        <w:ind w:left="850"/>
        <w:spacing w:before="0" w:after="60" w:line="276" w:lineRule="auto"/>
      </w:pPr>
      <w:r>
        <w:rPr>
          <w:sz w:val="24"/>
        </w:rPr>
        <w:t>número de Proponentes atendidos no semestre, com breve descrição do suporte prestado;</w:t>
      </w:r>
    </w:p>
    <w:p>
      <w:pPr>
        <w:ind w:left="850"/>
        <w:spacing w:before="0" w:after="60" w:line="276" w:lineRule="auto"/>
      </w:pPr>
      <w:r>
        <w:rPr>
          <w:sz w:val="24"/>
        </w:rPr>
        <w:t>número de Projetos pré-qualificados encaminhados à SDE, com respectivos Pareceres de Pré-Qualificação;</w:t>
      </w:r>
    </w:p>
    <w:p>
      <w:pPr>
        <w:ind w:left="850"/>
        <w:spacing w:before="0" w:after="60" w:line="276" w:lineRule="auto"/>
      </w:pPr>
      <w:r>
        <w:rPr>
          <w:sz w:val="24"/>
        </w:rPr>
        <w:t>número de Projetos em acompanhamento durante execução, com status resumido (em curso, concluído, com desvio reportado);</w:t>
      </w:r>
    </w:p>
    <w:p>
      <w:pPr>
        <w:ind w:left="850"/>
        <w:spacing w:before="0" w:after="60" w:line="276" w:lineRule="auto"/>
      </w:pPr>
      <w:r>
        <w:rPr>
          <w:sz w:val="24"/>
        </w:rPr>
        <w:t>registro de desvios, irregularidades ou riscos identificados (art. 22, V);</w:t>
      </w:r>
    </w:p>
    <w:p>
      <w:pPr>
        <w:ind w:left="850"/>
        <w:spacing w:before="0" w:after="60" w:line="276" w:lineRule="auto"/>
      </w:pPr>
      <w:r>
        <w:rPr>
          <w:sz w:val="24"/>
        </w:rPr>
        <w:t>atualização da política de contrapartida financeira, se houver alteração.</w:t>
      </w:r>
    </w:p>
    <w:p>
      <w:pPr>
        <w:ind w:left="850"/>
        <w:spacing w:before="0" w:after="60" w:line="276" w:lineRule="auto"/>
      </w:pPr>
      <w:r>
        <w:rPr>
          <w:sz w:val="24"/>
        </w:rPr>
        <w:t>Relatório Anual Consolidado — enviado à SDE até 60 (sessenta) dias após o encerramento do exercício anual, contendo: consolidação dos dois relatórios semestrais; apuração dos indicadores de desempenho do art. 28; memória de cálculo da contrapartida financeira cobrada no exercício, se houver, com demonstração de conformidade ao teto do art. 24, § 2º, I; autoavaliação institucional e planos de melhoria para o exercício seguinte; atualização cadastral da entidade, quando houver alteração relevante desde o último relatório.</w:t>
      </w:r>
    </w:p>
    <w:p>
      <w:pPr>
        <w:ind w:left="850"/>
        <w:spacing w:before="0" w:after="60" w:line="276" w:lineRule="auto"/>
      </w:pPr>
      <w:r>
        <w:rPr>
          <w:sz w:val="24"/>
        </w:rPr>
        <w:t>consolidação dos dois relatórios semestrais;</w:t>
      </w:r>
    </w:p>
    <w:p>
      <w:pPr>
        <w:ind w:left="850"/>
        <w:spacing w:before="0" w:after="60" w:line="276" w:lineRule="auto"/>
      </w:pPr>
      <w:r>
        <w:rPr>
          <w:sz w:val="24"/>
        </w:rPr>
        <w:t>apuração dos indicadores de desempenho do art. 28;</w:t>
      </w:r>
    </w:p>
    <w:p>
      <w:pPr>
        <w:ind w:left="850"/>
        <w:spacing w:before="0" w:after="60" w:line="276" w:lineRule="auto"/>
      </w:pPr>
      <w:r>
        <w:rPr>
          <w:sz w:val="24"/>
        </w:rPr>
        <w:t>memória de cálculo da contrapartida financeira cobrada no exercício, se houver, com demonstração de conformidade ao teto do art. 24, § 2º, I;</w:t>
      </w:r>
    </w:p>
    <w:p>
      <w:pPr>
        <w:ind w:left="850"/>
        <w:spacing w:before="0" w:after="60" w:line="276" w:lineRule="auto"/>
      </w:pPr>
      <w:r>
        <w:rPr>
          <w:sz w:val="24"/>
        </w:rPr>
        <w:t>autoavaliação institucional e planos de melhoria para o exercício seguinte;</w:t>
      </w:r>
    </w:p>
    <w:p>
      <w:pPr>
        <w:ind w:left="850"/>
        <w:spacing w:before="0" w:after="60" w:line="276" w:lineRule="auto"/>
      </w:pPr>
      <w:r>
        <w:rPr>
          <w:sz w:val="24"/>
        </w:rPr>
        <w:t>atualização cadastral da entidade, quando houver alteração relevante desde o último relatório.</w:t>
      </w:r>
    </w:p>
    <w:p>
      <w:pPr>
        <w:ind w:firstLine="709"/>
        <w:jc w:val="both"/>
        <w:spacing w:before="0" w:after="120" w:line="276" w:lineRule="auto"/>
      </w:pPr>
      <w:r>
        <w:rPr>
          <w:sz w:val="24"/>
        </w:rPr>
        <w:t>§ 1º Os relatórios são encaminhados em formato eletrônico padronizado, disponibilizado pela SDE em instrução normativa, e publicados no portal do Programa nos termos do art. 32.</w:t>
      </w:r>
    </w:p>
    <w:p>
      <w:pPr>
        <w:ind w:firstLine="709"/>
        <w:jc w:val="both"/>
        <w:spacing w:before="0" w:after="120" w:line="276" w:lineRule="auto"/>
      </w:pPr>
      <w:r>
        <w:rPr>
          <w:sz w:val="24"/>
        </w:rPr>
        <w:t>§ 2º A SDE pode solicitar, motivadamente, esclarecimentos pontuais sobre o conteúdo dos relatórios, a serem prestados pela entidade gestora no prazo de 15 (quinze) dias.</w:t>
      </w:r>
    </w:p>
    <w:p>
      <w:pPr>
        <w:ind w:firstLine="709"/>
        <w:jc w:val="both"/>
        <w:spacing w:before="0" w:after="120" w:line="276" w:lineRule="auto"/>
      </w:pPr>
      <w:r>
        <w:rPr>
          <w:sz w:val="24"/>
        </w:rPr>
        <w:t>§ 3º O atraso na apresentação de qualquer relatório, não sanado em 15 (quinze) dias após notificação da SDE, enseja alerta formal e, em caso de reincidência, a aplicação do art. 31.</w:t>
      </w:r>
    </w:p>
    <w:p>
      <w:pPr>
        <w:jc w:val="center"/>
        <w:spacing w:before="160" w:after="80"/>
      </w:pPr>
      <w:r>
        <w:rPr>
          <w:b/>
          <w:sz w:val="24"/>
        </w:rPr>
        <w:t>Seção II — Dos indicadores mínimos de desempenho</w:t>
      </w:r>
    </w:p>
    <w:p>
      <w:pPr>
        <w:ind w:firstLine="709"/>
        <w:jc w:val="both"/>
        <w:spacing w:before="0" w:after="120" w:line="276" w:lineRule="auto"/>
      </w:pPr>
      <w:r>
        <w:rPr>
          <w:sz w:val="24"/>
        </w:rPr>
        <w:t>Art. 28 A atuação de cada entidade gestora é aferida, no mínimo, pelos seguintes indicadores, apurados anualmente:</w:t>
      </w:r>
    </w:p>
    <w:p>
      <w:pPr>
        <w:ind w:left="850"/>
        <w:spacing w:before="0" w:after="60" w:line="276" w:lineRule="auto"/>
      </w:pPr>
      <w:r>
        <w:rPr>
          <w:sz w:val="24"/>
        </w:rPr>
        <w:t>IDA — Índice de Atendimento: número total de Proponentes orientados no exercício, distinguindo atendimentos concluídos em carta de vinculação dos atendimentos iniciais sem prosseguimento;</w:t>
      </w:r>
    </w:p>
    <w:p>
      <w:pPr>
        <w:ind w:left="850"/>
        <w:spacing w:before="0" w:after="60" w:line="276" w:lineRule="auto"/>
      </w:pPr>
      <w:r>
        <w:rPr>
          <w:sz w:val="24"/>
        </w:rPr>
        <w:t>IPQ — Índice de Pré-Qualificação: número de Projetos que receberam Parecer de Pré-Qualificação favorável ou favorável com recomendações no exercício;</w:t>
      </w:r>
    </w:p>
    <w:p>
      <w:pPr>
        <w:ind w:left="850"/>
        <w:spacing w:before="0" w:after="60" w:line="276" w:lineRule="auto"/>
      </w:pPr>
      <w:r>
        <w:rPr>
          <w:sz w:val="24"/>
        </w:rPr>
        <w:t>IAP — Índice de Aprovação: relação entre Projetos pré-qualificados pelo API no exercício e Projetos efetivamente aprovados pelo Comitê Decisório do Programa — expresso em percentual;</w:t>
      </w:r>
    </w:p>
    <w:p>
      <w:pPr>
        <w:ind w:left="850"/>
        <w:spacing w:before="0" w:after="60" w:line="276" w:lineRule="auto"/>
      </w:pPr>
      <w:r>
        <w:rPr>
          <w:sz w:val="24"/>
        </w:rPr>
        <w:t>IEX — Índice de Execução: relação entre Projetos aprovados com vinculação ao API e Projetos concluídos com êxito, nos ciclos anteriores já encerrados — expresso em percentual.</w:t>
      </w:r>
    </w:p>
    <w:p>
      <w:pPr>
        <w:ind w:firstLine="709"/>
        <w:jc w:val="both"/>
        <w:spacing w:before="0" w:after="120" w:line="276" w:lineRule="auto"/>
      </w:pPr>
      <w:r>
        <w:rPr>
          <w:sz w:val="24"/>
        </w:rPr>
        <w:t>§ 1º Os indicadores deste artigo são mínimos obrigatórios. O Edital de chamamento público ou instrução normativa da SDE pode acrescentar indicadores qualitativos adicionais, desde que proporcionais e objetivamente mensuráveis.</w:t>
      </w:r>
    </w:p>
    <w:p>
      <w:pPr>
        <w:ind w:firstLine="709"/>
        <w:jc w:val="both"/>
        <w:spacing w:before="0" w:after="120" w:line="276" w:lineRule="auto"/>
      </w:pPr>
      <w:r>
        <w:rPr>
          <w:sz w:val="24"/>
        </w:rPr>
        <w:t>§ 2º A SDE publicará anualmente, no portal do Programa, consolidação dos indicadores de todas as entidades gestoras credenciadas, para fins de transparência e comparabilidade.</w:t>
      </w:r>
    </w:p>
    <w:p>
      <w:pPr>
        <w:jc w:val="center"/>
        <w:spacing w:before="160" w:after="80"/>
      </w:pPr>
      <w:r>
        <w:rPr>
          <w:b/>
          <w:sz w:val="24"/>
        </w:rPr>
        <w:t>Seção III — Das metas mínimas anuais</w:t>
      </w:r>
    </w:p>
    <w:p>
      <w:pPr>
        <w:ind w:firstLine="709"/>
        <w:jc w:val="both"/>
        <w:spacing w:before="0" w:after="120" w:line="276" w:lineRule="auto"/>
      </w:pPr>
      <w:r>
        <w:rPr>
          <w:sz w:val="24"/>
        </w:rPr>
        <w:t>Art. 29 Cada entidade gestora deve cumprir, no exercício anual, as seguintes metas mínimas cumulativas:</w:t>
      </w:r>
    </w:p>
    <w:p>
      <w:pPr>
        <w:ind w:left="850"/>
        <w:spacing w:before="0" w:after="60" w:line="276" w:lineRule="auto"/>
      </w:pPr>
      <w:r>
        <w:rPr>
          <w:sz w:val="24"/>
        </w:rPr>
        <w:t>IDA mínimo: 3 (três) Proponentes orientados com emissão de carta de vinculação no exercício, nos clusters consolidados; 1 (um) Proponente orientado nos clusters em formação (art. 13, § 3º);</w:t>
      </w:r>
    </w:p>
    <w:p>
      <w:pPr>
        <w:ind w:left="850"/>
        <w:spacing w:before="0" w:after="60" w:line="276" w:lineRule="auto"/>
      </w:pPr>
      <w:r>
        <w:rPr>
          <w:sz w:val="24"/>
        </w:rPr>
        <w:t>IPQ mínimo: 1 (um) Projeto com Parecer de Pré-Qualificação favorável ou favorável com recomendações por exercício.</w:t>
      </w:r>
    </w:p>
    <w:p>
      <w:pPr>
        <w:ind w:firstLine="709"/>
        <w:jc w:val="both"/>
        <w:spacing w:before="0" w:after="120" w:line="276" w:lineRule="auto"/>
      </w:pPr>
      <w:r>
        <w:rPr>
          <w:sz w:val="24"/>
        </w:rPr>
        <w:t>§ 1º Os indicadores IAP e IEX (art. 28, III e IV) não possuem piso mínimo, servindo exclusivamente como métricas de desempenho qualitativo — reconhece-se que a aprovação no Comitê Decisório e a conclusão exitosa dos Projetos dependem de fatores não integralmente controlados pelo API.</w:t>
      </w:r>
    </w:p>
    <w:p>
      <w:pPr>
        <w:ind w:firstLine="709"/>
        <w:jc w:val="both"/>
        <w:spacing w:before="0" w:after="120" w:line="276" w:lineRule="auto"/>
      </w:pPr>
      <w:r>
        <w:rPr>
          <w:sz w:val="24"/>
        </w:rPr>
        <w:t>§ 2º O Edital de chamamento público pode elevar as metas mínimas por cluster, com base em parecer objetivo do COMCITI que fundamente a exigência no porte do cluster e na capacidade instalada — vedada redução das metas mínimas deste Decreto por via infralegal.</w:t>
      </w:r>
    </w:p>
    <w:p>
      <w:pPr>
        <w:ind w:firstLine="709"/>
        <w:jc w:val="both"/>
        <w:spacing w:before="0" w:after="120" w:line="276" w:lineRule="auto"/>
      </w:pPr>
      <w:r>
        <w:rPr>
          <w:sz w:val="24"/>
        </w:rPr>
        <w:t>§ 3º O primeiro exercício de vigência da credencial, computado da data de homologação, é considerado período de implementação, aplicando-se metas mínimas com redutor de 50% (cinquenta por cento) — regra válida apenas para o primeiro ciclo.</w:t>
      </w:r>
    </w:p>
    <w:p>
      <w:pPr>
        <w:jc w:val="center"/>
        <w:spacing w:before="160" w:after="80"/>
      </w:pPr>
      <w:r>
        <w:rPr>
          <w:b/>
          <w:sz w:val="24"/>
        </w:rPr>
        <w:t>Seção IV — Da avaliação anual de desempenho</w:t>
      </w:r>
    </w:p>
    <w:p>
      <w:pPr>
        <w:ind w:firstLine="709"/>
        <w:jc w:val="both"/>
        <w:spacing w:before="0" w:after="120" w:line="276" w:lineRule="auto"/>
      </w:pPr>
      <w:r>
        <w:rPr>
          <w:sz w:val="24"/>
        </w:rPr>
        <w:t>Art. 30 Ao final de cada exercício, a SDE realiza, com base no Relatório Anual Consolidado (art. 27, II), avaliação de desempenho de cada entidade gestora, atribuindo um dos seguintes conceitos:</w:t>
      </w:r>
    </w:p>
    <w:p>
      <w:pPr>
        <w:ind w:left="850"/>
        <w:spacing w:before="0" w:after="60" w:line="276" w:lineRule="auto"/>
      </w:pPr>
      <w:r>
        <w:rPr>
          <w:sz w:val="24"/>
        </w:rPr>
        <w:t>ADEQUADO — cumprimento integral das metas mínimas (art. 29) e regularidade formal dos relatórios;</w:t>
      </w:r>
    </w:p>
    <w:p>
      <w:pPr>
        <w:ind w:left="850"/>
        <w:spacing w:before="0" w:after="60" w:line="276" w:lineRule="auto"/>
      </w:pPr>
      <w:r>
        <w:rPr>
          <w:sz w:val="24"/>
        </w:rPr>
        <w:t>ALERTA — cumprimento parcial das metas mínimas (até 20% de défice em qualquer indicador) ou atrasos sanados em prazo ampliado, sem prejuízo material ao Programa;</w:t>
      </w:r>
    </w:p>
    <w:p>
      <w:pPr>
        <w:ind w:left="850"/>
        <w:spacing w:before="0" w:after="60" w:line="276" w:lineRule="auto"/>
      </w:pPr>
      <w:r>
        <w:rPr>
          <w:sz w:val="24"/>
        </w:rPr>
        <w:t>INSUFICIENTE — descumprimento das metas mínimas além do tolerado no conceito de Alerta, ausência reiterada de relatórios, ou constatação de desconformidades relevantes na prestação de contas.</w:t>
      </w:r>
    </w:p>
    <w:p>
      <w:pPr>
        <w:ind w:firstLine="709"/>
        <w:jc w:val="both"/>
        <w:spacing w:before="0" w:after="120" w:line="276" w:lineRule="auto"/>
      </w:pPr>
      <w:r>
        <w:rPr>
          <w:sz w:val="24"/>
        </w:rPr>
        <w:t>§ 1º A avaliação é fundamentada em parecer técnico da SDE, referendada pelo COMCITI em deliberação por maioria simples dos presentes, e publicada no portal do Programa (art. 32).</w:t>
      </w:r>
    </w:p>
    <w:p>
      <w:pPr>
        <w:ind w:firstLine="709"/>
        <w:jc w:val="both"/>
        <w:spacing w:before="0" w:after="120" w:line="276" w:lineRule="auto"/>
      </w:pPr>
      <w:r>
        <w:rPr>
          <w:sz w:val="24"/>
        </w:rPr>
        <w:t>§ 2º A entidade gestora que receber o conceito Alerta tem prazo de 30 (trinta) dias, contados da ciência, para apresentar plano de correção com medidas objetivas para o exercício seguinte — plano submetido à SDE e ao COMCITI.</w:t>
      </w:r>
    </w:p>
    <w:p>
      <w:pPr>
        <w:ind w:firstLine="709"/>
        <w:jc w:val="both"/>
        <w:spacing w:before="0" w:after="120" w:line="276" w:lineRule="auto"/>
      </w:pPr>
      <w:r>
        <w:rPr>
          <w:sz w:val="24"/>
        </w:rPr>
        <w:t>§ 3º A entidade gestora tem direito ao contraditório e à ampla defesa em todo o processo de avaliação, nos termos da Lei Federal nº 9.784, de 1999, aplicável subsidiariamente.</w:t>
      </w:r>
    </w:p>
    <w:p>
      <w:pPr>
        <w:jc w:val="center"/>
        <w:spacing w:before="160" w:after="80"/>
      </w:pPr>
      <w:r>
        <w:rPr>
          <w:b/>
          <w:sz w:val="24"/>
        </w:rPr>
        <w:t>Seção V — Dos gatilhos de descredenciamento por desempenho</w:t>
      </w:r>
    </w:p>
    <w:p>
      <w:pPr>
        <w:ind w:firstLine="709"/>
        <w:jc w:val="both"/>
        <w:spacing w:before="0" w:after="120" w:line="276" w:lineRule="auto"/>
      </w:pPr>
      <w:r>
        <w:rPr>
          <w:sz w:val="24"/>
        </w:rPr>
        <w:t>Art. 31 O descredenciamento por desempenho insuficiente é instaurado pela SDE, com rito do Capítulo VII, nas seguintes hipóteses objetivas:</w:t>
      </w:r>
    </w:p>
    <w:p>
      <w:pPr>
        <w:ind w:left="850"/>
        <w:spacing w:before="0" w:after="60" w:line="276" w:lineRule="auto"/>
      </w:pPr>
      <w:r>
        <w:rPr>
          <w:sz w:val="24"/>
        </w:rPr>
        <w:t>2 (dois) exercícios consecutivos com conceito INSUFICIENTE (art. 30, III);</w:t>
      </w:r>
    </w:p>
    <w:p>
      <w:pPr>
        <w:ind w:left="850"/>
        <w:spacing w:before="0" w:after="60" w:line="276" w:lineRule="auto"/>
      </w:pPr>
      <w:r>
        <w:rPr>
          <w:sz w:val="24"/>
        </w:rPr>
        <w:t>3 (três) exercícios consecutivos com conceito ALERTA, sem evolução para Adequado e com descumprimento do plano de correção (art. 30, § 2º);</w:t>
      </w:r>
    </w:p>
    <w:p>
      <w:pPr>
        <w:ind w:left="850"/>
        <w:spacing w:before="0" w:after="60" w:line="276" w:lineRule="auto"/>
      </w:pPr>
      <w:r>
        <w:rPr>
          <w:sz w:val="24"/>
        </w:rPr>
        <w:t>ausência injustificada de 2 (dois) relatórios semestrais consecutivos, não sanada após notificação da SDE;</w:t>
      </w:r>
    </w:p>
    <w:p>
      <w:pPr>
        <w:ind w:left="850"/>
        <w:spacing w:before="0" w:after="60" w:line="276" w:lineRule="auto"/>
      </w:pPr>
      <w:r>
        <w:rPr>
          <w:sz w:val="24"/>
        </w:rPr>
        <w:t>constatação, por parte da SDE, da CGM ou de órgão externo de controle, de fraude, omissão material ou falsificação em relatório ou em Parecer de Pré-Qualificação — hipótese que enseja descredenciamento sumário, independentemente dos prazos anteriores.</w:t>
      </w:r>
    </w:p>
    <w:p>
      <w:pPr>
        <w:ind w:firstLine="709"/>
        <w:jc w:val="both"/>
        <w:spacing w:before="0" w:after="120" w:line="276" w:lineRule="auto"/>
      </w:pPr>
      <w:r>
        <w:rPr>
          <w:sz w:val="24"/>
        </w:rPr>
        <w:t>§ 1º Configurada qualquer das hipóteses deste artigo, a SDE instaura o processo administrativo de descredenciamento, garantido o contraditório e a ampla defesa, nos termos do Capítulo VII.</w:t>
      </w:r>
    </w:p>
    <w:p>
      <w:pPr>
        <w:ind w:firstLine="709"/>
        <w:jc w:val="both"/>
        <w:spacing w:before="0" w:after="120" w:line="276" w:lineRule="auto"/>
      </w:pPr>
      <w:r>
        <w:rPr>
          <w:sz w:val="24"/>
        </w:rPr>
        <w:t>§ 2º Durante o processo de descredenciamento, a entidade gestora pode ser suspensa preventivamente de emitir novas cartas de vinculação por ato fundamentado da SDE, preservada a continuidade do atendimento dos Proponentes já vinculados.</w:t>
      </w:r>
    </w:p>
    <w:p>
      <w:pPr>
        <w:ind w:firstLine="709"/>
        <w:jc w:val="both"/>
        <w:spacing w:before="0" w:after="120" w:line="276" w:lineRule="auto"/>
      </w:pPr>
      <w:r>
        <w:rPr>
          <w:sz w:val="24"/>
        </w:rPr>
        <w:t>§ 3º O descredenciamento por desempenho insuficiente não impede a reinscrição da entidade em chamamento público posterior, observado o período mínimo de 2 (dois) anos a contar da publicação do ato de descredenciamento.</w:t>
      </w:r>
    </w:p>
    <w:p>
      <w:pPr>
        <w:jc w:val="center"/>
        <w:spacing w:before="160" w:after="80"/>
      </w:pPr>
      <w:r>
        <w:rPr>
          <w:b/>
          <w:sz w:val="24"/>
        </w:rPr>
        <w:t>Seção VI — Da transparência ativa</w:t>
      </w:r>
    </w:p>
    <w:p>
      <w:pPr>
        <w:ind w:firstLine="709"/>
        <w:jc w:val="both"/>
        <w:spacing w:before="0" w:after="120" w:line="276" w:lineRule="auto"/>
      </w:pPr>
      <w:r>
        <w:rPr>
          <w:sz w:val="24"/>
        </w:rPr>
        <w:t>Art. 32 A SDE mantém, no portal eletrônico do Programa, área pública permanentemente atualizada com as seguintes informações, em observância à Lei Federal nº 12.527, de 2011 (Lei de Acesso à Informação) e à Lei Complementar Federal nº 131, de 2009 (Lei da Transparência):</w:t>
      </w:r>
    </w:p>
    <w:p>
      <w:pPr>
        <w:ind w:left="850"/>
        <w:spacing w:before="0" w:after="60" w:line="276" w:lineRule="auto"/>
      </w:pPr>
      <w:r>
        <w:rPr>
          <w:sz w:val="24"/>
        </w:rPr>
        <w:t>relação completa das entidades gestoras credenciadas, por cluster, com data de credenciamento, data de vencimento e status (Adequado / Alerta / Insuficiente);</w:t>
      </w:r>
    </w:p>
    <w:p>
      <w:pPr>
        <w:ind w:left="850"/>
        <w:spacing w:before="0" w:after="60" w:line="276" w:lineRule="auto"/>
      </w:pPr>
      <w:r>
        <w:rPr>
          <w:sz w:val="24"/>
        </w:rPr>
        <w:t>política de contrapartida financeira de cada entidade gestora, atualizada antes do início de cada ciclo de submissão;</w:t>
      </w:r>
    </w:p>
    <w:p>
      <w:pPr>
        <w:ind w:left="850"/>
        <w:spacing w:before="0" w:after="60" w:line="276" w:lineRule="auto"/>
      </w:pPr>
      <w:r>
        <w:rPr>
          <w:sz w:val="24"/>
        </w:rPr>
        <w:t>relação, por cluster e ciclo, dos Proponentes vinculados a cada API, preservados os dados sigilosos dos Projetos em análise ou em execução;</w:t>
      </w:r>
    </w:p>
    <w:p>
      <w:pPr>
        <w:ind w:left="850"/>
        <w:spacing w:before="0" w:after="60" w:line="276" w:lineRule="auto"/>
      </w:pPr>
      <w:r>
        <w:rPr>
          <w:sz w:val="24"/>
        </w:rPr>
        <w:t>indicadores IDA, IPQ, IAP e IEX de cada entidade gestora, apurados anualmente e consolidados publicamente (art. 28, § 2º);</w:t>
      </w:r>
    </w:p>
    <w:p>
      <w:pPr>
        <w:ind w:left="850"/>
        <w:spacing w:before="0" w:after="60" w:line="276" w:lineRule="auto"/>
      </w:pPr>
      <w:r>
        <w:rPr>
          <w:sz w:val="24"/>
        </w:rPr>
        <w:t>relatórios semestrais e anuais consolidados (art. 27), na íntegra ou em formato sintético padronizado, preservada a tarja de dados pessoais ou sigilosos;</w:t>
      </w:r>
    </w:p>
    <w:p>
      <w:pPr>
        <w:ind w:left="850"/>
        <w:spacing w:before="0" w:after="60" w:line="276" w:lineRule="auto"/>
      </w:pPr>
      <w:r>
        <w:rPr>
          <w:sz w:val="24"/>
        </w:rPr>
        <w:t>conceitos anuais de desempenho atribuídos a cada entidade gestora (art. 30);</w:t>
      </w:r>
    </w:p>
    <w:p>
      <w:pPr>
        <w:ind w:left="850"/>
        <w:spacing w:before="0" w:after="60" w:line="276" w:lineRule="auto"/>
      </w:pPr>
      <w:r>
        <w:rPr>
          <w:sz w:val="24"/>
        </w:rPr>
        <w:t>atos de credenciamento, renovação, suspensão e descredenciamento, com respectivos pareceres da SDE e manifestações do COMCITI;</w:t>
      </w:r>
    </w:p>
    <w:p>
      <w:pPr>
        <w:ind w:left="850"/>
        <w:spacing w:before="0" w:after="60" w:line="276" w:lineRule="auto"/>
      </w:pPr>
      <w:r>
        <w:rPr>
          <w:sz w:val="24"/>
        </w:rPr>
        <w:t>atas das reuniões da Comissão de Credenciamento (art. 18) e das deliberações do COMCITI relativas aos APIs.</w:t>
      </w:r>
    </w:p>
    <w:p>
      <w:pPr>
        <w:ind w:firstLine="709"/>
        <w:jc w:val="both"/>
        <w:spacing w:before="0" w:after="120" w:line="276" w:lineRule="auto"/>
      </w:pPr>
      <w:r>
        <w:rPr>
          <w:sz w:val="24"/>
        </w:rPr>
        <w:t>§ 1º As informações são disponibilizadas em formato aberto e de fácil acesso, com possibilidade de extração e reuso por terceiros, em observância aos princípios de dados abertos.</w:t>
      </w:r>
    </w:p>
    <w:p>
      <w:pPr>
        <w:ind w:firstLine="709"/>
        <w:jc w:val="both"/>
        <w:spacing w:before="0" w:after="120" w:line="276" w:lineRule="auto"/>
      </w:pPr>
      <w:r>
        <w:rPr>
          <w:sz w:val="24"/>
        </w:rPr>
        <w:t>§ 2º A entidade gestora também mantém, em seu sítio eletrônico institucional, área pública dedicada ao API que opera, com link direto ao portal do Programa, relação de Proponentes vinculados no ciclo em curso e política de contrapartida vigente.</w:t>
      </w:r>
    </w:p>
    <w:p>
      <w:pPr>
        <w:ind w:firstLine="709"/>
        <w:jc w:val="both"/>
        <w:spacing w:before="0" w:after="120" w:line="276" w:lineRule="auto"/>
      </w:pPr>
      <w:r>
        <w:rPr>
          <w:sz w:val="24"/>
        </w:rPr>
        <w:t>§ 3º O descumprimento das obrigações de transparência ativa previstas neste artigo enseja notificação da SDE e, em caso de reincidência, aplicação do art. 31.</w:t>
      </w:r>
    </w:p>
    <w:p>
      <w:pPr>
        <w:jc w:val="center"/>
        <w:spacing w:before="320" w:after="80"/>
      </w:pPr>
      <w:r>
        <w:rPr>
          <w:b/>
          <w:sz w:val="24"/>
        </w:rPr>
        <w:t>VEDAÇÕES, SANÇÕES E DESCREDENCIAMENTO</w:t>
      </w:r>
    </w:p>
    <w:p>
      <w:pPr>
        <w:jc w:val="center"/>
        <w:spacing w:before="160" w:after="80"/>
      </w:pPr>
      <w:r>
        <w:rPr>
          <w:b/>
          <w:sz w:val="24"/>
        </w:rPr>
        <w:t>Seção I — Das vedações durante a vigência da credencial</w:t>
      </w:r>
    </w:p>
    <w:p>
      <w:pPr>
        <w:ind w:firstLine="709"/>
        <w:jc w:val="both"/>
        <w:spacing w:before="0" w:after="120" w:line="276" w:lineRule="auto"/>
      </w:pPr>
      <w:r>
        <w:rPr>
          <w:sz w:val="24"/>
        </w:rPr>
        <w:t>Art. 33 Além das vedações dos arts. 14 (subjetivas) e 25 (operacionais), é expressamente vedado à entidade gestora de API, durante toda a vigência da credencial:</w:t>
      </w:r>
    </w:p>
    <w:p>
      <w:pPr>
        <w:ind w:left="850"/>
        <w:spacing w:before="0" w:after="60" w:line="276" w:lineRule="auto"/>
      </w:pPr>
      <w:r>
        <w:rPr>
          <w:sz w:val="24"/>
        </w:rPr>
        <w:t>realizar atividades incompatíveis com a finalidade estatutária declarada no credenciamento, desvirtuando a operação do API;</w:t>
      </w:r>
    </w:p>
    <w:p>
      <w:pPr>
        <w:ind w:left="850"/>
        <w:spacing w:before="0" w:after="60" w:line="276" w:lineRule="auto"/>
      </w:pPr>
      <w:r>
        <w:rPr>
          <w:sz w:val="24"/>
        </w:rPr>
        <w:t>utilizar a condição de API credenciado para captar recursos próprios dos Proponentes, fora das hipóteses legítimas da contrapartida financeira prevista no art. 24;</w:t>
      </w:r>
    </w:p>
    <w:p>
      <w:pPr>
        <w:ind w:left="850"/>
        <w:spacing w:before="0" w:after="60" w:line="276" w:lineRule="auto"/>
      </w:pPr>
      <w:r>
        <w:rPr>
          <w:sz w:val="24"/>
        </w:rPr>
        <w:t>vincular-se a Proponente em Projeto sobre o qual seus dirigentes tenham participação societária ou interesse econômico direto;</w:t>
      </w:r>
    </w:p>
    <w:p>
      <w:pPr>
        <w:ind w:left="850"/>
        <w:spacing w:before="0" w:after="60" w:line="276" w:lineRule="auto"/>
      </w:pPr>
      <w:r>
        <w:rPr>
          <w:sz w:val="24"/>
        </w:rPr>
        <w:t>emitir Parecer de Pré-Qualificação favorável a Projeto cujos objetos, metas ou indicadores sejam objetivamente inviáveis, incompatíveis com o cluster, ou contrários à ordem jurídica;</w:t>
      </w:r>
    </w:p>
    <w:p>
      <w:pPr>
        <w:ind w:left="850"/>
        <w:spacing w:before="0" w:after="60" w:line="276" w:lineRule="auto"/>
      </w:pPr>
      <w:r>
        <w:rPr>
          <w:sz w:val="24"/>
        </w:rPr>
        <w:t>omitir da SDE a existência de desvios, irregularidades ou riscos identificados durante o acompanhamento de Projetos vinculados, ressalvadas situações de sigilo legal devidamente justificadas;</w:t>
      </w:r>
    </w:p>
    <w:p>
      <w:pPr>
        <w:ind w:left="850"/>
        <w:spacing w:before="0" w:after="60" w:line="276" w:lineRule="auto"/>
      </w:pPr>
      <w:r>
        <w:rPr>
          <w:sz w:val="24"/>
        </w:rPr>
        <w:t>interferir, pressionar ou buscar influenciar, direta ou indiretamente, membros da Comissão Técnica, do Comitê Decisório ou do COMCITI, em matérias referentes a Projetos vinculados;</w:t>
      </w:r>
    </w:p>
    <w:p>
      <w:pPr>
        <w:ind w:left="850"/>
        <w:spacing w:before="0" w:after="60" w:line="276" w:lineRule="auto"/>
      </w:pPr>
      <w:r>
        <w:rPr>
          <w:sz w:val="24"/>
        </w:rPr>
        <w:t>descumprir, injustificadamente, as obrigações de relatório e transparência do Capítulo VI;</w:t>
      </w:r>
    </w:p>
    <w:p>
      <w:pPr>
        <w:ind w:left="850"/>
        <w:spacing w:before="0" w:after="60" w:line="276" w:lineRule="auto"/>
      </w:pPr>
      <w:r>
        <w:rPr>
          <w:sz w:val="24"/>
        </w:rPr>
        <w:t>manter-se inoperante por período superior a 180 (cento e oitenta) dias consecutivos, sem atendimento a Proponentes nem emissão de cartas de vinculação, salvo em períodos de férias coletivas ou eventos previamente comunicados à SDE.</w:t>
      </w:r>
    </w:p>
    <w:p>
      <w:pPr>
        <w:jc w:val="center"/>
        <w:spacing w:before="160" w:after="80"/>
      </w:pPr>
      <w:r>
        <w:rPr>
          <w:b/>
          <w:sz w:val="24"/>
        </w:rPr>
        <w:t>Seção II — Das sanções aplicáveis</w:t>
      </w:r>
    </w:p>
    <w:p>
      <w:pPr>
        <w:ind w:firstLine="709"/>
        <w:jc w:val="both"/>
        <w:spacing w:before="0" w:after="120" w:line="276" w:lineRule="auto"/>
      </w:pPr>
      <w:r>
        <w:rPr>
          <w:sz w:val="24"/>
        </w:rPr>
        <w:t>Art. 34 O descumprimento das obrigações deste Decreto, do Decreto do Programa ou do Edital sujeita a entidade gestora, por decisão fundamentada da SDE, às seguintes sanções gradativas, aplicáveis isoladamente ou cumulativamente:</w:t>
      </w:r>
    </w:p>
    <w:p>
      <w:pPr>
        <w:ind w:left="850"/>
        <w:spacing w:before="0" w:after="60" w:line="276" w:lineRule="auto"/>
      </w:pPr>
      <w:r>
        <w:rPr>
          <w:sz w:val="24"/>
        </w:rPr>
        <w:t>ADVERTÊNCIA formal, por escrito, com determinação de providências corretivas em prazo não superior a 30 (trinta) dias;</w:t>
      </w:r>
    </w:p>
    <w:p>
      <w:pPr>
        <w:ind w:left="850"/>
        <w:spacing w:before="0" w:after="60" w:line="276" w:lineRule="auto"/>
      </w:pPr>
      <w:r>
        <w:rPr>
          <w:sz w:val="24"/>
        </w:rPr>
        <w:t>SUSPENSÃO TEMPORÁRIA da prerrogativa de emitir novas cartas de vinculação, por prazo de 30 (trinta) a 180 (cento e oitenta) dias, preservado o atendimento dos Proponentes já vinculados;</w:t>
      </w:r>
    </w:p>
    <w:p>
      <w:pPr>
        <w:ind w:left="850"/>
        <w:spacing w:before="0" w:after="60" w:line="276" w:lineRule="auto"/>
      </w:pPr>
      <w:r>
        <w:rPr>
          <w:sz w:val="24"/>
        </w:rPr>
        <w:t>DESCREDENCIAMENTO, com cessação da credencial e aplicação do regime de transição do art. 9º, § 2º, deste Decreto;</w:t>
      </w:r>
    </w:p>
    <w:p>
      <w:pPr>
        <w:ind w:left="850"/>
        <w:spacing w:before="0" w:after="60" w:line="276" w:lineRule="auto"/>
      </w:pPr>
      <w:r>
        <w:rPr>
          <w:sz w:val="24"/>
        </w:rPr>
        <w:t>DECLARAÇÃO DE INIDONEIDADE para novo credenciamento como API no Município de Joinville, por prazo de 2 (dois) a 5 (cinco) anos, nas hipóteses de fraude, dolo, falsificação ou prejuízo grave ao Programa, ao erário ou a Proponentes.</w:t>
      </w:r>
    </w:p>
    <w:p>
      <w:pPr>
        <w:ind w:firstLine="709"/>
        <w:jc w:val="both"/>
        <w:spacing w:before="0" w:after="120" w:line="276" w:lineRule="auto"/>
      </w:pPr>
      <w:r>
        <w:rPr>
          <w:sz w:val="24"/>
        </w:rPr>
        <w:t>§ 1º A gradação da sanção observa os critérios de proporcionalidade e razoabilidade, ponderando: (i) gravidade da infração; (ii) dano efetivo ou potencial ao Programa, aos Proponentes ou ao erário; (iii) boa-fé ou dolo da entidade; (iv) reincidência; (v) existência ou não de medidas corretivas adotadas voluntariamente pela entidade.</w:t>
      </w:r>
    </w:p>
    <w:p>
      <w:pPr>
        <w:ind w:firstLine="709"/>
        <w:jc w:val="both"/>
        <w:spacing w:before="0" w:after="120" w:line="276" w:lineRule="auto"/>
      </w:pPr>
      <w:r>
        <w:rPr>
          <w:sz w:val="24"/>
        </w:rPr>
        <w:t>§ 2º A aplicação de qualquer sanção não exclui responsabilidades civis, penais e administrativas autônomas, nem a eventual obrigação de devolução de valores recebidos indevidamente (art. 24, § 5º), corrigidos monetariamente.</w:t>
      </w:r>
    </w:p>
    <w:p>
      <w:pPr>
        <w:ind w:firstLine="709"/>
        <w:jc w:val="both"/>
        <w:spacing w:before="0" w:after="120" w:line="276" w:lineRule="auto"/>
      </w:pPr>
      <w:r>
        <w:rPr>
          <w:sz w:val="24"/>
        </w:rPr>
        <w:t>§ 3º A sanção de Descredenciamento (inciso III) é aplicável, em regra, nas hipóteses do art. 31 (desempenho insuficiente) e nos casos de reincidência em suspensão temporária, ou ainda quando a gravidade da infração isolada a justifique.</w:t>
      </w:r>
    </w:p>
    <w:p>
      <w:pPr>
        <w:ind w:firstLine="709"/>
        <w:jc w:val="both"/>
        <w:spacing w:before="0" w:after="120" w:line="276" w:lineRule="auto"/>
      </w:pPr>
      <w:r>
        <w:rPr>
          <w:sz w:val="24"/>
        </w:rPr>
        <w:t>§ 4º A Declaração de Inidoneidade (inciso IV) é aplicável exclusivamente pelo Prefeito, mediante parecer fundamentado da SDE e manifestação prévia do COMCITI, e observa o rito específico do art. 36, § 2º.</w:t>
      </w:r>
    </w:p>
    <w:p>
      <w:pPr>
        <w:jc w:val="center"/>
        <w:spacing w:before="160" w:after="80"/>
      </w:pPr>
      <w:r>
        <w:rPr>
          <w:b/>
          <w:sz w:val="24"/>
        </w:rPr>
        <w:t>Seção III — Do rito sancionatório</w:t>
      </w:r>
    </w:p>
    <w:p>
      <w:pPr>
        <w:ind w:firstLine="709"/>
        <w:jc w:val="both"/>
        <w:spacing w:before="0" w:after="120" w:line="276" w:lineRule="auto"/>
      </w:pPr>
      <w:r>
        <w:rPr>
          <w:sz w:val="24"/>
        </w:rPr>
        <w:t>Art. 35 O processo administrativo sancionatório é regido pela Lei Federal nº 9.784, de 1999, aplicável subsidiariamente, observados os seguintes atos essenciais:</w:t>
      </w:r>
    </w:p>
    <w:p>
      <w:pPr>
        <w:ind w:left="850"/>
        <w:spacing w:before="0" w:after="60" w:line="276" w:lineRule="auto"/>
      </w:pPr>
      <w:r>
        <w:rPr>
          <w:sz w:val="24"/>
        </w:rPr>
        <w:t>instauração: por ato fundamentado da SDE, de ofício ou mediante representação de terceiros, autoridade administrativa ou órgão de controle;</w:t>
      </w:r>
    </w:p>
    <w:p>
      <w:pPr>
        <w:ind w:left="850"/>
        <w:spacing w:before="0" w:after="60" w:line="276" w:lineRule="auto"/>
      </w:pPr>
      <w:r>
        <w:rPr>
          <w:sz w:val="24"/>
        </w:rPr>
        <w:t>notificação: comunicação formal à entidade gestora, com descrição objetiva dos fatos, dos dispositivos normativos eventualmente infringidos, das sanções cogitadas e do prazo para defesa;</w:t>
      </w:r>
    </w:p>
    <w:p>
      <w:pPr>
        <w:ind w:left="850"/>
        <w:spacing w:before="0" w:after="60" w:line="276" w:lineRule="auto"/>
      </w:pPr>
      <w:r>
        <w:rPr>
          <w:sz w:val="24"/>
        </w:rPr>
        <w:t>defesa prévia: prazo de 10 (dez) dias, contados da notificação, para apresentação de defesa escrita acompanhada de documentos e, se for o caso, requerimento de produção de provas adicionais;</w:t>
      </w:r>
    </w:p>
    <w:p>
      <w:pPr>
        <w:ind w:left="850"/>
        <w:spacing w:before="0" w:after="60" w:line="276" w:lineRule="auto"/>
      </w:pPr>
      <w:r>
        <w:rPr>
          <w:sz w:val="24"/>
        </w:rPr>
        <w:t>instrução: produção das provas necessárias pela SDE, podendo incluir oitivas, perícias, requisição de documentos complementares e análise de registros eletrônicos;</w:t>
      </w:r>
    </w:p>
    <w:p>
      <w:pPr>
        <w:ind w:left="850"/>
        <w:spacing w:before="0" w:after="60" w:line="276" w:lineRule="auto"/>
      </w:pPr>
      <w:r>
        <w:rPr>
          <w:sz w:val="24"/>
        </w:rPr>
        <w:t>parecer técnico: parecer fundamentado da SDE, com análise da defesa, das provas produzidas e da proporcionalidade da sanção proposta;</w:t>
      </w:r>
    </w:p>
    <w:p>
      <w:pPr>
        <w:ind w:left="850"/>
        <w:spacing w:before="0" w:after="60" w:line="276" w:lineRule="auto"/>
      </w:pPr>
      <w:r>
        <w:rPr>
          <w:sz w:val="24"/>
        </w:rPr>
        <w:t>manifestação do COMCITI: quando a sanção cogitada for Suspensão Temporária, Descredenciamento ou Declaração de Inidoneidade, parecer do Conselho por maioria simples dos presentes;</w:t>
      </w:r>
    </w:p>
    <w:p>
      <w:pPr>
        <w:ind w:left="850"/>
        <w:spacing w:before="0" w:after="60" w:line="276" w:lineRule="auto"/>
      </w:pPr>
      <w:r>
        <w:rPr>
          <w:sz w:val="24"/>
        </w:rPr>
        <w:t>decisão: ato fundamentado do titular da SDE (para sanções dos incisos I e II do art. 34), ou ato do Prefeito (para sanções dos incisos III e IV), com menção aos fatos, fundamentos jurídicos e sanção aplicada.</w:t>
      </w:r>
    </w:p>
    <w:p>
      <w:pPr>
        <w:ind w:firstLine="709"/>
        <w:jc w:val="both"/>
        <w:spacing w:before="0" w:after="120" w:line="276" w:lineRule="auto"/>
      </w:pPr>
      <w:r>
        <w:rPr>
          <w:sz w:val="24"/>
        </w:rPr>
        <w:t>Parágrafo único. O processo administrativo sancionatório deverá ser concluído, em regra, no prazo máximo de 120 (cento e vinte) dias contados da instauração, admitida prorrogação única de até 60 (sessenta) dias por decisão fundamentada, preservados os direitos ao contraditório e à ampla defesa.</w:t>
      </w:r>
    </w:p>
    <w:p>
      <w:pPr>
        <w:jc w:val="center"/>
        <w:spacing w:before="160" w:after="80"/>
      </w:pPr>
      <w:r>
        <w:rPr>
          <w:b/>
          <w:sz w:val="24"/>
        </w:rPr>
        <w:t>Seção IV — Do descredenciamento</w:t>
      </w:r>
    </w:p>
    <w:p>
      <w:pPr>
        <w:ind w:firstLine="709"/>
        <w:jc w:val="both"/>
        <w:spacing w:before="0" w:after="120" w:line="276" w:lineRule="auto"/>
      </w:pPr>
      <w:r>
        <w:rPr>
          <w:sz w:val="24"/>
        </w:rPr>
        <w:t>Art. 36 O descredenciamento da entidade gestora ocorre nas seguintes hipóteses:</w:t>
      </w:r>
    </w:p>
    <w:p>
      <w:pPr>
        <w:ind w:left="850"/>
        <w:spacing w:before="0" w:after="60" w:line="276" w:lineRule="auto"/>
      </w:pPr>
      <w:r>
        <w:rPr>
          <w:sz w:val="24"/>
        </w:rPr>
        <w:t>voluntário: por renúncia formal da entidade, observado o regime de transição de 180 (cento e oitenta) dias do art. 9º, § 1º, I;</w:t>
      </w:r>
    </w:p>
    <w:p>
      <w:pPr>
        <w:ind w:left="850"/>
        <w:spacing w:before="0" w:after="60" w:line="276" w:lineRule="auto"/>
      </w:pPr>
      <w:r>
        <w:rPr>
          <w:sz w:val="24"/>
        </w:rPr>
        <w:t>por desempenho insuficiente: nas hipóteses do art. 31 deste Decreto;</w:t>
      </w:r>
    </w:p>
    <w:p>
      <w:pPr>
        <w:ind w:left="850"/>
        <w:spacing w:before="0" w:after="60" w:line="276" w:lineRule="auto"/>
      </w:pPr>
      <w:r>
        <w:rPr>
          <w:sz w:val="24"/>
        </w:rPr>
        <w:t>por descumprimento grave das vedações: nas hipóteses do art. 33, quando aplicada a sanção do art. 34, III;</w:t>
      </w:r>
    </w:p>
    <w:p>
      <w:pPr>
        <w:ind w:left="850"/>
        <w:spacing w:before="0" w:after="60" w:line="276" w:lineRule="auto"/>
      </w:pPr>
      <w:r>
        <w:rPr>
          <w:sz w:val="24"/>
        </w:rPr>
        <w:t>por superveniência de vedação subjetiva: quando sobrevier durante a vigência da credencial qualquer das vedações do art. 14 deste Decreto, não sanada em prazo fixado pela SDE;</w:t>
      </w:r>
    </w:p>
    <w:p>
      <w:pPr>
        <w:ind w:left="850"/>
        <w:spacing w:before="0" w:after="60" w:line="276" w:lineRule="auto"/>
      </w:pPr>
      <w:r>
        <w:rPr>
          <w:sz w:val="24"/>
        </w:rPr>
        <w:t>por extinção, fusão, cisão ou incorporação da entidade gestora em que não se preservem a finalidade estatutária e a capacidade operacional originais;</w:t>
      </w:r>
    </w:p>
    <w:p>
      <w:pPr>
        <w:ind w:left="850"/>
        <w:spacing w:before="0" w:after="60" w:line="276" w:lineRule="auto"/>
      </w:pPr>
      <w:r>
        <w:rPr>
          <w:sz w:val="24"/>
        </w:rPr>
        <w:t>por perda de requisito de habilitação: quando a entidade deixar de preencher, de forma definitiva, qualquer dos requisitos dos arts. 11 a 13 deste Decreto.</w:t>
      </w:r>
    </w:p>
    <w:p>
      <w:pPr>
        <w:ind w:firstLine="709"/>
        <w:jc w:val="both"/>
        <w:spacing w:before="0" w:after="120" w:line="276" w:lineRule="auto"/>
      </w:pPr>
      <w:r>
        <w:rPr>
          <w:sz w:val="24"/>
        </w:rPr>
        <w:t>§ 1º O ato de descredenciamento é formalizado por decreto do Prefeito, publicado no DOM, com efeitos a partir da data de publicação ou de data posterior nele indicada, observada a necessidade de transição operacional do cluster.</w:t>
      </w:r>
    </w:p>
    <w:p>
      <w:pPr>
        <w:ind w:firstLine="709"/>
        <w:jc w:val="both"/>
        <w:spacing w:before="0" w:after="120" w:line="276" w:lineRule="auto"/>
      </w:pPr>
      <w:r>
        <w:rPr>
          <w:sz w:val="24"/>
        </w:rPr>
        <w:t>§ 2º A Declaração de Inidoneidade (art. 34, IV), quando aplicável, é averbada ao ato de descredenciamento e publicada em seção específica do portal de transparência, com menção ao prazo de inidoneidade e à motivação fundamentada.</w:t>
      </w:r>
    </w:p>
    <w:p>
      <w:pPr>
        <w:ind w:firstLine="709"/>
        <w:jc w:val="both"/>
        <w:spacing w:before="0" w:after="120" w:line="276" w:lineRule="auto"/>
      </w:pPr>
      <w:r>
        <w:rPr>
          <w:sz w:val="24"/>
        </w:rPr>
        <w:t>§ 3º Durante o período entre a decisão de descredenciamento e o encerramento do regime de transição, a entidade gestora cessante mantém as obrigações de acompanhamento dos Proponentes já vinculados — vedada a emissão de novas cartas de vinculação — sob pena das sanções penais e cíveis cabíveis.</w:t>
      </w:r>
    </w:p>
    <w:p>
      <w:pPr>
        <w:ind w:firstLine="709"/>
        <w:jc w:val="both"/>
        <w:spacing w:before="0" w:after="120" w:line="276" w:lineRule="auto"/>
      </w:pPr>
      <w:r>
        <w:rPr>
          <w:sz w:val="24"/>
        </w:rPr>
        <w:t>§ 4º A continuidade operacional do cluster é assegurada pela convocação de suplente classificado (art. 19, § 3º), por chamamento extraordinário (art. 21) ou, excepcionalmente, por encargo direto da SDE mediante plano de transição específico.</w:t>
      </w:r>
    </w:p>
    <w:p>
      <w:pPr>
        <w:jc w:val="center"/>
        <w:spacing w:before="160" w:after="80"/>
      </w:pPr>
      <w:r>
        <w:rPr>
          <w:b/>
          <w:sz w:val="24"/>
        </w:rPr>
        <w:t>Seção V — Da reabilitação</w:t>
      </w:r>
    </w:p>
    <w:p>
      <w:pPr>
        <w:ind w:firstLine="709"/>
        <w:jc w:val="both"/>
        <w:spacing w:before="0" w:after="120" w:line="276" w:lineRule="auto"/>
      </w:pPr>
      <w:r>
        <w:rPr>
          <w:sz w:val="24"/>
        </w:rPr>
        <w:t>Art. 37 A entidade descredenciada poderá requerer reabilitação para nova inscrição em chamamento público de credenciamento, observados os seguintes prazos e condições:</w:t>
      </w:r>
    </w:p>
    <w:p>
      <w:pPr>
        <w:ind w:left="850"/>
        <w:spacing w:before="0" w:after="60" w:line="276" w:lineRule="auto"/>
      </w:pPr>
      <w:r>
        <w:rPr>
          <w:sz w:val="24"/>
        </w:rPr>
        <w:t>descredenciamento voluntário (art. 36, I): sem prazo mínimo de carência;</w:t>
      </w:r>
    </w:p>
    <w:p>
      <w:pPr>
        <w:ind w:left="850"/>
        <w:spacing w:before="0" w:after="60" w:line="276" w:lineRule="auto"/>
      </w:pPr>
      <w:r>
        <w:rPr>
          <w:sz w:val="24"/>
        </w:rPr>
        <w:t>descredenciamento por desempenho insuficiente (art. 36, II): 2 (dois) anos a contar da publicação do ato de descredenciamento;</w:t>
      </w:r>
    </w:p>
    <w:p>
      <w:pPr>
        <w:ind w:left="850"/>
        <w:spacing w:before="0" w:after="60" w:line="276" w:lineRule="auto"/>
      </w:pPr>
      <w:r>
        <w:rPr>
          <w:sz w:val="24"/>
        </w:rPr>
        <w:t>descredenciamento por descumprimento grave (art. 36, III): 3 (três) anos a contar da publicação;</w:t>
      </w:r>
    </w:p>
    <w:p>
      <w:pPr>
        <w:ind w:left="850"/>
        <w:spacing w:before="0" w:after="60" w:line="276" w:lineRule="auto"/>
      </w:pPr>
      <w:r>
        <w:rPr>
          <w:sz w:val="24"/>
        </w:rPr>
        <w:t>Declaração de Inidoneidade (art. 34, IV): prazo indicado no ato de aplicação, de 2 (dois) a 5 (cinco) anos, vedado o credenciamento antes do transcurso integral;</w:t>
      </w:r>
    </w:p>
    <w:p>
      <w:pPr>
        <w:ind w:left="850"/>
        <w:spacing w:before="0" w:after="60" w:line="276" w:lineRule="auto"/>
      </w:pPr>
      <w:r>
        <w:rPr>
          <w:sz w:val="24"/>
        </w:rPr>
        <w:t>superveniência de vedação ou perda de requisito (art. 36, IV, V e VI): a reabilitação depende da comprovação inequívoca da superação da causa determinante, sem prazo mínimo específico.</w:t>
      </w:r>
    </w:p>
    <w:p>
      <w:pPr>
        <w:ind w:firstLine="709"/>
        <w:jc w:val="both"/>
        <w:spacing w:before="0" w:after="120" w:line="276" w:lineRule="auto"/>
      </w:pPr>
      <w:r>
        <w:rPr>
          <w:sz w:val="24"/>
        </w:rPr>
        <w:t>§ 1º O pedido de reabilitação deve ser acompanhado de relatório institucional demonstrando: as medidas adotadas para corrigir as causas que ensejaram o descredenciamento; eventuais alterações em estatuto, corpo dirigente ou estrutura operacional; e compromisso formal com as obrigações do Programa.</w:t>
      </w:r>
    </w:p>
    <w:p>
      <w:pPr>
        <w:ind w:firstLine="709"/>
        <w:jc w:val="both"/>
        <w:spacing w:before="0" w:after="120" w:line="276" w:lineRule="auto"/>
      </w:pPr>
      <w:r>
        <w:rPr>
          <w:sz w:val="24"/>
        </w:rPr>
        <w:t>§ 2º A reabilitação depende de parecer favorável do COMCITI, por maioria simples dos presentes, e reabre à entidade a possibilidade de inscrição em chamamento público regular — não cria direito subjetivo ao credenciamento em si, que segue o rito ordinário do Capítulo IV.</w:t>
      </w:r>
    </w:p>
    <w:p>
      <w:pPr>
        <w:jc w:val="center"/>
        <w:spacing w:before="160" w:after="80"/>
      </w:pPr>
      <w:r>
        <w:rPr>
          <w:b/>
          <w:sz w:val="24"/>
        </w:rPr>
        <w:t>Seção VI — Do recurso e da revisão</w:t>
      </w:r>
    </w:p>
    <w:p>
      <w:pPr>
        <w:ind w:firstLine="709"/>
        <w:jc w:val="both"/>
        <w:spacing w:before="0" w:after="120" w:line="276" w:lineRule="auto"/>
      </w:pPr>
      <w:r>
        <w:rPr>
          <w:sz w:val="24"/>
        </w:rPr>
        <w:t>Art. 38 Das decisões sancionatórias, o interessado pode interpor:</w:t>
      </w:r>
    </w:p>
    <w:p>
      <w:pPr>
        <w:ind w:left="850"/>
        <w:spacing w:before="0" w:after="60" w:line="276" w:lineRule="auto"/>
      </w:pPr>
      <w:r>
        <w:rPr>
          <w:sz w:val="24"/>
        </w:rPr>
        <w:t>recurso administrativo, no prazo de 10 (dez) dias contados da ciência da decisão, dirigido: ao titular da SDE, nas sanções de Advertência e Suspensão Temporária (art. 34, I e II) — revisão pela própria autoridade ou, se mantida a decisão, remessa ao Prefeito; ao Prefeito, nas sanções de Descredenciamento e Declaração de Inidoneidade (art. 34, III e IV) — decisão de última instância administrativa;</w:t>
      </w:r>
    </w:p>
    <w:p>
      <w:pPr>
        <w:ind w:left="850"/>
        <w:spacing w:before="0" w:after="60" w:line="276" w:lineRule="auto"/>
      </w:pPr>
      <w:r>
        <w:rPr>
          <w:sz w:val="24"/>
        </w:rPr>
        <w:t>ao titular da SDE, nas sanções de Advertência e Suspensão Temporária (art. 34, I e II) — revisão pela própria autoridade ou, se mantida a decisão, remessa ao Prefeito;</w:t>
      </w:r>
    </w:p>
    <w:p>
      <w:pPr>
        <w:ind w:left="850"/>
        <w:spacing w:before="0" w:after="60" w:line="276" w:lineRule="auto"/>
      </w:pPr>
      <w:r>
        <w:rPr>
          <w:sz w:val="24"/>
        </w:rPr>
        <w:t>ao Prefeito, nas sanções de Descredenciamento e Declaração de Inidoneidade (art. 34, III e IV) — decisão de última instância administrativa;</w:t>
      </w:r>
    </w:p>
    <w:p>
      <w:pPr>
        <w:ind w:left="850"/>
        <w:spacing w:before="0" w:after="60" w:line="276" w:lineRule="auto"/>
      </w:pPr>
      <w:r>
        <w:rPr>
          <w:sz w:val="24"/>
        </w:rPr>
        <w:t>pedido de reconsideração, fundado em fato novo superveniente, no prazo de 10 (dez) dias contados do conhecimento do fato, sem efeito suspensivo automático.</w:t>
      </w:r>
    </w:p>
    <w:p>
      <w:pPr>
        <w:ind w:firstLine="709"/>
        <w:jc w:val="both"/>
        <w:spacing w:before="0" w:after="120" w:line="276" w:lineRule="auto"/>
      </w:pPr>
      <w:r>
        <w:rPr>
          <w:sz w:val="24"/>
        </w:rPr>
        <w:t>§ 1º O recurso tem efeito suspensivo das sanções de Suspensão Temporária, Descredenciamento e Declaração de Inidoneidade, até decisão final, salvo se houver risco grave e iminente ao Programa ou ao erário devidamente fundamentado no ato recorrido.</w:t>
      </w:r>
    </w:p>
    <w:p>
      <w:pPr>
        <w:ind w:firstLine="709"/>
        <w:jc w:val="both"/>
        <w:spacing w:before="0" w:after="120" w:line="276" w:lineRule="auto"/>
      </w:pPr>
      <w:r>
        <w:rPr>
          <w:sz w:val="24"/>
        </w:rPr>
        <w:t>§ 2º Esgotada a via administrativa, permanece o acesso ao Poder Judiciário, na forma da Constituição Federal.</w:t>
      </w:r>
    </w:p>
    <w:p>
      <w:pPr>
        <w:jc w:val="center"/>
        <w:spacing w:before="320" w:after="80"/>
      </w:pPr>
      <w:r>
        <w:rPr>
          <w:b/>
          <w:sz w:val="24"/>
        </w:rPr>
        <w:t>DISPOSIÇÕES FINAIS E TRANSITÓRIAS</w:t>
      </w:r>
    </w:p>
    <w:p>
      <w:pPr>
        <w:jc w:val="center"/>
        <w:spacing w:before="160" w:after="80"/>
      </w:pPr>
      <w:r>
        <w:rPr>
          <w:b/>
          <w:sz w:val="24"/>
        </w:rPr>
        <w:t>Seção I — Do reconhecimento do PEDEM e do ecossistema</w:t>
      </w:r>
    </w:p>
    <w:p>
      <w:pPr>
        <w:ind w:firstLine="709"/>
        <w:jc w:val="both"/>
        <w:spacing w:before="0" w:after="120" w:line="276" w:lineRule="auto"/>
      </w:pPr>
      <w:r>
        <w:rPr>
          <w:sz w:val="24"/>
        </w:rPr>
        <w:t>Art. 39 O Plano Estratégico de Desenvolvimento Econômico Municipal — PEDEM 2022 é reconhecido como instrumento orientador da organização temática dos Arranjos Promotores de Inovação, nos termos dos arts. 5º, 6º e 7º deste Decreto.</w:t>
      </w:r>
    </w:p>
    <w:p>
      <w:pPr>
        <w:ind w:firstLine="709"/>
        <w:jc w:val="both"/>
        <w:spacing w:before="0" w:after="120" w:line="276" w:lineRule="auto"/>
      </w:pPr>
      <w:r>
        <w:rPr>
          <w:sz w:val="24"/>
        </w:rPr>
        <w:t>§ 1º Ficam formalmente reconhecidas como entidades atuantes no ecossistema municipal de inovação, à data da edição deste Decreto, aptas ao credenciamento transitório previsto no art. 40, as seguintes instituições:</w:t>
      </w:r>
    </w:p>
    <w:p>
      <w:pPr>
        <w:ind w:left="850"/>
        <w:spacing w:before="0" w:after="60" w:line="276" w:lineRule="auto"/>
      </w:pPr>
      <w:r>
        <w:rPr>
          <w:sz w:val="24"/>
        </w:rPr>
        <w:t>Fundação Softville — fundação de direito privado sem fins lucrativos, polo regional da Associação Catarinense de Tecnologia (ACATE), atuante desde 1995, com histórico de incubação e apoio técnico ao ecossistema tecnológico;</w:t>
      </w:r>
    </w:p>
    <w:p>
      <w:pPr>
        <w:ind w:left="850"/>
        <w:spacing w:before="0" w:after="60" w:line="276" w:lineRule="auto"/>
      </w:pPr>
      <w:r>
        <w:rPr>
          <w:sz w:val="24"/>
        </w:rPr>
        <w:t>ACIJ — Associação Empresarial de Joinville (razão social oficial: Associação Comercial e Industrial de Joinville, CNPJ 84.683.416/0001-41) — associação civil sem fins lucrativos, fundada em 1911, com atuação consolidada no apoio às cadeias produtivas industriais do Município e premiação setorial à inovação (InovACIJ);</w:t>
      </w:r>
    </w:p>
    <w:p>
      <w:pPr>
        <w:ind w:left="850"/>
        <w:spacing w:before="0" w:after="60" w:line="276" w:lineRule="auto"/>
      </w:pPr>
      <w:r>
        <w:rPr>
          <w:sz w:val="24"/>
        </w:rPr>
        <w:t>Ágora Tech Park — associação civil sem fins lucrativos, qualificada como Instituição Científica, Tecnológica e de Inovação (ICT), com atuação em incubação, aceleração e conexão entre startups e ecossistema;</w:t>
      </w:r>
    </w:p>
    <w:p>
      <w:pPr>
        <w:ind w:left="850"/>
        <w:spacing w:before="0" w:after="60" w:line="276" w:lineRule="auto"/>
      </w:pPr>
      <w:r>
        <w:rPr>
          <w:sz w:val="24"/>
        </w:rPr>
        <w:t>Inovaparq — Parque de Inovação Tecnológica de Joinville e Região — iniciativa mantida pela Fundação Educacional da Região de Joinville (FURJ) e gerida pela Univille, com 7 (sete) plataformas tecnológicas e portfólio consolidado de pesquisa aplicada;</w:t>
      </w:r>
    </w:p>
    <w:p>
      <w:pPr>
        <w:ind w:left="850"/>
        <w:spacing w:before="0" w:after="60" w:line="276" w:lineRule="auto"/>
      </w:pPr>
      <w:r>
        <w:rPr>
          <w:sz w:val="24"/>
        </w:rPr>
        <w:t>Associação Join.Valle — associação civil sem fins lucrativos, mantenedora de programas de formação empreendedora e do mapeamento bienal do ecossistema de startups do Município.</w:t>
      </w:r>
    </w:p>
    <w:p>
      <w:pPr>
        <w:ind w:firstLine="709"/>
        <w:jc w:val="both"/>
        <w:spacing w:before="0" w:after="120" w:line="276" w:lineRule="auto"/>
      </w:pPr>
      <w:r>
        <w:rPr>
          <w:sz w:val="24"/>
        </w:rPr>
        <w:t>§ 2º O reconhecimento do § 1º não constitui credenciamento automático nem cria direito subjetivo à gestão de cluster específico — trata-se apenas da habilitação ao procedimento simplificado do art. 40.</w:t>
      </w:r>
    </w:p>
    <w:p>
      <w:pPr>
        <w:ind w:firstLine="709"/>
        <w:jc w:val="both"/>
        <w:spacing w:before="0" w:after="120" w:line="276" w:lineRule="auto"/>
      </w:pPr>
      <w:r>
        <w:rPr>
          <w:sz w:val="24"/>
        </w:rPr>
        <w:t>§ 3º Outras entidades que, à data da edição deste Decreto, demonstrem atuação no ecossistema municipal por meio de ato municipal anterior, parcerias formalizadas com a PMJ ou relatórios públicos reconhecidos pelo COMCITI, podem requerer inclusão no rol do § 1º, em até 30 (trinta) dias da publicação deste Decreto, mediante parecer do COMCITI.</w:t>
      </w:r>
    </w:p>
    <w:p>
      <w:pPr>
        <w:jc w:val="center"/>
        <w:spacing w:before="160" w:after="80"/>
      </w:pPr>
      <w:r>
        <w:rPr>
          <w:b/>
          <w:sz w:val="24"/>
        </w:rPr>
        <w:t>Seção II — Do credenciamento transitório por manifestação de interesse</w:t>
      </w:r>
    </w:p>
    <w:p>
      <w:pPr>
        <w:ind w:firstLine="709"/>
        <w:jc w:val="both"/>
        <w:spacing w:before="0" w:after="120" w:line="276" w:lineRule="auto"/>
      </w:pPr>
      <w:r>
        <w:rPr>
          <w:sz w:val="24"/>
        </w:rPr>
        <w:t>Art. 40 As entidades reconhecidas nos termos do art. 39 podem credenciar-se como gestoras de API, em regime transitório, mediante manifestação de interesse protocolada junto à SDE no prazo de 60 (sessenta) dias contados da publicação deste Decreto.</w:t>
      </w:r>
    </w:p>
    <w:p>
      <w:pPr>
        <w:ind w:firstLine="709"/>
        <w:jc w:val="both"/>
        <w:spacing w:before="0" w:after="120" w:line="276" w:lineRule="auto"/>
      </w:pPr>
      <w:r>
        <w:rPr>
          <w:sz w:val="24"/>
        </w:rPr>
        <w:t>§ 1º A manifestação de interesse conterá:</w:t>
      </w:r>
    </w:p>
    <w:p>
      <w:pPr>
        <w:ind w:left="850"/>
        <w:spacing w:before="0" w:after="60" w:line="276" w:lineRule="auto"/>
      </w:pPr>
      <w:r>
        <w:rPr>
          <w:sz w:val="24"/>
        </w:rPr>
        <w:t>identificação da entidade e de seus dirigentes;</w:t>
      </w:r>
    </w:p>
    <w:p>
      <w:pPr>
        <w:ind w:left="850"/>
        <w:spacing w:before="0" w:after="60" w:line="276" w:lineRule="auto"/>
      </w:pPr>
      <w:r>
        <w:rPr>
          <w:sz w:val="24"/>
        </w:rPr>
        <w:t>indicação do cluster setorial pretendido (art. 7º), com fundamentação da aderência da finalidade estatutária e da atuação histórica;</w:t>
      </w:r>
    </w:p>
    <w:p>
      <w:pPr>
        <w:ind w:left="850"/>
        <w:spacing w:before="0" w:after="60" w:line="276" w:lineRule="auto"/>
      </w:pPr>
      <w:r>
        <w:rPr>
          <w:sz w:val="24"/>
        </w:rPr>
        <w:t>plano simplificado de atuação para o período transitório (24 meses), com metas e indicadores compatíveis com o art. 29 deste Decreto;</w:t>
      </w:r>
    </w:p>
    <w:p>
      <w:pPr>
        <w:ind w:left="850"/>
        <w:spacing w:before="0" w:after="60" w:line="276" w:lineRule="auto"/>
      </w:pPr>
      <w:r>
        <w:rPr>
          <w:sz w:val="24"/>
        </w:rPr>
        <w:t>declaração de inexistência das vedações do art. 14;</w:t>
      </w:r>
    </w:p>
    <w:p>
      <w:pPr>
        <w:ind w:left="850"/>
        <w:spacing w:before="0" w:after="60" w:line="276" w:lineRule="auto"/>
      </w:pPr>
      <w:r>
        <w:rPr>
          <w:sz w:val="24"/>
        </w:rPr>
        <w:t>política de contrapartida financeira da entidade (art. 24), ou declaração de gratuidade.</w:t>
      </w:r>
    </w:p>
    <w:p>
      <w:pPr>
        <w:ind w:firstLine="709"/>
        <w:jc w:val="both"/>
        <w:spacing w:before="0" w:after="120" w:line="276" w:lineRule="auto"/>
      </w:pPr>
      <w:r>
        <w:rPr>
          <w:sz w:val="24"/>
        </w:rPr>
        <w:t>§ 2º A manifestação de interesse dispensa a apresentação integral da documentação do art. 15, sendo substituída pela declaração referida no § 1º, IV — sem prejuízo da verificação eletrônica pela SDE (art. 15, § 1º) e da obrigação de a entidade apresentar toda a documentação completa no procedimento ordinário subsequente (art. 41).</w:t>
      </w:r>
    </w:p>
    <w:p>
      <w:pPr>
        <w:ind w:firstLine="709"/>
        <w:jc w:val="both"/>
        <w:spacing w:before="0" w:after="120" w:line="276" w:lineRule="auto"/>
      </w:pPr>
      <w:r>
        <w:rPr>
          <w:sz w:val="24"/>
        </w:rPr>
        <w:t>§ 3º Havendo mais de uma entidade pretendendo o mesmo cluster, a SDE submete o impasse ao COMCITI, que deliberará em até 30 (trinta) dias, por maioria simples, considerando os critérios de desempate do art. 19, § 2º. A entidade não selecionada pode indicar cluster alternativo ou participar do chamamento ordinário subsequente.</w:t>
      </w:r>
    </w:p>
    <w:p>
      <w:pPr>
        <w:ind w:firstLine="709"/>
        <w:jc w:val="both"/>
        <w:spacing w:before="0" w:after="120" w:line="276" w:lineRule="auto"/>
      </w:pPr>
      <w:r>
        <w:rPr>
          <w:sz w:val="24"/>
        </w:rPr>
        <w:t>§ 4º O credenciamento transitório é formalizado por ato do Prefeito, com prazo de vigência de 24 (vinte e quatro) meses, contado da data de publicação, após o qual a entidade deverá submeter-se ao procedimento ordinário de credenciamento, nos termos do Capítulo IV, para obtenção da credencial plena de 4 (quatro) anos — preservadas as garantias de continuidade operacional previstas no art. 9º deste Decreto.</w:t>
      </w:r>
    </w:p>
    <w:p>
      <w:pPr>
        <w:ind w:firstLine="709"/>
        <w:jc w:val="both"/>
        <w:spacing w:before="0" w:after="120" w:line="276" w:lineRule="auto"/>
      </w:pPr>
      <w:r>
        <w:rPr>
          <w:sz w:val="24"/>
        </w:rPr>
        <w:t>§ 5º Durante o período transitório, a entidade gestora assume integralmente as competências, obrigações e vedações deste Decreto, incluindo o regime de acompanhamento e sanções dos Capítulos VI e VII.</w:t>
      </w:r>
    </w:p>
    <w:p>
      <w:pPr>
        <w:jc w:val="center"/>
        <w:spacing w:before="160" w:after="80"/>
      </w:pPr>
      <w:r>
        <w:rPr>
          <w:b/>
          <w:sz w:val="24"/>
        </w:rPr>
        <w:t>Seção III — Dos clusters sem manifestação na transitória</w:t>
      </w:r>
    </w:p>
    <w:p>
      <w:pPr>
        <w:ind w:firstLine="709"/>
        <w:jc w:val="both"/>
        <w:spacing w:before="0" w:after="120" w:line="276" w:lineRule="auto"/>
      </w:pPr>
      <w:r>
        <w:rPr>
          <w:sz w:val="24"/>
        </w:rPr>
        <w:t>Art. 41 Os clusters para os quais não houver manifestação de interesse na janela transitória (art. 40) integram o primeiro chamamento público ordinário de credenciamento, nos termos do Capítulo IV deste Decreto.</w:t>
      </w:r>
    </w:p>
    <w:p>
      <w:pPr>
        <w:ind w:firstLine="709"/>
        <w:jc w:val="both"/>
        <w:spacing w:before="0" w:after="120" w:line="276" w:lineRule="auto"/>
      </w:pPr>
      <w:r>
        <w:rPr>
          <w:sz w:val="24"/>
        </w:rPr>
        <w:t>§ 1º Aplicam-se a esses clusters as regras gerais do Capítulo IV, inclusive o regime do art. 13, § 3º (entidade em constituição com termo de cooperação), quando não houver entidade apta no ecossistema local.</w:t>
      </w:r>
    </w:p>
    <w:p>
      <w:pPr>
        <w:ind w:firstLine="709"/>
        <w:jc w:val="both"/>
        <w:spacing w:before="0" w:after="120" w:line="276" w:lineRule="auto"/>
      </w:pPr>
      <w:r>
        <w:rPr>
          <w:sz w:val="24"/>
        </w:rPr>
        <w:t>§ 2º Até a conclusão do chamamento ordinário, os Proponentes desses clusters podem ser acolhidos excepcionalmente pela SDE, em regime provisório, com acompanhamento técnico direto — sem prejuízo da futura vinculação a API credenciado, tão logo instalado.</w:t>
      </w:r>
    </w:p>
    <w:p>
      <w:pPr>
        <w:jc w:val="center"/>
        <w:spacing w:before="160" w:after="80"/>
      </w:pPr>
      <w:r>
        <w:rPr>
          <w:b/>
          <w:sz w:val="24"/>
        </w:rPr>
        <w:t>Seção IV — Do cronograma de implantação</w:t>
      </w:r>
    </w:p>
    <w:p>
      <w:pPr>
        <w:ind w:firstLine="709"/>
        <w:jc w:val="both"/>
        <w:spacing w:before="0" w:after="120" w:line="276" w:lineRule="auto"/>
      </w:pPr>
      <w:r>
        <w:rPr>
          <w:sz w:val="24"/>
        </w:rPr>
        <w:t>Art. 42 A SDE publicará, no prazo de 30 (trinta) dias da vigência deste Decreto, cronograma operacional contendo, no mínimo:</w:t>
      </w:r>
    </w:p>
    <w:p>
      <w:pPr>
        <w:ind w:left="850"/>
        <w:spacing w:before="0" w:after="60" w:line="276" w:lineRule="auto"/>
      </w:pPr>
      <w:r>
        <w:rPr>
          <w:sz w:val="24"/>
        </w:rPr>
        <w:t>abertura e encerramento da janela de manifestação de interesse (art. 40);</w:t>
      </w:r>
    </w:p>
    <w:p>
      <w:pPr>
        <w:ind w:left="850"/>
        <w:spacing w:before="0" w:after="60" w:line="276" w:lineRule="auto"/>
      </w:pPr>
      <w:r>
        <w:rPr>
          <w:sz w:val="24"/>
        </w:rPr>
        <w:t>data de deliberação do COMCITI sobre eventuais disputas de cluster (art. 40, § 3º);</w:t>
      </w:r>
    </w:p>
    <w:p>
      <w:pPr>
        <w:ind w:left="850"/>
        <w:spacing w:before="0" w:after="60" w:line="276" w:lineRule="auto"/>
      </w:pPr>
      <w:r>
        <w:rPr>
          <w:sz w:val="24"/>
        </w:rPr>
        <w:t>data prevista de publicação dos atos de credenciamento transitório;</w:t>
      </w:r>
    </w:p>
    <w:p>
      <w:pPr>
        <w:ind w:left="850"/>
        <w:spacing w:before="0" w:after="60" w:line="276" w:lineRule="auto"/>
      </w:pPr>
      <w:r>
        <w:rPr>
          <w:sz w:val="24"/>
        </w:rPr>
        <w:t>data prevista de publicação do primeiro Edital de chamamento ordinário (Capítulo IV), com antecedência mínima de 60 (sessenta) dias em relação à sua abertura;</w:t>
      </w:r>
    </w:p>
    <w:p>
      <w:pPr>
        <w:ind w:left="850"/>
        <w:spacing w:before="0" w:after="60" w:line="276" w:lineRule="auto"/>
      </w:pPr>
      <w:r>
        <w:rPr>
          <w:sz w:val="24"/>
        </w:rPr>
        <w:t>data de publicação da instrução normativa da SDE com formulários eletrônicos, modelos de carta de vinculação e procedimentos operacionais complementares.</w:t>
      </w:r>
    </w:p>
    <w:p>
      <w:pPr>
        <w:ind w:firstLine="709"/>
        <w:jc w:val="both"/>
        <w:spacing w:before="0" w:after="120" w:line="276" w:lineRule="auto"/>
      </w:pPr>
      <w:r>
        <w:rPr>
          <w:sz w:val="24"/>
        </w:rPr>
        <w:t>§ 1º O primeiro chamamento público ordinário (Capítulo IV) será realizado em até 18 (dezoito) meses contados da vigência deste Decreto, com antecedência suficiente para que as credenciais ordinárias entrem em vigor antes do encerramento do período transitório de 24 meses do art. 40, § 4º.</w:t>
      </w:r>
    </w:p>
    <w:p>
      <w:pPr>
        <w:ind w:firstLine="709"/>
        <w:jc w:val="both"/>
        <w:spacing w:before="0" w:after="120" w:line="276" w:lineRule="auto"/>
      </w:pPr>
      <w:r>
        <w:rPr>
          <w:sz w:val="24"/>
        </w:rPr>
        <w:t>§ 2º A SDE pode iniciar o processo de credenciamento ordinário de cluster específico, de forma antecipada, em caso de vacância, ausência de candidato na janela transitória ou criação de novo cluster (art. 10).</w:t>
      </w:r>
    </w:p>
    <w:p>
      <w:pPr>
        <w:jc w:val="center"/>
        <w:spacing w:before="160" w:after="80"/>
      </w:pPr>
      <w:r>
        <w:rPr>
          <w:b/>
          <w:sz w:val="24"/>
        </w:rPr>
        <w:t>Seção V — Dos casos omissos e disposições complementares</w:t>
      </w:r>
    </w:p>
    <w:p>
      <w:pPr>
        <w:ind w:firstLine="709"/>
        <w:jc w:val="both"/>
        <w:spacing w:before="0" w:after="120" w:line="276" w:lineRule="auto"/>
      </w:pPr>
      <w:r>
        <w:rPr>
          <w:sz w:val="24"/>
        </w:rPr>
        <w:t>Art. 43 Os casos omissos e as dúvidas interpretativas surgidas na aplicação deste Decreto são resolvidas pelo titular da SDE, em ato fundamentado, ouvido o COMCITI quando envolver matéria afeta ao Conselho.</w:t>
      </w:r>
    </w:p>
    <w:p>
      <w:pPr>
        <w:ind w:firstLine="709"/>
        <w:jc w:val="both"/>
        <w:spacing w:before="0" w:after="120" w:line="276" w:lineRule="auto"/>
      </w:pPr>
      <w:r>
        <w:rPr>
          <w:sz w:val="24"/>
        </w:rPr>
        <w:t>§ 1º Aplicam-se subsidiariamente ao Programa e a este Decreto, naquilo que couber:</w:t>
      </w:r>
    </w:p>
    <w:p>
      <w:pPr>
        <w:ind w:left="850"/>
        <w:spacing w:before="0" w:after="60" w:line="276" w:lineRule="auto"/>
      </w:pPr>
      <w:r>
        <w:rPr>
          <w:sz w:val="24"/>
        </w:rPr>
        <w:t>a Lei Federal nº 9.784, de 1999, quanto a atos processuais, prazos, notificações, recursos e garantias do devido processo administrativo;</w:t>
      </w:r>
    </w:p>
    <w:p>
      <w:pPr>
        <w:ind w:left="850"/>
        <w:spacing w:before="0" w:after="60" w:line="276" w:lineRule="auto"/>
      </w:pPr>
      <w:r>
        <w:rPr>
          <w:sz w:val="24"/>
        </w:rPr>
        <w:t>a Lei Federal nº 13.019, de 2014, quanto aos princípios gerais aplicáveis a parcerias com organizações da sociedade civil, no que não contrariar as especificidades do Programa;</w:t>
      </w:r>
    </w:p>
    <w:p>
      <w:pPr>
        <w:ind w:left="850"/>
        <w:spacing w:before="0" w:after="60" w:line="276" w:lineRule="auto"/>
      </w:pPr>
      <w:r>
        <w:rPr>
          <w:sz w:val="24"/>
        </w:rPr>
        <w:t>a Lei Federal nº 12.527, de 2011, quanto à transparência ativa e passiva das informações relativas aos APIs credenciados;</w:t>
      </w:r>
    </w:p>
    <w:p>
      <w:pPr>
        <w:ind w:left="850"/>
        <w:spacing w:before="0" w:after="60" w:line="276" w:lineRule="auto"/>
      </w:pPr>
      <w:r>
        <w:rPr>
          <w:sz w:val="24"/>
        </w:rPr>
        <w:t>a legislação municipal aplicável à Administração direta e indireta do Município de Joinville.</w:t>
      </w:r>
    </w:p>
    <w:p>
      <w:pPr>
        <w:ind w:firstLine="709"/>
        <w:jc w:val="both"/>
        <w:spacing w:before="0" w:after="120" w:line="276" w:lineRule="auto"/>
      </w:pPr>
      <w:r>
        <w:rPr>
          <w:sz w:val="24"/>
        </w:rPr>
        <w:t>§ 2º A SDE pode editar instruções normativas para detalhar matérias de natureza operacional deste Decreto, vedada a criação, por via infralegal, de requisitos, vedações ou sanções não previstos no texto deste Decreto, no Decreto do Programa, na Lei nº 7.170, de 2011, ou na legislação aplicável.</w:t>
      </w:r>
    </w:p>
    <w:p>
      <w:pPr>
        <w:ind w:firstLine="709"/>
        <w:jc w:val="both"/>
        <w:spacing w:before="0" w:after="120" w:line="276" w:lineRule="auto"/>
      </w:pPr>
      <w:r>
        <w:rPr>
          <w:sz w:val="24"/>
        </w:rPr>
        <w:t>§ 3º Em caso de conflito interpretativo entre este Decreto e o Decreto do Programa, prevalece o Decreto do Programa quando a matéria referir-se à estrutura geral do PII/Jlle, e prevalece este Decreto quando referir-se especificamente aos Arranjos Promotores de Inovação.</w:t>
      </w:r>
    </w:p>
    <w:p>
      <w:pPr>
        <w:jc w:val="center"/>
        <w:spacing w:before="160" w:after="80"/>
      </w:pPr>
      <w:r>
        <w:rPr>
          <w:b/>
          <w:sz w:val="24"/>
        </w:rPr>
        <w:t>Seção VI — Da vigência e das revogações</w:t>
      </w:r>
    </w:p>
    <w:p>
      <w:pPr>
        <w:ind w:firstLine="709"/>
        <w:jc w:val="both"/>
        <w:spacing w:before="0" w:after="120" w:line="276" w:lineRule="auto"/>
      </w:pPr>
      <w:r>
        <w:rPr>
          <w:sz w:val="24"/>
        </w:rPr>
        <w:t>Art. 44 Este Decreto entra em vigor na data de sua publicação, ressalvada a eficácia das disposições cuja aplicação dependa da prévia publicação do Decreto do Programa (PII/Jlle) ou da Lei Complementar municipal autorizativa referida no art. 2º, inciso II, deste Decreto.</w:t>
      </w:r>
    </w:p>
    <w:p>
      <w:pPr>
        <w:ind w:firstLine="709"/>
        <w:jc w:val="both"/>
        <w:spacing w:before="0" w:after="120" w:line="276" w:lineRule="auto"/>
      </w:pPr>
      <w:r>
        <w:rPr>
          <w:sz w:val="24"/>
        </w:rPr>
        <w:t>§ 1º Ficam revogadas as disposições em contrário, em especial aquelas de atos infralegais municipais que tratem do credenciamento de entidades promotoras de inovação de modo incompatível com o presente Decreto.</w:t>
      </w:r>
    </w:p>
    <w:p>
      <w:pPr>
        <w:ind w:firstLine="709"/>
        <w:jc w:val="both"/>
        <w:spacing w:before="0" w:after="120" w:line="276" w:lineRule="auto"/>
      </w:pPr>
      <w:r>
        <w:rPr>
          <w:sz w:val="24"/>
        </w:rPr>
        <w:t>§ 2º A eventual declaração de inconstitucionalidade, ilegalidade ou nulidade de qualquer dispositivo deste Decreto não afeta a validade dos demais, preservada a separabilidade do ato normativo.</w:t>
      </w:r>
    </w:p>
    <w:p>
      <w:pPr>
        <w:ind w:firstLine="709"/>
        <w:jc w:val="both"/>
        <w:spacing w:before="0" w:after="120" w:line="276" w:lineRule="auto"/>
      </w:pPr>
      <w:r>
        <w:rPr>
          <w:sz w:val="24"/>
        </w:rPr>
        <w:t>Joinville, ___ de ________ de 2026.</w:t>
      </w:r>
    </w:p>
    <w:p>
      <w:pPr>
        <w:jc w:val="both"/>
        <w:spacing w:before="200" w:after="120"/>
      </w:pPr>
      <w:r>
        <w:rPr>
          <w:sz w:val="24"/>
        </w:rPr>
        <w:t>[NOME DO(A) PREFEITO(A)]Prefeito(a) Municipal de Joinville</w:t>
      </w:r>
    </w:p>
    <w:sectPr w:rsidR="00FC693F" w:rsidRPr="0006063C" w:rsidSect="00034616">
      <w:pgSz w:w="12240" w:h="15840"/>
      <w:pgMar w:top="1417" w:right="1417"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