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6ef0784d4f4b15f678d844360ceda6b1939a229"/>
    <w:p>
      <w:pPr>
        <w:pStyle w:val="Heading1"/>
      </w:pPr>
      <w:r>
        <w:t xml:space="preserve">Партнёрский договор (revenue share) — NeuroGate × Unisender Neuromedia</w:t>
      </w:r>
    </w:p>
    <w:p>
      <w:pPr>
        <w:pStyle w:val="BlockText"/>
      </w:pPr>
      <w:r>
        <w:t xml:space="preserve">🟢</w:t>
      </w:r>
      <w:r>
        <w:t xml:space="preserve"> </w:t>
      </w:r>
      <w:r>
        <w:rPr>
          <w:b/>
          <w:bCs/>
        </w:rPr>
        <w:t xml:space="preserve">Статус:</w:t>
      </w:r>
      <w:r>
        <w:t xml:space="preserve"> </w:t>
      </w:r>
      <w:r>
        <w:t xml:space="preserve">v0.3 драфт. Закрыт последний содержательный комментарий юриста партнёра — готов к подписанию.</w:t>
      </w:r>
      <w:r>
        <w:t xml:space="preserve"> </w:t>
      </w:r>
      <w:r>
        <w:t xml:space="preserve">🟡 Места</w:t>
      </w:r>
      <w:r>
        <w:t xml:space="preserve"> </w:t>
      </w:r>
      <w:r>
        <w:rPr>
          <w:rStyle w:val="VerbatimChar"/>
        </w:rPr>
        <w:t xml:space="preserve">[НА УТОЧНЕНИЕ]</w:t>
      </w:r>
      <w:r>
        <w:t xml:space="preserve"> </w:t>
      </w:r>
      <w:r>
        <w:t xml:space="preserve">— закрываются со стороны партнёра при подписании.</w:t>
      </w:r>
    </w:p>
    <w:bookmarkStart w:id="9" w:name="что-изменилось-в-v0.3-относительно-v0.2"/>
    <w:p>
      <w:pPr>
        <w:pStyle w:val="Heading3"/>
      </w:pPr>
      <w:r>
        <w:t xml:space="preserve">Что изменилось в v0.3 относительно v0.2</w:t>
      </w:r>
    </w:p>
    <w:p>
      <w:pPr>
        <w:pStyle w:val="FirstParagraph"/>
      </w:pPr>
      <w:r>
        <w:rPr>
          <w:b/>
          <w:bCs/>
        </w:rPr>
        <w:t xml:space="preserve">По доп. комментарию юриста партнёра от 20.05.2026:</w:t>
      </w:r>
      <w:r>
        <w:t xml:space="preserve"> </w:t>
      </w:r>
      <w:r>
        <w:t xml:space="preserve">0.</w:t>
      </w:r>
      <w:r>
        <w:t xml:space="preserve"> </w:t>
      </w:r>
      <w:r>
        <w:rPr>
          <w:b/>
          <w:bCs/>
        </w:rPr>
        <w:t xml:space="preserve">п. 7.5</w:t>
      </w:r>
      <w:r>
        <w:t xml:space="preserve"> </w:t>
      </w:r>
      <w:r>
        <w:t xml:space="preserve">— гарантии достоверности квалифицированы как</w:t>
      </w:r>
      <w:r>
        <w:t xml:space="preserve"> </w:t>
      </w:r>
      <w:r>
        <w:rPr>
          <w:b/>
          <w:bCs/>
        </w:rPr>
        <w:t xml:space="preserve">заверения об обстоятельствах в смысле ст. 431.2 ГК РФ</w:t>
      </w:r>
      <w:r>
        <w:t xml:space="preserve"> </w:t>
      </w:r>
      <w:r>
        <w:t xml:space="preserve">(со всеми вытекающими). Добавлена защитная оговорка: заверениями признаются</w:t>
      </w:r>
      <w:r>
        <w:t xml:space="preserve"> </w:t>
      </w:r>
      <w:r>
        <w:rPr>
          <w:b/>
          <w:bCs/>
        </w:rPr>
        <w:t xml:space="preserve">исключительно</w:t>
      </w:r>
      <w:r>
        <w:t xml:space="preserve"> </w:t>
      </w:r>
      <w:r>
        <w:t xml:space="preserve">обстоятельства, прямо перечисленные в п. 7.5 (закрытый перечень — чтобы под 431.2 не подпадали иные заявления Сторон).</w:t>
      </w:r>
    </w:p>
    <w:bookmarkEnd w:id="9"/>
    <w:bookmarkStart w:id="10" w:name="что-изменилось-в-v0.2-относительно-v0.1"/>
    <w:p>
      <w:pPr>
        <w:pStyle w:val="Heading3"/>
      </w:pPr>
      <w:r>
        <w:t xml:space="preserve">Что изменилось в v0.2 относительно v0.1</w:t>
      </w:r>
    </w:p>
    <w:p>
      <w:pPr>
        <w:pStyle w:val="FirstParagraph"/>
      </w:pPr>
      <w:r>
        <w:rPr>
          <w:b/>
          <w:bCs/>
        </w:rPr>
        <w:t xml:space="preserve">По комментариям юриста партнёра: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п. 10.2</w:t>
      </w:r>
      <w:r>
        <w:t xml:space="preserve"> </w:t>
      </w:r>
      <w:r>
        <w:t xml:space="preserve">— ответственность Партнёра ограничена выплаченным вознаграждением за 12 мес, упущенная выгода исключена, требование должно быть документально подтверждено (комментарий №1 юриста).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п. 3.6 + Приложение №4</w:t>
      </w:r>
      <w:r>
        <w:t xml:space="preserve"> </w:t>
      </w:r>
      <w:r>
        <w:t xml:space="preserve">— раскрыты внутренние анти-фрод правила (комментарий №2 юриста).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п. 7.5 (новый)</w:t>
      </w:r>
      <w:r>
        <w:t xml:space="preserve"> </w:t>
      </w:r>
      <w:r>
        <w:t xml:space="preserve">— гарантия достоверности предоставленных Сторонами сведений и документов (комментарий №3 юриста, due diligence).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п. 0 + п. 8.3</w:t>
      </w:r>
      <w:r>
        <w:t xml:space="preserve"> </w:t>
      </w:r>
      <w:r>
        <w:t xml:space="preserve">— добавлены точные ссылки на оферту (</w:t>
      </w:r>
      <w:r>
        <w:rPr>
          <w:rStyle w:val="VerbatimChar"/>
        </w:rPr>
        <w:t xml:space="preserve">/public-offer</w:t>
      </w:r>
      <w:r>
        <w:t xml:space="preserve">) и политику (</w:t>
      </w:r>
      <w:r>
        <w:rPr>
          <w:rStyle w:val="VerbatimChar"/>
        </w:rPr>
        <w:t xml:space="preserve">/privacy</w:t>
      </w:r>
      <w:r>
        <w:t xml:space="preserve">) с пояснением (комментарий №3 юриста;</w:t>
      </w:r>
      <w:r>
        <w:t xml:space="preserve"> </w:t>
      </w:r>
      <w:r>
        <w:rPr>
          <w:rStyle w:val="VerbatimChar"/>
        </w:rPr>
        <w:t xml:space="preserve">/offer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/terms</w:t>
      </w:r>
      <w:r>
        <w:t xml:space="preserve"> </w:t>
      </w:r>
      <w:r>
        <w:t xml:space="preserve">— несуществующие, корректный путь</w:t>
      </w:r>
      <w:r>
        <w:t xml:space="preserve"> </w:t>
      </w:r>
      <w:r>
        <w:rPr>
          <w:rStyle w:val="VerbatimChar"/>
        </w:rPr>
        <w:t xml:space="preserve">/public-offer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Дополнительные правки по результатам внутренней вычитки: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п. 4.3</w:t>
      </w:r>
      <w:r>
        <w:t xml:space="preserve"> </w:t>
      </w:r>
      <w:r>
        <w:t xml:space="preserve">— явно зафиксировано, что first-touch cookie не перезаписывается при заходе пользователя по другой реферальной ссылке в 90-дневное окно.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п. 6.3</w:t>
      </w:r>
      <w:r>
        <w:t xml:space="preserve"> </w:t>
      </w:r>
      <w:r>
        <w:t xml:space="preserve">— уточнён порядок расторжения при нарушении: одностороннее внесудебное расторжение с момента получения уведомления (30-дневный срок п. 9.2 не применяется при существенном нарушении).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п. 7.5</w:t>
      </w:r>
      <w:r>
        <w:t xml:space="preserve"> </w:t>
      </w:r>
      <w:r>
        <w:t xml:space="preserve">— формулировка прав на «NeuroGate» приведена в категорию коммерческого обозначения (ст. 1538–1541 ГК РФ); указано, что заявка на ТЗ не подавалась.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п. 11.2</w:t>
      </w:r>
      <w:r>
        <w:t xml:space="preserve"> </w:t>
      </w:r>
      <w:r>
        <w:t xml:space="preserve">— закрыта подсудность: Арбитражный суд Калининградской области, претензионный порядок 30 дней.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п. 11.3 (новый)</w:t>
      </w:r>
      <w:r>
        <w:t xml:space="preserve"> </w:t>
      </w:r>
      <w:r>
        <w:t xml:space="preserve">— порядок уведомлений по email с правилом о моменте получения (3 рабочих дня).</w:t>
      </w:r>
      <w:r>
        <w:t xml:space="preserve"> </w:t>
      </w:r>
      <w:r>
        <w:t xml:space="preserve">9.1.</w:t>
      </w:r>
      <w:r>
        <w:t xml:space="preserve"> </w:t>
      </w:r>
      <w:r>
        <w:rPr>
          <w:b/>
          <w:bCs/>
        </w:rPr>
        <w:t xml:space="preserve">п. 11.4 (новый)</w:t>
      </w:r>
      <w:r>
        <w:t xml:space="preserve"> </w:t>
      </w:r>
      <w:r>
        <w:t xml:space="preserve">— порядок подписания: обмен сканами по email с последующей досылкой бумажных оригиналов в 30 дней (стандарт без ЭДО).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Приложение №4 п. 5</w:t>
      </w:r>
      <w:r>
        <w:t xml:space="preserve"> </w:t>
      </w:r>
      <w:r>
        <w:t xml:space="preserve">— критерий «аномальные паттерны UTM» уточнён: применяется при одновременных дополнительных признаках фрода; органический viral-материал не зарезается.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Приложение №4 п. 4.3</w:t>
      </w:r>
      <w:r>
        <w:t xml:space="preserve"> </w:t>
      </w:r>
      <w:r>
        <w:t xml:space="preserve">— исправлена нумерация подпунктов (4.3.1 / 4.3.2 / 4.3.3 вместо ошибочной 7.1 / 7.2 / 7.3).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Приложение №1</w:t>
      </w:r>
      <w:r>
        <w:t xml:space="preserve"> </w:t>
      </w:r>
      <w:r>
        <w:t xml:space="preserve">— добавлен табличный шаблон полей реквизитов Партнёра.</w:t>
      </w:r>
    </w:p>
    <w:p>
      <w:r>
        <w:pict>
          <v:rect style="width:0;height:1.5pt" o:hralign="center" o:hrstd="t" o:hr="t"/>
        </w:pict>
      </w:r>
    </w:p>
    <w:bookmarkEnd w:id="10"/>
    <w:bookmarkStart w:id="11" w:name="стороны"/>
    <w:p>
      <w:pPr>
        <w:pStyle w:val="Heading2"/>
      </w:pPr>
      <w:r>
        <w:t xml:space="preserve">0. Стороны</w:t>
      </w:r>
    </w:p>
    <w:p>
      <w:pPr>
        <w:pStyle w:val="FirstParagraph"/>
      </w:pPr>
      <w:r>
        <w:rPr>
          <w:b/>
          <w:bCs/>
        </w:rPr>
        <w:t xml:space="preserve">Принципал</w:t>
      </w:r>
      <w:r>
        <w:t xml:space="preserve"> </w:t>
      </w:r>
      <w:r>
        <w:t xml:space="preserve">(Лицензиар сервиса NeuroGate):</w:t>
      </w:r>
      <w:r>
        <w:t xml:space="preserve"> </w:t>
      </w:r>
      <w:r>
        <w:t xml:space="preserve">- Индивидуальный предприниматель Ваулина Юлия Андреевна</w:t>
      </w:r>
      <w:r>
        <w:t xml:space="preserve"> </w:t>
      </w:r>
      <w:r>
        <w:t xml:space="preserve">- ИНН 390507907909, ОГРНИП 326390000025528</w:t>
      </w:r>
      <w:r>
        <w:t xml:space="preserve"> </w:t>
      </w:r>
      <w:r>
        <w:t xml:space="preserve">- Россия, г. Калининград</w:t>
      </w:r>
      <w:r>
        <w:t xml:space="preserve"> </w:t>
      </w:r>
      <w:r>
        <w:t xml:space="preserve">- Сайт: https://ng-ai.ru</w:t>
      </w:r>
      <w:r>
        <w:t xml:space="preserve"> </w:t>
      </w:r>
      <w:r>
        <w:t xml:space="preserve">- Публичная оферта: https://ng-ai.ru/public-offer</w:t>
      </w:r>
      <w:r>
        <w:t xml:space="preserve"> </w:t>
      </w:r>
      <w:r>
        <w:t xml:space="preserve">- Политика конфиденциальности: https://ng-ai.ru/privacy</w:t>
      </w:r>
      <w:r>
        <w:t xml:space="preserve"> </w:t>
      </w:r>
      <w:r>
        <w:t xml:space="preserve">- Email: support@ng-ai.ru</w:t>
      </w:r>
    </w:p>
    <w:p>
      <w:pPr>
        <w:pStyle w:val="BodyText"/>
      </w:pPr>
      <w:r>
        <w:rPr>
          <w:b/>
          <w:bCs/>
        </w:rPr>
        <w:t xml:space="preserve">Партнёр</w:t>
      </w:r>
      <w:r>
        <w:t xml:space="preserve"> </w:t>
      </w:r>
      <w:r>
        <w:t xml:space="preserve">(Источник трафика):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[НА УТОЧНЕНИЕ — юр. название Unisender Neuromedia: ООО? ИП? страна регистрации? ИНН/УНП/БИН?]</w:t>
      </w:r>
      <w:r>
        <w:t xml:space="preserve"> </w:t>
      </w:r>
      <w:r>
        <w:t xml:space="preserve">- Сайт-источник: https://neiro.unisender.com</w:t>
      </w:r>
      <w:r>
        <w:t xml:space="preserve"> </w:t>
      </w:r>
      <w:r>
        <w:t xml:space="preserve">- Контактный email:</w:t>
      </w:r>
      <w:r>
        <w:t xml:space="preserve"> </w:t>
      </w:r>
      <w:r>
        <w:rPr>
          <w:rStyle w:val="VerbatimChar"/>
        </w:rPr>
        <w:t xml:space="preserve">[НА УТОЧНЕНИЕ]</w:t>
      </w:r>
    </w:p>
    <w:p>
      <w:r>
        <w:pict>
          <v:rect style="width:0;height:1.5pt" o:hralign="center" o:hrstd="t" o:hr="t"/>
        </w:pict>
      </w:r>
    </w:p>
    <w:bookmarkEnd w:id="11"/>
    <w:bookmarkStart w:id="12" w:name="термины"/>
    <w:p>
      <w:pPr>
        <w:pStyle w:val="Heading2"/>
      </w:pPr>
      <w:r>
        <w:t xml:space="preserve">1. Термины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Сервис</w:t>
            </w:r>
          </w:p>
        </w:tc>
        <w:tc>
          <w:tcPr/>
          <w:p>
            <w:pPr>
              <w:pStyle w:val="Compact"/>
            </w:pPr>
            <w:r>
              <w:t xml:space="preserve">Сервис «NeuroGate» — платформа агрегированного доступа к нейросетям, доступная по адресу</w:t>
            </w:r>
            <w:r>
              <w:t xml:space="preserve"> </w:t>
            </w:r>
            <w:r>
              <w:rPr>
                <w:rStyle w:val="VerbatimChar"/>
              </w:rPr>
              <w:t xml:space="preserve">https://ng-ai.ru</w:t>
            </w:r>
            <w:r>
              <w:t xml:space="preserve"> </w:t>
            </w:r>
            <w:r>
              <w:t xml:space="preserve">и связанным поддоменам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Реферальная ссылка</w:t>
            </w:r>
          </w:p>
        </w:tc>
        <w:tc>
          <w:tcPr/>
          <w:p>
            <w:pPr>
              <w:pStyle w:val="Compact"/>
            </w:pPr>
            <w:r>
              <w:t xml:space="preserve">URL, ведущий на любую страницу Сервиса и содержащий UTM-метки Партнёра в формате, согласованном Сторонами (см. п.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Привлечённый пользователь</w:t>
            </w:r>
          </w:p>
        </w:tc>
        <w:tc>
          <w:tcPr/>
          <w:p>
            <w:pPr>
              <w:pStyle w:val="Compact"/>
            </w:pPr>
            <w:r>
              <w:t xml:space="preserve">Физическое или юридическое лицо, впервые перешедшее на Сервис по Реферальной ссылке Партнёра и завершившее регистрацию учётной записи в Сервисе. Атрибуция — по принципу</w:t>
            </w:r>
            <w:r>
              <w:t xml:space="preserve"> </w:t>
            </w:r>
            <w:r>
              <w:rPr>
                <w:b/>
                <w:bCs/>
              </w:rPr>
              <w:t xml:space="preserve">first-touch</w:t>
            </w:r>
            <w:r>
              <w:t xml:space="preserve"> </w:t>
            </w:r>
            <w:r>
              <w:t xml:space="preserve">(первое касание)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Период учёта (Lifetime)</w:t>
            </w:r>
          </w:p>
        </w:tc>
        <w:tc>
          <w:tcPr/>
          <w:p>
            <w:pPr>
              <w:pStyle w:val="Compact"/>
            </w:pPr>
            <w:r>
              <w:t xml:space="preserve">24 (двадцать четыре) календарных месяца с даты регистрации Привлечённого пользователя в Сервисе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Сумма пополнений</w:t>
            </w:r>
          </w:p>
        </w:tc>
        <w:tc>
          <w:tcPr/>
          <w:p>
            <w:pPr>
              <w:pStyle w:val="Compact"/>
            </w:pPr>
            <w:r>
              <w:t xml:space="preserve">Суммарная стоимость всех успешных пополнений баланса и оплат подписки Привлечённого пользователя в Период учёта (без вычетов и зачётов на стороне Принципала)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Вознаграждение</w:t>
            </w:r>
          </w:p>
        </w:tc>
        <w:tc>
          <w:tcPr/>
          <w:p>
            <w:pPr>
              <w:pStyle w:val="Compact"/>
            </w:pPr>
            <w:r>
              <w:t xml:space="preserve">15% (пятнадцать процентов) от Суммы пополнений Привлечённого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Отчётный период</w:t>
            </w:r>
          </w:p>
        </w:tc>
        <w:tc>
          <w:tcPr/>
          <w:p>
            <w:pPr>
              <w:pStyle w:val="Compact"/>
            </w:pPr>
            <w:r>
              <w:t xml:space="preserve">Календарный месяц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предмет-договора"/>
    <w:p>
      <w:pPr>
        <w:pStyle w:val="Heading2"/>
      </w:pPr>
      <w:r>
        <w:t xml:space="preserve">2. Предмет договора</w:t>
      </w:r>
    </w:p>
    <w:p>
      <w:pPr>
        <w:pStyle w:val="FirstParagraph"/>
      </w:pPr>
      <w:r>
        <w:t xml:space="preserve">2.1. Партнёр привлекает на Сервис новых пользователей через размещение Реферальных ссылок в собственных онлайн-каналах (статьи, рассылки, блог, соц. сети).</w:t>
      </w:r>
    </w:p>
    <w:p>
      <w:pPr>
        <w:pStyle w:val="BodyText"/>
      </w:pPr>
      <w:r>
        <w:t xml:space="preserve">2.2. Принципал предоставляет Партнёру:</w:t>
      </w:r>
      <w:r>
        <w:t xml:space="preserve"> </w:t>
      </w:r>
      <w:r>
        <w:t xml:space="preserve">- Реферальную ссылку с уникальными UTM-метками (см. п. 4)</w:t>
      </w:r>
      <w:r>
        <w:t xml:space="preserve"> </w:t>
      </w:r>
      <w:r>
        <w:t xml:space="preserve">- Промо-материалы по запросу (тексты, иллюстрации, скриншоты Сервиса)</w:t>
      </w:r>
      <w:r>
        <w:t xml:space="preserve"> </w:t>
      </w:r>
      <w:r>
        <w:t xml:space="preserve">- Ежемесячную отчётность по Привлечённым пользователям и начисленному Вознаграждению</w:t>
      </w:r>
    </w:p>
    <w:p>
      <w:pPr>
        <w:pStyle w:val="BodyText"/>
      </w:pPr>
      <w:r>
        <w:t xml:space="preserve">2.3. Принципал выплачивает Партнёру Вознаграждение в порядке, установленном настоящим Договором.</w:t>
      </w:r>
    </w:p>
    <w:p>
      <w:r>
        <w:pict>
          <v:rect style="width:0;height:1.5pt" o:hralign="center" o:hrstd="t" o:hr="t"/>
        </w:pict>
      </w:r>
    </w:p>
    <w:bookmarkEnd w:id="13"/>
    <w:bookmarkStart w:id="14" w:name="размер-и-расчёт-вознаграждения"/>
    <w:p>
      <w:pPr>
        <w:pStyle w:val="Heading2"/>
      </w:pPr>
      <w:r>
        <w:t xml:space="preserve">3. Размер и расчёт Вознаграждения</w:t>
      </w:r>
    </w:p>
    <w:p>
      <w:pPr>
        <w:pStyle w:val="FirstParagraph"/>
      </w:pPr>
      <w:r>
        <w:t xml:space="preserve">3.1. Вознаграждение составляет</w:t>
      </w:r>
      <w:r>
        <w:t xml:space="preserve"> </w:t>
      </w:r>
      <w:r>
        <w:rPr>
          <w:b/>
          <w:bCs/>
        </w:rPr>
        <w:t xml:space="preserve">15% от Суммы пополнений</w:t>
      </w:r>
      <w:r>
        <w:t xml:space="preserve"> </w:t>
      </w:r>
      <w:r>
        <w:t xml:space="preserve">Привлечённого пользователя за весь Период учёта (24 месяца с даты его регистрации).</w:t>
      </w:r>
    </w:p>
    <w:p>
      <w:pPr>
        <w:pStyle w:val="BodyText"/>
      </w:pPr>
      <w:r>
        <w:t xml:space="preserve">3.2.</w:t>
      </w:r>
      <w:r>
        <w:t xml:space="preserve"> </w:t>
      </w:r>
      <w:r>
        <w:rPr>
          <w:b/>
          <w:bCs/>
        </w:rPr>
        <w:t xml:space="preserve">Простая формула:</w:t>
      </w:r>
    </w:p>
    <w:p>
      <w:pPr>
        <w:pStyle w:val="SourceCode"/>
      </w:pPr>
      <w:r>
        <w:rPr>
          <w:rStyle w:val="VerbatimChar"/>
        </w:rPr>
        <w:t xml:space="preserve">Вознаграждение = 15% × сумма всех успешных пополнений</w:t>
      </w:r>
      <w:r>
        <w:br/>
      </w:r>
      <w:r>
        <w:rPr>
          <w:rStyle w:val="VerbatimChar"/>
        </w:rPr>
        <w:t xml:space="preserve">                       Привлечённого пользователя за месяц</w:t>
      </w:r>
    </w:p>
    <w:p>
      <w:pPr>
        <w:pStyle w:val="FirstParagraph"/>
      </w:pPr>
      <w:r>
        <w:t xml:space="preserve">Базой для расчёта является</w:t>
      </w:r>
      <w:r>
        <w:t xml:space="preserve"> </w:t>
      </w:r>
      <w:r>
        <w:rPr>
          <w:b/>
          <w:bCs/>
        </w:rPr>
        <w:t xml:space="preserve">сумма платежей пользователя</w:t>
      </w:r>
      <w:r>
        <w:t xml:space="preserve"> </w:t>
      </w:r>
      <w:r>
        <w:t xml:space="preserve">(gross) — то, что пользователь фактически оплатил. Никакие внутренние затраты Принципала (комиссии платёжных систем, стоимость API нейросетей, налоги Принципала) при расчёте Вознаграждения</w:t>
      </w:r>
      <w:r>
        <w:t xml:space="preserve"> </w:t>
      </w:r>
      <w:r>
        <w:rPr>
          <w:b/>
          <w:bCs/>
        </w:rPr>
        <w:t xml:space="preserve">не учитываются и из базы не вычитаются</w:t>
      </w:r>
      <w:r>
        <w:t xml:space="preserve">.</w:t>
      </w:r>
    </w:p>
    <w:p>
      <w:pPr>
        <w:pStyle w:val="BodyText"/>
      </w:pPr>
      <w:r>
        <w:t xml:space="preserve">3.3. По истечении Периода учёта Вознаграждение по конкретному Привлечённому пользователю прекращает начисляться, даже если пользователь продолжает оплачивать Сервис.</w:t>
      </w:r>
    </w:p>
    <w:p>
      <w:pPr>
        <w:pStyle w:val="BodyText"/>
      </w:pPr>
      <w:r>
        <w:t xml:space="preserve">3.4. Welcome-бонус, начисляемый Сервисом новым пользователям при регистрации, не является пополнением и в базу для расчёта Вознаграждения не включается.</w:t>
      </w:r>
    </w:p>
    <w:p>
      <w:pPr>
        <w:pStyle w:val="BodyText"/>
      </w:pPr>
      <w:r>
        <w:t xml:space="preserve">3.5.</w:t>
      </w:r>
      <w:r>
        <w:t xml:space="preserve"> </w:t>
      </w:r>
      <w:r>
        <w:rPr>
          <w:b/>
          <w:bCs/>
        </w:rPr>
        <w:t xml:space="preserve">Возвраты и сторно.</w:t>
      </w:r>
      <w:r>
        <w:t xml:space="preserve"> </w:t>
      </w:r>
      <w:r>
        <w:t xml:space="preserve">Если Привлечённый пользователь оформил возврат денежных средств (refund) или произошёл chargeback по его платежу, сумма этого платежа исключается из базы расчёта. Если Вознаграждение по этому платежу уже было выплачено — соответствующая сумма удерживается из ближайшей следующей выплаты Партнёру. Это применяется только к фактическим возвратам/сторно; обычные расходы пользователя на Сервис под этот пункт не подпадают.</w:t>
      </w:r>
    </w:p>
    <w:p>
      <w:pPr>
        <w:pStyle w:val="BodyText"/>
      </w:pPr>
      <w:r>
        <w:t xml:space="preserve">3.6.</w:t>
      </w:r>
      <w:r>
        <w:t xml:space="preserve"> </w:t>
      </w:r>
      <w:r>
        <w:rPr>
          <w:b/>
          <w:bCs/>
        </w:rPr>
        <w:t xml:space="preserve">Анти-фрод.</w:t>
      </w:r>
      <w:r>
        <w:t xml:space="preserve"> </w:t>
      </w:r>
      <w:r>
        <w:t xml:space="preserve">Принципал вправе не учитывать как Привлечённого пользователя регистрацию, подпадающую под критерии, перечисленные в</w:t>
      </w:r>
      <w:r>
        <w:t xml:space="preserve"> </w:t>
      </w:r>
      <w:r>
        <w:rPr>
          <w:b/>
          <w:bCs/>
        </w:rPr>
        <w:t xml:space="preserve">Приложении №4</w:t>
      </w:r>
      <w:r>
        <w:t xml:space="preserve"> </w:t>
      </w:r>
      <w:r>
        <w:t xml:space="preserve">к настоящему Договору (повторные регистрации с того же email/телефона/IP, регистрации с одноразовых email-сервисов, аномальные паттерны и т. п.). По запросу Партнёра Принципал предоставляет обезличенную причину отклонения по конкретной регистрации (без раскрытия персональных данных пользователя). Изменение Приложения №4 происходит только по согласованию Сторон путём подписания дополнительного соглашения.</w:t>
      </w:r>
    </w:p>
    <w:p>
      <w:r>
        <w:pict>
          <v:rect style="width:0;height:1.5pt" o:hralign="center" o:hrstd="t" o:hr="t"/>
        </w:pict>
      </w:r>
    </w:p>
    <w:bookmarkEnd w:id="14"/>
    <w:bookmarkStart w:id="15" w:name="технический-учёт-и-атрибуция"/>
    <w:p>
      <w:pPr>
        <w:pStyle w:val="Heading2"/>
      </w:pPr>
      <w:r>
        <w:t xml:space="preserve">4. Технический учёт и атрибуция</w:t>
      </w:r>
    </w:p>
    <w:p>
      <w:pPr>
        <w:pStyle w:val="FirstParagraph"/>
      </w:pPr>
      <w:r>
        <w:t xml:space="preserve">4.1.</w:t>
      </w:r>
      <w:r>
        <w:t xml:space="preserve"> </w:t>
      </w:r>
      <w:r>
        <w:rPr>
          <w:b/>
          <w:bCs/>
        </w:rPr>
        <w:t xml:space="preserve">Реферальная ссылка</w:t>
      </w:r>
      <w:r>
        <w:t xml:space="preserve"> </w:t>
      </w:r>
      <w:r>
        <w:t xml:space="preserve">имеет формат:</w:t>
      </w:r>
    </w:p>
    <w:p>
      <w:pPr>
        <w:pStyle w:val="SourceCode"/>
      </w:pPr>
      <w:r>
        <w:rPr>
          <w:rStyle w:val="VerbatimChar"/>
        </w:rPr>
        <w:t xml:space="preserve">https://ng-ai.ru/&lt;любая страница&gt;?utm_source=unisender&amp;utm_medium=affiliate&amp;utm_campaign=neuromedia&amp;utm_content=&lt;тег материала&gt;</w:t>
      </w:r>
    </w:p>
    <w:p>
      <w:pPr>
        <w:pStyle w:val="FirstParagraph"/>
      </w:pPr>
      <w:r>
        <w:t xml:space="preserve">Параметры: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utm_source=unisender</w:t>
      </w:r>
      <w:r>
        <w:t xml:space="preserve"> </w:t>
      </w:r>
      <w:r>
        <w:t xml:space="preserve">— источник, фиксированный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utm_medium=affiliate</w:t>
      </w:r>
      <w:r>
        <w:t xml:space="preserve"> </w:t>
      </w:r>
      <w:r>
        <w:t xml:space="preserve">— тип трафика, фиксированный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utm_campaign=neuromedia</w:t>
      </w:r>
      <w:r>
        <w:t xml:space="preserve"> </w:t>
      </w:r>
      <w:r>
        <w:t xml:space="preserve">— название партнёрской кампании, фиксированное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utm_content=&lt;тег&gt;</w:t>
      </w:r>
      <w:r>
        <w:t xml:space="preserve"> </w:t>
      </w:r>
      <w:r>
        <w:t xml:space="preserve">— произвольный тег Партнёра для отслеживания конкретной статьи / рассылки / поста (опционально)</w:t>
      </w:r>
    </w:p>
    <w:p>
      <w:pPr>
        <w:pStyle w:val="BodyText"/>
      </w:pPr>
      <w:r>
        <w:t xml:space="preserve">4.2.</w:t>
      </w:r>
      <w:r>
        <w:t xml:space="preserve"> </w:t>
      </w:r>
      <w:r>
        <w:rPr>
          <w:b/>
          <w:bCs/>
        </w:rPr>
        <w:t xml:space="preserve">Принцип атрибуции — first-touch.</w:t>
      </w:r>
      <w:r>
        <w:t xml:space="preserve"> </w:t>
      </w:r>
      <w:r>
        <w:t xml:space="preserve">При первом переходе пользователя на Сервис по Реферальной ссылке Сервис фиксирует параметры</w:t>
      </w:r>
      <w:r>
        <w:t xml:space="preserve"> </w:t>
      </w:r>
      <w:r>
        <w:rPr>
          <w:rStyle w:val="VerbatimChar"/>
        </w:rPr>
        <w:t xml:space="preserve">utm_source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utm_medium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utm_campaign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utm_content</w:t>
      </w:r>
      <w:r>
        <w:t xml:space="preserve"> </w:t>
      </w:r>
      <w:r>
        <w:t xml:space="preserve">в:</w:t>
      </w:r>
      <w:r>
        <w:t xml:space="preserve"> </w:t>
      </w:r>
      <w:r>
        <w:t xml:space="preserve">- Cookie на устройстве пользователя (срок жизни — 90 дней)</w:t>
      </w:r>
      <w:r>
        <w:t xml:space="preserve"> </w:t>
      </w:r>
      <w:r>
        <w:t xml:space="preserve">- При регистрации пользователя — в записи</w:t>
      </w:r>
      <w:r>
        <w:t xml:space="preserve"> </w:t>
      </w:r>
      <w:r>
        <w:rPr>
          <w:rStyle w:val="VerbatimChar"/>
        </w:rPr>
        <w:t xml:space="preserve">user_attribution</w:t>
      </w:r>
      <w:r>
        <w:t xml:space="preserve"> </w:t>
      </w:r>
      <w:r>
        <w:t xml:space="preserve">базы данных Сервиса, привязанной к учётной записи</w:t>
      </w:r>
    </w:p>
    <w:p>
      <w:pPr>
        <w:pStyle w:val="BodyText"/>
      </w:pPr>
      <w:r>
        <w:t xml:space="preserve">4.3. Если пользователь зарегистрировался</w:t>
      </w:r>
      <w:r>
        <w:t xml:space="preserve"> </w:t>
      </w:r>
      <w:r>
        <w:rPr>
          <w:b/>
          <w:bCs/>
        </w:rPr>
        <w:t xml:space="preserve">не в первой сессии</w:t>
      </w:r>
      <w:r>
        <w:t xml:space="preserve"> </w:t>
      </w:r>
      <w:r>
        <w:t xml:space="preserve">после перехода, но в течение 90 дней с момента первого касания — атрибуция к Партнёру сохраняется через cookie. Если в пределах указанного 90-дневного окна пользователь повторно переходит на Сервис по реферальной ссылке иного источника,</w:t>
      </w:r>
      <w:r>
        <w:t xml:space="preserve"> </w:t>
      </w:r>
      <w:r>
        <w:rPr>
          <w:b/>
          <w:bCs/>
        </w:rPr>
        <w:t xml:space="preserve">ранее зафиксированная атрибуция Партнёра не перезаписывается</w:t>
      </w:r>
      <w:r>
        <w:t xml:space="preserve"> </w:t>
      </w:r>
      <w:r>
        <w:t xml:space="preserve">(принцип first-touch).</w:t>
      </w:r>
    </w:p>
    <w:p>
      <w:pPr>
        <w:pStyle w:val="BodyText"/>
      </w:pPr>
      <w:r>
        <w:t xml:space="preserve">4.4. После регистрации все платежи пользователя на протяжении Периода учёта (24 мес) учитываются в пользу Партнёра,</w:t>
      </w:r>
      <w:r>
        <w:t xml:space="preserve"> </w:t>
      </w:r>
      <w:r>
        <w:rPr>
          <w:b/>
          <w:bCs/>
        </w:rPr>
        <w:t xml:space="preserve">независимо</w:t>
      </w:r>
      <w:r>
        <w:t xml:space="preserve"> </w:t>
      </w:r>
      <w:r>
        <w:t xml:space="preserve">от того:</w:t>
      </w:r>
      <w:r>
        <w:t xml:space="preserve"> </w:t>
      </w:r>
      <w:r>
        <w:t xml:space="preserve">- Через какой канал пользователь возвращается на Сервис позднее (прямой заход, поиск, реклама)</w:t>
      </w:r>
      <w:r>
        <w:t xml:space="preserve"> </w:t>
      </w:r>
      <w:r>
        <w:t xml:space="preserve">- Меняет ли он устройство или браузер</w:t>
      </w:r>
    </w:p>
    <w:p>
      <w:pPr>
        <w:pStyle w:val="BodyText"/>
      </w:pPr>
      <w:r>
        <w:t xml:space="preserve">4.5.</w:t>
      </w:r>
      <w:r>
        <w:t xml:space="preserve"> </w:t>
      </w:r>
      <w:r>
        <w:rPr>
          <w:b/>
          <w:bCs/>
        </w:rPr>
        <w:t xml:space="preserve">Отчётность.</w:t>
      </w:r>
      <w:r>
        <w:t xml:space="preserve"> </w:t>
      </w:r>
      <w:r>
        <w:t xml:space="preserve">Не позднее 5 (пятого) рабочего дня каждого календарного месяца Принципал направляет Партнёру отчёт за предыдущий Отчётный период в формате CSV/Excel/доступа в личный кабинет, содержащий: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user_hash</w:t>
            </w:r>
          </w:p>
        </w:tc>
        <w:tc>
          <w:tcPr/>
          <w:p>
            <w:pPr>
              <w:pStyle w:val="Compact"/>
            </w:pPr>
            <w:r>
              <w:t xml:space="preserve">Хеш ID пользователя (SHA-256 от внутреннего user_id, без раскрытия персональных данных)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reg_date</w:t>
            </w:r>
          </w:p>
        </w:tc>
        <w:tc>
          <w:tcPr/>
          <w:p>
            <w:pPr>
              <w:pStyle w:val="Compact"/>
            </w:pPr>
            <w:r>
              <w:t xml:space="preserve">Дата регистрации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utm_content</w:t>
            </w:r>
          </w:p>
        </w:tc>
        <w:tc>
          <w:tcPr/>
          <w:p>
            <w:pPr>
              <w:pStyle w:val="Compact"/>
            </w:pPr>
            <w:r>
              <w:t xml:space="preserve">Тег материала Партнёра (если был)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topup_period</w:t>
            </w:r>
          </w:p>
        </w:tc>
        <w:tc>
          <w:tcPr/>
          <w:p>
            <w:pPr>
              <w:pStyle w:val="Compact"/>
            </w:pPr>
            <w:r>
              <w:t xml:space="preserve">Сумма пополнений пользователя за Отчётный период (₽)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</w:t>
            </w:r>
          </w:p>
        </w:tc>
        <w:tc>
          <w:tcPr/>
          <w:p>
            <w:pPr>
              <w:pStyle w:val="Compact"/>
            </w:pPr>
            <w:r>
              <w:t xml:space="preserve">Сумма Вознаграждения (15% от topup_period)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 / churned / refunded</w:t>
            </w:r>
          </w:p>
        </w:tc>
      </w:tr>
    </w:tbl>
    <w:p>
      <w:pPr>
        <w:pStyle w:val="BodyText"/>
      </w:pPr>
      <w:r>
        <w:t xml:space="preserve">Партнёр в течение 5 (пяти) рабочих дней с даты получения отчёта вправе направить Принципалу обоснованные возражения. При их отсутствии — отчёт считается согласованным.</w:t>
      </w:r>
    </w:p>
    <w:p>
      <w:pPr>
        <w:pStyle w:val="BodyText"/>
      </w:pPr>
      <w:r>
        <w:t xml:space="preserve">4.6.</w:t>
      </w:r>
      <w:r>
        <w:t xml:space="preserve"> </w:t>
      </w:r>
      <w:r>
        <w:rPr>
          <w:b/>
          <w:bCs/>
        </w:rPr>
        <w:t xml:space="preserve">Доступ к данным в реальном времени.</w:t>
      </w:r>
      <w:r>
        <w:t xml:space="preserve"> </w:t>
      </w:r>
      <w:r>
        <w:t xml:space="preserve">Принципал по согласованию предоставляет Партнёру read-only доступ к Google Sheets / личному кабинету с актуальными цифрами по Привлечённым пользователям.</w:t>
      </w:r>
      <w:r>
        <w:t xml:space="preserve"> </w:t>
      </w:r>
      <w:r>
        <w:rPr>
          <w:rStyle w:val="VerbatimChar"/>
        </w:rPr>
        <w:t xml:space="preserve">[НА УТОЧНЕНИЕ — на старте Google Sheets, дальше — dashboard в кабинете NeuroGate]</w:t>
      </w:r>
    </w:p>
    <w:p>
      <w:r>
        <w:pict>
          <v:rect style="width:0;height:1.5pt" o:hralign="center" o:hrstd="t" o:hr="t"/>
        </w:pict>
      </w:r>
    </w:p>
    <w:bookmarkEnd w:id="15"/>
    <w:bookmarkStart w:id="16" w:name="порядок-выплат"/>
    <w:p>
      <w:pPr>
        <w:pStyle w:val="Heading2"/>
      </w:pPr>
      <w:r>
        <w:t xml:space="preserve">5. Порядок выплат</w:t>
      </w:r>
    </w:p>
    <w:p>
      <w:pPr>
        <w:pStyle w:val="FirstParagraph"/>
      </w:pPr>
      <w:r>
        <w:t xml:space="preserve">5.1. Вознаграждение выплачивается ежемесячно,</w:t>
      </w:r>
      <w:r>
        <w:t xml:space="preserve"> </w:t>
      </w:r>
      <w:r>
        <w:rPr>
          <w:b/>
          <w:bCs/>
        </w:rPr>
        <w:t xml:space="preserve">не позднее 15 (пятнадцатого) числа</w:t>
      </w:r>
      <w:r>
        <w:t xml:space="preserve"> </w:t>
      </w:r>
      <w:r>
        <w:t xml:space="preserve">месяца, следующего за Отчётным.</w:t>
      </w:r>
    </w:p>
    <w:p>
      <w:pPr>
        <w:pStyle w:val="BodyText"/>
      </w:pPr>
      <w:r>
        <w:t xml:space="preserve">5.2. Выплата производится в рублях РФ по реквизитам, указанным Партнёром в Приложении №1 к Договору.</w:t>
      </w:r>
    </w:p>
    <w:p>
      <w:pPr>
        <w:pStyle w:val="BodyText"/>
      </w:pPr>
      <w:r>
        <w:t xml:space="preserve">5.3. Минимальная сумма к выплате —</w:t>
      </w:r>
      <w:r>
        <w:t xml:space="preserve"> </w:t>
      </w:r>
      <w:r>
        <w:rPr>
          <w:b/>
          <w:bCs/>
        </w:rPr>
        <w:t xml:space="preserve">5 000 ₽</w:t>
      </w:r>
      <w:r>
        <w:t xml:space="preserve">. Если за Отчётный период начислено меньше — сумма переносится на следующий период (накапливается до достижения минимума или окончания календарного года).</w:t>
      </w:r>
    </w:p>
    <w:p>
      <w:pPr>
        <w:pStyle w:val="BodyText"/>
      </w:pPr>
      <w:r>
        <w:t xml:space="preserve">5.4. По итогам календарного года, при наличии остатка менее 5 000 ₽, Принципал производит выплату остатка одним платежом до 31 января следующего года.</w:t>
      </w:r>
    </w:p>
    <w:p>
      <w:pPr>
        <w:pStyle w:val="BodyText"/>
      </w:pPr>
      <w:r>
        <w:t xml:space="preserve">5.5.</w:t>
      </w:r>
      <w:r>
        <w:t xml:space="preserve"> </w:t>
      </w:r>
      <w:r>
        <w:rPr>
          <w:b/>
          <w:bCs/>
        </w:rPr>
        <w:t xml:space="preserve">Налоги.</w:t>
      </w:r>
      <w:r>
        <w:t xml:space="preserve"> </w:t>
      </w:r>
      <w:r>
        <w:t xml:space="preserve">Принципал применяет упрощённую систему налогообложения (УСН) и не является плательщиком НДС. Сумма Вознаграждения (15%) указана как итоговая выплата Партнёру и включает все применимые налоги и сборы Партнёра. Партнёр самостоятельно исчисляет и уплачивает налоги, связанные с получением Вознаграждения, в соответствии с применимым к нему налоговым режимом.</w:t>
      </w:r>
    </w:p>
    <w:p>
      <w:pPr>
        <w:pStyle w:val="BodyText"/>
      </w:pPr>
      <w:r>
        <w:t xml:space="preserve">5.6. Если законодательство страны Партнёра требует выставления Принципалу счёта с НДС или иными налогами сверх Вознаграждения — Стороны согласовывают такое условие отдельным дополнительным соглашением.</w:t>
      </w:r>
    </w:p>
    <w:p>
      <w:r>
        <w:pict>
          <v:rect style="width:0;height:1.5pt" o:hralign="center" o:hrstd="t" o:hr="t"/>
        </w:pict>
      </w:r>
    </w:p>
    <w:bookmarkEnd w:id="16"/>
    <w:bookmarkStart w:id="17" w:name="обязанности-и-ограничения-партнёра"/>
    <w:p>
      <w:pPr>
        <w:pStyle w:val="Heading2"/>
      </w:pPr>
      <w:r>
        <w:t xml:space="preserve">6. Обязанности и ограничения Партнёра</w:t>
      </w:r>
    </w:p>
    <w:p>
      <w:pPr>
        <w:pStyle w:val="FirstParagraph"/>
      </w:pPr>
      <w:r>
        <w:t xml:space="preserve">6.1. Партнёр обязуется размещать Реферальные ссылки только в собственных каналах с органической аудиторией (статьи, рассылки, блог, социальные сети).</w:t>
      </w:r>
    </w:p>
    <w:p>
      <w:pPr>
        <w:pStyle w:val="BodyText"/>
      </w:pPr>
      <w:r>
        <w:t xml:space="preserve">6.2. Партнёру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:</w:t>
      </w:r>
      <w:r>
        <w:t xml:space="preserve"> </w:t>
      </w:r>
      <w:r>
        <w:t xml:space="preserve">- Использовать товарный знак, бренд и название «NeuroGate» / «ng-ai.ru» в рекламных кампаниях контекстной/таргетированной рекламы (Яндекс Директ, VK Ads, Telegram Ads и т.п.) без отдельного письменного согласования</w:t>
      </w:r>
      <w:r>
        <w:t xml:space="preserve"> </w:t>
      </w:r>
      <w:r>
        <w:t xml:space="preserve">- Регистрировать домены, поддомены, имена аккаунтов, содержащие слово «neurogate» или «ng-ai»</w:t>
      </w:r>
      <w:r>
        <w:t xml:space="preserve"> </w:t>
      </w:r>
      <w:r>
        <w:t xml:space="preserve">- Покупать брендовые ключевые запросы Сервиса в поисковых системах</w:t>
      </w:r>
      <w:r>
        <w:t xml:space="preserve"> </w:t>
      </w:r>
      <w:r>
        <w:t xml:space="preserve">- Использовать мотивированный трафик (платные регистрации, биржи активности, накрутка)</w:t>
      </w:r>
      <w:r>
        <w:t xml:space="preserve"> </w:t>
      </w:r>
      <w:r>
        <w:t xml:space="preserve">- Использовать спам-рассылки, в т.ч. рассылки на email-базы без подтверждённого opt-in</w:t>
      </w:r>
      <w:r>
        <w:t xml:space="preserve"> </w:t>
      </w:r>
      <w:r>
        <w:t xml:space="preserve">- Использовать клик-фермы, ботов, эмуляторы регистраций</w:t>
      </w:r>
      <w:r>
        <w:t xml:space="preserve"> </w:t>
      </w:r>
      <w:r>
        <w:t xml:space="preserve">- Размещать Реферальные ссылки на ресурсах с заведомо незаконным контентом</w:t>
      </w:r>
    </w:p>
    <w:p>
      <w:pPr>
        <w:pStyle w:val="BodyText"/>
      </w:pPr>
      <w:r>
        <w:t xml:space="preserve">6.3. При нарушении Партнёром п. 6.2 Принципал вправе:</w:t>
      </w:r>
      <w:r>
        <w:t xml:space="preserve"> </w:t>
      </w:r>
      <w:r>
        <w:t xml:space="preserve">- Аннулировать начисленное, но ещё не выплаченное Вознаграждение, связанное с регистрациями, привлечёнными с нарушением;</w:t>
      </w:r>
      <w:r>
        <w:t xml:space="preserve"> </w:t>
      </w:r>
      <w:r>
        <w:t xml:space="preserve">- Расторгнуть настоящий Договор в одностороннем внесудебном порядке, направив Партнёру письменное уведомление с указанием конкретного нарушения. Договор считается расторгнутым с даты получения Партнёром такого уведомления (положение п. 9.2 о 30-дневном сроке в этом случае не применяется).</w:t>
      </w:r>
    </w:p>
    <w:p>
      <w:r>
        <w:pict>
          <v:rect style="width:0;height:1.5pt" o:hralign="center" o:hrstd="t" o:hr="t"/>
        </w:pict>
      </w:r>
    </w:p>
    <w:bookmarkEnd w:id="17"/>
    <w:bookmarkStart w:id="18" w:name="обязанности-принципала"/>
    <w:p>
      <w:pPr>
        <w:pStyle w:val="Heading2"/>
      </w:pPr>
      <w:r>
        <w:t xml:space="preserve">7. Обязанности Принципала</w:t>
      </w:r>
    </w:p>
    <w:p>
      <w:pPr>
        <w:pStyle w:val="FirstParagraph"/>
      </w:pPr>
      <w:r>
        <w:t xml:space="preserve">7.1. Корректно учитывать Привлечённых пользователей в соответствии с п. 4.</w:t>
      </w:r>
    </w:p>
    <w:p>
      <w:pPr>
        <w:pStyle w:val="BodyText"/>
      </w:pPr>
      <w:r>
        <w:t xml:space="preserve">7.2. Своевременно предоставлять отчётность (п. 4.5) и производить выплаты (п. 5).</w:t>
      </w:r>
    </w:p>
    <w:p>
      <w:pPr>
        <w:pStyle w:val="BodyText"/>
      </w:pPr>
      <w:r>
        <w:t xml:space="preserve">7.3. Не вносить в одностороннем порядке изменений в размер Вознаграждения (15%) и Период учёта (24 месяца) для Привлечённых пользователей,</w:t>
      </w:r>
      <w:r>
        <w:t xml:space="preserve"> </w:t>
      </w:r>
      <w:r>
        <w:rPr>
          <w:b/>
          <w:bCs/>
        </w:rPr>
        <w:t xml:space="preserve">уже зарегистрированных</w:t>
      </w:r>
      <w:r>
        <w:t xml:space="preserve"> </w:t>
      </w:r>
      <w:r>
        <w:t xml:space="preserve">на дату изменения. Изменения, если будут, применяются только к пользователям, привлечённым после уведомления Партнёра.</w:t>
      </w:r>
    </w:p>
    <w:p>
      <w:pPr>
        <w:pStyle w:val="BodyText"/>
      </w:pPr>
      <w:r>
        <w:t xml:space="preserve">7.4. По запросу Партнёра предоставлять разъяснения по отчётам и расчётам Вознаграждения в течение 5 рабочих дней.</w:t>
      </w:r>
    </w:p>
    <w:p>
      <w:pPr>
        <w:pStyle w:val="BodyText"/>
      </w:pPr>
      <w:r>
        <w:t xml:space="preserve">7.5.</w:t>
      </w:r>
      <w:r>
        <w:t xml:space="preserve"> </w:t>
      </w:r>
      <w:r>
        <w:rPr>
          <w:b/>
          <w:bCs/>
        </w:rPr>
        <w:t xml:space="preserve">Заверения об обстоятельствах (достоверность сведений).</w:t>
      </w:r>
      <w:r>
        <w:t xml:space="preserve"> </w:t>
      </w:r>
      <w:r>
        <w:t xml:space="preserve">Принципал заверяет, что сведения и документы, предоставленные Партнёру в рамках процедуры due diligence и в реквизитах настоящего Договора (данные о регистрации ИП, ИНН, ОГРНИП, права на доменное имя</w:t>
      </w:r>
      <w:r>
        <w:t xml:space="preserve"> </w:t>
      </w:r>
      <w:r>
        <w:rPr>
          <w:rStyle w:val="VerbatimChar"/>
        </w:rPr>
        <w:t xml:space="preserve">ng-ai.ru</w:t>
      </w:r>
      <w:r>
        <w:t xml:space="preserve">, права на использование коммерческого обозначения «NeuroGate» в значении ст. 1538–1541 ГК РФ), являются достоверными и актуальными на дату заключения Договора. Принципал подтверждает, что коммерческое обозначение «NeuroGate» используется им добросовестно и непрерывно с даты начала эксплуатации Сервиса; на дату заключения Договора заявка на регистрацию обозначения в качестве товарного знака не подавалась. В случае последующего изменения указанных сведений или подачи такой заявки Принципал уведомляет Партнёра в течение 10 (десяти) рабочих дней. Партнёр несёт аналогичную обязанность в отношении собственных сведений и документов.</w:t>
      </w:r>
    </w:p>
    <w:p>
      <w:pPr>
        <w:pStyle w:val="BodyText"/>
      </w:pPr>
      <w:r>
        <w:t xml:space="preserve">Стороны подтверждают, что заверения, предоставленные по настоящему пункту 7.5, являются</w:t>
      </w:r>
      <w:r>
        <w:t xml:space="preserve"> </w:t>
      </w:r>
      <w:r>
        <w:rPr>
          <w:b/>
          <w:bCs/>
        </w:rPr>
        <w:t xml:space="preserve">заверениями об обстоятельствах в смысле статьи 431.2 Гражданского кодекса РФ</w:t>
      </w:r>
      <w:r>
        <w:t xml:space="preserve"> </w:t>
      </w:r>
      <w:r>
        <w:t xml:space="preserve">со всеми вытекающими правовыми последствиями. Заверениями об обстоятельствах для целей настоящего Договора признаются</w:t>
      </w:r>
      <w:r>
        <w:t xml:space="preserve"> </w:t>
      </w:r>
      <w:r>
        <w:rPr>
          <w:b/>
          <w:bCs/>
        </w:rPr>
        <w:t xml:space="preserve">исключительно</w:t>
      </w:r>
      <w:r>
        <w:t xml:space="preserve"> </w:t>
      </w:r>
      <w:r>
        <w:t xml:space="preserve">обстоятельства, прямо и конкретно перечисленные в настоящем пункте 7.5; иные заявления и заверения Сторон под действие статьи 431.2 ГК РФ не подпадают.</w:t>
      </w:r>
    </w:p>
    <w:p>
      <w:r>
        <w:pict>
          <v:rect style="width:0;height:1.5pt" o:hralign="center" o:hrstd="t" o:hr="t"/>
        </w:pict>
      </w:r>
    </w:p>
    <w:bookmarkEnd w:id="18"/>
    <w:bookmarkStart w:id="19" w:name="конфиденциальность-и-персональные-данные"/>
    <w:p>
      <w:pPr>
        <w:pStyle w:val="Heading2"/>
      </w:pPr>
      <w:r>
        <w:t xml:space="preserve">8. Конфиденциальность и персональные данные</w:t>
      </w:r>
    </w:p>
    <w:p>
      <w:pPr>
        <w:pStyle w:val="FirstParagraph"/>
      </w:pPr>
      <w:r>
        <w:t xml:space="preserve">8.1. Стороны не разглашают условия настоящего Договора и финансовые показатели друг друга третьим лицам без письменного согласия.</w:t>
      </w:r>
    </w:p>
    <w:p>
      <w:pPr>
        <w:pStyle w:val="BodyText"/>
      </w:pPr>
      <w:r>
        <w:t xml:space="preserve">8.2. Принципал не передаёт Партнёру персональные данные Привлечённых пользователей. В отчётах указывается только обезличенный идентификатор (хеш user_id).</w:t>
      </w:r>
    </w:p>
    <w:p>
      <w:pPr>
        <w:pStyle w:val="BodyText"/>
      </w:pPr>
      <w:r>
        <w:t xml:space="preserve">8.3. Принципал обрабатывает персональные данные пользователей в соответствии с Политикой конфиденциальности, опубликованной по адресу</w:t>
      </w:r>
      <w:r>
        <w:t xml:space="preserve"> </w:t>
      </w:r>
      <w:r>
        <w:rPr>
          <w:b/>
          <w:bCs/>
        </w:rPr>
        <w:t xml:space="preserve">https://ng-ai.ru/privacy</w:t>
      </w:r>
      <w:r>
        <w:t xml:space="preserve">, и Федеральным законом РФ № 152-ФЗ «О персональных данных». Оператором персональных данных является Принципал (реквизиты в п. 0 и п. 12).</w:t>
      </w:r>
    </w:p>
    <w:p>
      <w:r>
        <w:pict>
          <v:rect style="width:0;height:1.5pt" o:hralign="center" o:hrstd="t" o:hr="t"/>
        </w:pict>
      </w:r>
    </w:p>
    <w:bookmarkEnd w:id="19"/>
    <w:bookmarkStart w:id="20" w:name="срок-и-расторжение"/>
    <w:p>
      <w:pPr>
        <w:pStyle w:val="Heading2"/>
      </w:pPr>
      <w:r>
        <w:t xml:space="preserve">9. Срок и расторжение</w:t>
      </w:r>
    </w:p>
    <w:p>
      <w:pPr>
        <w:pStyle w:val="FirstParagraph"/>
      </w:pPr>
      <w:r>
        <w:t xml:space="preserve">9.1. Договор заключён на неопределённый срок и вступает в силу с даты подписания обеими Сторонами.</w:t>
      </w:r>
    </w:p>
    <w:p>
      <w:pPr>
        <w:pStyle w:val="BodyText"/>
      </w:pPr>
      <w:r>
        <w:t xml:space="preserve">9.2. Любая Сторона вправе расторгнуть Договор в одностороннем порядке, уведомив другую Сторону не менее чем за 30 (тридцать) календарных дней.</w:t>
      </w:r>
    </w:p>
    <w:p>
      <w:pPr>
        <w:pStyle w:val="BodyText"/>
      </w:pPr>
      <w:r>
        <w:t xml:space="preserve">9.3.</w:t>
      </w:r>
      <w:r>
        <w:t xml:space="preserve"> </w:t>
      </w:r>
      <w:r>
        <w:rPr>
          <w:b/>
          <w:bCs/>
        </w:rPr>
        <w:t xml:space="preserve">При расторжении Договора обязательства Принципала по выплате Вознаграждения за уже Привлечённых пользователей сохраняются</w:t>
      </w:r>
      <w:r>
        <w:t xml:space="preserve"> </w:t>
      </w:r>
      <w:r>
        <w:t xml:space="preserve">до окончания их Периода учёта (24 мес с даты регистрации каждого).</w:t>
      </w:r>
    </w:p>
    <w:p>
      <w:pPr>
        <w:pStyle w:val="BodyText"/>
      </w:pPr>
      <w:r>
        <w:t xml:space="preserve">9.4. После расторжения новые регистрации по Реферальным ссылкам Партнёра не учитываются.</w:t>
      </w:r>
    </w:p>
    <w:p>
      <w:r>
        <w:pict>
          <v:rect style="width:0;height:1.5pt" o:hralign="center" o:hrstd="t" o:hr="t"/>
        </w:pict>
      </w:r>
    </w:p>
    <w:bookmarkEnd w:id="20"/>
    <w:bookmarkStart w:id="21" w:name="ответственность"/>
    <w:p>
      <w:pPr>
        <w:pStyle w:val="Heading2"/>
      </w:pPr>
      <w:r>
        <w:t xml:space="preserve">10. Ответственность</w:t>
      </w:r>
    </w:p>
    <w:p>
      <w:pPr>
        <w:pStyle w:val="FirstParagraph"/>
      </w:pPr>
      <w:r>
        <w:t xml:space="preserve">10.1. За нарушение сроков выплаты Принципал уплачивает пеню в размере 0,1% от просроченной суммы за каждый день просрочки, но не более 15% от суммы.</w:t>
      </w:r>
    </w:p>
    <w:p>
      <w:pPr>
        <w:pStyle w:val="BodyText"/>
      </w:pPr>
      <w:r>
        <w:t xml:space="preserve">10.2. За нарушение п. 6.2 Партнёр обязуется возместить Принципалу</w:t>
      </w:r>
      <w:r>
        <w:t xml:space="preserve"> </w:t>
      </w:r>
      <w:r>
        <w:rPr>
          <w:b/>
          <w:bCs/>
        </w:rPr>
        <w:t xml:space="preserve">документально подтверждённые прямые убытки</w:t>
      </w:r>
      <w:r>
        <w:t xml:space="preserve">, в том числе суммы штрафов и санкций государственных органов, наложенных на Принципала вследствие действий Партнёра.</w:t>
      </w:r>
      <w:r>
        <w:t xml:space="preserve"> </w:t>
      </w:r>
      <w:r>
        <w:rPr>
          <w:b/>
          <w:bCs/>
        </w:rPr>
        <w:t xml:space="preserve">Размер ответственности Партнёра ограничен совокупной суммой Вознаграждения, выплаченной Принципалом Партнёру за 12 (двенадцать) календарных месяцев, предшествующих дате предъявления требования.</w:t>
      </w:r>
      <w:r>
        <w:t xml:space="preserve"> </w:t>
      </w:r>
      <w:r>
        <w:t xml:space="preserve">Упущенная выгода Принципала возмещению не подлежит. Требование Принципала должно содержать обоснование и документальное подтверждение факта и размера убытков; Партнёр вправе запросить дополнительные подтверждающие документы до удовлетворения требования.</w:t>
      </w:r>
    </w:p>
    <w:p>
      <w:pPr>
        <w:pStyle w:val="BodyText"/>
      </w:pPr>
      <w:r>
        <w:t xml:space="preserve">10.3. Стороны освобождаются от ответственности при наступлении обстоятельств непреодолимой силы (форс-мажор).</w:t>
      </w:r>
    </w:p>
    <w:p>
      <w:r>
        <w:pict>
          <v:rect style="width:0;height:1.5pt" o:hralign="center" o:hrstd="t" o:hr="t"/>
        </w:pict>
      </w:r>
    </w:p>
    <w:bookmarkEnd w:id="21"/>
    <w:bookmarkStart w:id="22" w:name="применимое-право-и-споры"/>
    <w:p>
      <w:pPr>
        <w:pStyle w:val="Heading2"/>
      </w:pPr>
      <w:r>
        <w:t xml:space="preserve">11. Применимое право и споры</w:t>
      </w:r>
    </w:p>
    <w:p>
      <w:pPr>
        <w:pStyle w:val="FirstParagraph"/>
      </w:pPr>
      <w:r>
        <w:t xml:space="preserve">11.1. Договор регулируется законодательством Российской Федерации.</w:t>
      </w:r>
    </w:p>
    <w:p>
      <w:pPr>
        <w:pStyle w:val="BodyText"/>
      </w:pPr>
      <w:r>
        <w:t xml:space="preserve">11.2. Споры решаются путём переговоров. При невозможности — в Арбитражном суде Калининградской области (по месту нахождения Принципала). Обязательный претензионный порядок: срок ответа на письменную претензию — 30 (тридцать) календарных дней с даты её получения.</w:t>
      </w:r>
    </w:p>
    <w:p>
      <w:pPr>
        <w:pStyle w:val="BodyText"/>
      </w:pPr>
      <w:r>
        <w:t xml:space="preserve">11.3.</w:t>
      </w:r>
      <w:r>
        <w:t xml:space="preserve"> </w:t>
      </w:r>
      <w:r>
        <w:rPr>
          <w:b/>
          <w:bCs/>
        </w:rPr>
        <w:t xml:space="preserve">Порядок уведомлений.</w:t>
      </w:r>
      <w:r>
        <w:t xml:space="preserve"> </w:t>
      </w:r>
      <w:r>
        <w:t xml:space="preserve">Все уведомления, претензии, отчёты и иные документы, предусмотренные настоящим Договором, направляются Сторонами по адресам электронной почты, указанным в п. 0 / п. 12 / Приложении №1. Электронное письмо считается полученным адресатом по истечении 3 (трёх) рабочих дней с даты его отправки, если адресат не сообщил о неполучении. Стороны вправе дополнительно направлять документы заказной почтой или курьерской службой по адресам, указанным в реквизитах.</w:t>
      </w:r>
    </w:p>
    <w:p>
      <w:pPr>
        <w:pStyle w:val="BodyText"/>
      </w:pPr>
      <w:r>
        <w:t xml:space="preserve">11.4.</w:t>
      </w:r>
      <w:r>
        <w:t xml:space="preserve"> </w:t>
      </w:r>
      <w:r>
        <w:rPr>
          <w:b/>
          <w:bCs/>
        </w:rPr>
        <w:t xml:space="preserve">Порядок подписания.</w:t>
      </w:r>
      <w:r>
        <w:t xml:space="preserve"> </w:t>
      </w:r>
      <w:r>
        <w:t xml:space="preserve">Стороны допускают подписание настоящего Договора, его приложений и дополнительных соглашений путём обмена сканированными копиями документов, подписанных уполномоченными представителями Сторон, по адресам электронной почты, указанным в реквизитах. Такие сканированные копии имеют силу оригиналов. Бумажные оригиналы подписываются Сторонами и направляются почтой / курьерской службой в адрес каждой из Сторон в течение 30 (тридцати) календарных дней с даты подписания скан-копий.</w:t>
      </w:r>
    </w:p>
    <w:p>
      <w:r>
        <w:pict>
          <v:rect style="width:0;height:1.5pt" o:hralign="center" o:hrstd="t" o:hr="t"/>
        </w:pict>
      </w:r>
    </w:p>
    <w:bookmarkEnd w:id="22"/>
    <w:bookmarkStart w:id="23" w:name="реквизиты-сторон"/>
    <w:p>
      <w:pPr>
        <w:pStyle w:val="Heading2"/>
      </w:pPr>
      <w:r>
        <w:t xml:space="preserve">12. Реквизиты сторон</w:t>
      </w:r>
    </w:p>
    <w:p>
      <w:pPr>
        <w:pStyle w:val="FirstParagraph"/>
      </w:pPr>
      <w:r>
        <w:rPr>
          <w:b/>
          <w:bCs/>
        </w:rPr>
        <w:t xml:space="preserve">Принципал:</w:t>
      </w:r>
      <w:r>
        <w:t xml:space="preserve"> </w:t>
      </w:r>
      <w:r>
        <w:t xml:space="preserve">ИП Ваулина Юлия Андреевна</w:t>
      </w:r>
      <w:r>
        <w:t xml:space="preserve"> </w:t>
      </w:r>
      <w:r>
        <w:t xml:space="preserve">ИНН 390507907909</w:t>
      </w:r>
      <w:r>
        <w:t xml:space="preserve"> </w:t>
      </w:r>
      <w:r>
        <w:t xml:space="preserve">ОГРНИП 326390000025528</w:t>
      </w:r>
      <w:r>
        <w:t xml:space="preserve"> </w:t>
      </w:r>
      <w:r>
        <w:t xml:space="preserve">Адрес: Россия, г. Калининград, ул. Бежецкая, д. 2, кв. 9</w:t>
      </w:r>
      <w:r>
        <w:t xml:space="preserve"> </w:t>
      </w:r>
      <w:r>
        <w:t xml:space="preserve">Email: support@ng-ai.ru</w:t>
      </w:r>
      <w:r>
        <w:t xml:space="preserve"> </w:t>
      </w:r>
      <w:r>
        <w:t xml:space="preserve">Расчётный счёт:</w:t>
      </w:r>
      <w:r>
        <w:t xml:space="preserve"> </w:t>
      </w:r>
      <w:r>
        <w:rPr>
          <w:rStyle w:val="VerbatimChar"/>
        </w:rPr>
        <w:t xml:space="preserve">[НА УТОЧНЕНИЕ]</w:t>
      </w:r>
    </w:p>
    <w:p>
      <w:pPr>
        <w:pStyle w:val="BodyText"/>
      </w:pPr>
      <w:r>
        <w:rPr>
          <w:b/>
          <w:bCs/>
        </w:rPr>
        <w:t xml:space="preserve">Партнёр:</w:t>
      </w:r>
      <w:r>
        <w:t xml:space="preserve"> </w:t>
      </w:r>
      <w:r>
        <w:rPr>
          <w:rStyle w:val="VerbatimChar"/>
        </w:rPr>
        <w:t xml:space="preserve">[НА УТОЧНЕНИЕ]</w:t>
      </w:r>
    </w:p>
    <w:p>
      <w:r>
        <w:pict>
          <v:rect style="width:0;height:1.5pt" o:hralign="center" o:hrstd="t" o:hr="t"/>
        </w:pict>
      </w:r>
    </w:p>
    <w:bookmarkEnd w:id="23"/>
    <w:bookmarkStart w:id="24" w:name="X2aa47f424ac6eb305113e9ba359649728fbb586"/>
    <w:p>
      <w:pPr>
        <w:pStyle w:val="Heading2"/>
      </w:pPr>
      <w:r>
        <w:t xml:space="preserve">Приложение № 1. Реквизиты для выплаты Вознаграждения Партнёру</w:t>
      </w:r>
    </w:p>
    <w:p>
      <w:pPr>
        <w:pStyle w:val="FirstParagraph"/>
      </w:pPr>
      <w:r>
        <w:t xml:space="preserve">Заполняется Партнёром по следующему шаблону: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Юридическое наименование Партнёра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ИНН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ОГРН / ОГРНИП / БИН / УНП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Юридический адрес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Почтовый адрес (если отличается)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Расчётный счёт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Наименование банка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БИК банка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Корреспондентский счёт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ФИО контактного лица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Email для уведомлений и отчётов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Телефон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Применяемая система налогообложения / статус по НДС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приложение-2.-образец-реферальной-ссылки"/>
    <w:p>
      <w:pPr>
        <w:pStyle w:val="Heading2"/>
      </w:pPr>
      <w:r>
        <w:t xml:space="preserve">Приложение № 2. Образец Реферальной ссылки</w:t>
      </w:r>
    </w:p>
    <w:p>
      <w:pPr>
        <w:pStyle w:val="SourceCode"/>
      </w:pPr>
      <w:r>
        <w:rPr>
          <w:rStyle w:val="VerbatimChar"/>
        </w:rPr>
        <w:t xml:space="preserve">https://ng-ai.ru/?utm_source=unisender&amp;utm_medium=affiliate&amp;utm_campaign=neuromedia&amp;utm_content=art-001</w:t>
      </w:r>
    </w:p>
    <w:p>
      <w:pPr>
        <w:pStyle w:val="FirstParagraph"/>
      </w:pPr>
      <w:r>
        <w:t xml:space="preserve">Где</w:t>
      </w:r>
      <w:r>
        <w:t xml:space="preserve"> </w:t>
      </w:r>
      <w:r>
        <w:rPr>
          <w:rStyle w:val="VerbatimChar"/>
        </w:rPr>
        <w:t xml:space="preserve">utm_content=art-001</w:t>
      </w:r>
      <w:r>
        <w:t xml:space="preserve"> </w:t>
      </w:r>
      <w:r>
        <w:t xml:space="preserve">— тег конкретного материала Партнёра (статья, рассылка, пост). Партнёр самостоятельно ведёт реестр своих тегов; в отчётности Принципала тег отображается без расшифровки.</w:t>
      </w:r>
    </w:p>
    <w:p>
      <w:r>
        <w:pict>
          <v:rect style="width:0;height:1.5pt" o:hralign="center" o:hrstd="t" o:hr="t"/>
        </w:pict>
      </w:r>
    </w:p>
    <w:bookmarkEnd w:id="25"/>
    <w:bookmarkStart w:id="26" w:name="приложение-3.-шаблон-ежемесячного-отчёта"/>
    <w:p>
      <w:pPr>
        <w:pStyle w:val="Heading2"/>
      </w:pPr>
      <w:r>
        <w:t xml:space="preserve">Приложение № 3. Шаблон ежемесячного отчёта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user_hash</w:t>
            </w:r>
          </w:p>
        </w:tc>
        <w:tc>
          <w:tcPr/>
          <w:p>
            <w:pPr>
              <w:pStyle w:val="Compact"/>
            </w:pPr>
            <w:r>
              <w:t xml:space="preserve">reg_date</w:t>
            </w:r>
          </w:p>
        </w:tc>
        <w:tc>
          <w:tcPr/>
          <w:p>
            <w:pPr>
              <w:pStyle w:val="Compact"/>
            </w:pPr>
            <w:r>
              <w:t xml:space="preserve">utm_content</w:t>
            </w:r>
          </w:p>
        </w:tc>
        <w:tc>
          <w:tcPr/>
          <w:p>
            <w:pPr>
              <w:pStyle w:val="Compact"/>
            </w:pPr>
            <w:r>
              <w:t xml:space="preserve">topup_period</w:t>
            </w:r>
          </w:p>
        </w:tc>
        <w:tc>
          <w:tcPr/>
          <w:p>
            <w:pPr>
              <w:pStyle w:val="Compact"/>
            </w:pPr>
            <w:r>
              <w:t xml:space="preserve">reward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8f2a…91b</w:t>
            </w:r>
          </w:p>
        </w:tc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t xml:space="preserve">art-001</w:t>
            </w:r>
          </w:p>
        </w:tc>
        <w:tc>
          <w:tcPr/>
          <w:p>
            <w:pPr>
              <w:pStyle w:val="Compact"/>
            </w:pPr>
            <w:r>
              <w:t xml:space="preserve">1 000 ₽</w:t>
            </w:r>
          </w:p>
        </w:tc>
        <w:tc>
          <w:tcPr/>
          <w:p>
            <w:pPr>
              <w:pStyle w:val="Compact"/>
            </w:pPr>
            <w:r>
              <w:t xml:space="preserve">150 ₽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7c1d…44e</w:t>
            </w:r>
          </w:p>
        </w:tc>
        <w:tc>
          <w:tcPr/>
          <w:p>
            <w:pPr>
              <w:pStyle w:val="Compact"/>
            </w:pPr>
            <w:r>
              <w:t xml:space="preserve">2026-05-18</w:t>
            </w:r>
          </w:p>
        </w:tc>
        <w:tc>
          <w:tcPr/>
          <w:p>
            <w:pPr>
              <w:pStyle w:val="Compact"/>
            </w:pPr>
            <w:r>
              <w:t xml:space="preserve">art-002</w:t>
            </w:r>
          </w:p>
        </w:tc>
        <w:tc>
          <w:tcPr/>
          <w:p>
            <w:pPr>
              <w:pStyle w:val="Compact"/>
            </w:pPr>
            <w:r>
              <w:t xml:space="preserve">0 ₽</w:t>
            </w:r>
          </w:p>
        </w:tc>
        <w:tc>
          <w:tcPr/>
          <w:p>
            <w:pPr>
              <w:pStyle w:val="Compact"/>
            </w:pPr>
            <w:r>
              <w:t xml:space="preserve">0 ₽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a9b3…02f</w:t>
            </w:r>
          </w:p>
        </w:tc>
        <w:tc>
          <w:tcPr/>
          <w:p>
            <w:pPr>
              <w:pStyle w:val="Compact"/>
            </w:pPr>
            <w:r>
              <w:t xml:space="preserve">2026-04-08</w:t>
            </w:r>
          </w:p>
        </w:tc>
        <w:tc>
          <w:tcPr/>
          <w:p>
            <w:pPr>
              <w:pStyle w:val="Compact"/>
            </w:pPr>
            <w:r>
              <w:t xml:space="preserve">newsletter-may</w:t>
            </w:r>
          </w:p>
        </w:tc>
        <w:tc>
          <w:tcPr/>
          <w:p>
            <w:pPr>
              <w:pStyle w:val="Compact"/>
            </w:pPr>
            <w:r>
              <w:t xml:space="preserve">5 000 ₽</w:t>
            </w:r>
          </w:p>
        </w:tc>
        <w:tc>
          <w:tcPr/>
          <w:p>
            <w:pPr>
              <w:pStyle w:val="Compact"/>
            </w:pPr>
            <w:r>
              <w:t xml:space="preserve">750 ₽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</w:tbl>
    <w:p>
      <w:pPr>
        <w:pStyle w:val="BodyText"/>
      </w:pPr>
      <w:r>
        <w:t xml:space="preserve">Итого к выплате за май 2026:</w:t>
      </w:r>
      <w:r>
        <w:t xml:space="preserve"> </w:t>
      </w:r>
      <w:r>
        <w:rPr>
          <w:b/>
          <w:bCs/>
        </w:rPr>
        <w:t xml:space="preserve">900 ₽</w:t>
      </w:r>
      <w:r>
        <w:t xml:space="preserve"> </w:t>
      </w:r>
      <w:r>
        <w:t xml:space="preserve">(накапливается, выплата при достижении 5 000 ₽).</w:t>
      </w:r>
    </w:p>
    <w:p>
      <w:r>
        <w:pict>
          <v:rect style="width:0;height:1.5pt" o:hralign="center" o:hrstd="t" o:hr="t"/>
        </w:pict>
      </w:r>
    </w:p>
    <w:bookmarkEnd w:id="26"/>
    <w:bookmarkStart w:id="30" w:name="приложение-4.-анти-фрод-критерии"/>
    <w:p>
      <w:pPr>
        <w:pStyle w:val="Heading2"/>
      </w:pPr>
      <w:r>
        <w:t xml:space="preserve">Приложение № 4. Анти-фрод критерии</w:t>
      </w:r>
    </w:p>
    <w:p>
      <w:pPr>
        <w:pStyle w:val="FirstParagraph"/>
      </w:pPr>
      <w:r>
        <w:t xml:space="preserve">Принципал вправе</w:t>
      </w:r>
      <w:r>
        <w:t xml:space="preserve"> </w:t>
      </w:r>
      <w:r>
        <w:rPr>
          <w:b/>
          <w:bCs/>
        </w:rPr>
        <w:t xml:space="preserve">не учитывать</w:t>
      </w:r>
      <w:r>
        <w:t xml:space="preserve"> </w:t>
      </w:r>
      <w:r>
        <w:t xml:space="preserve">как Привлечённого пользователя регистрацию, если она подпадает под один или несколько следующих критериев. Список является закрытым; расширение списка возможно только по согласованию Сторон путём подписания дополнительного соглашения.</w:t>
      </w:r>
    </w:p>
    <w:bookmarkStart w:id="27" w:name="технические-дубликаты"/>
    <w:p>
      <w:pPr>
        <w:pStyle w:val="Heading3"/>
      </w:pPr>
      <w:r>
        <w:t xml:space="preserve">4.1. Технические дубликаты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Дубликат email</w:t>
            </w:r>
          </w:p>
        </w:tc>
        <w:tc>
          <w:tcPr/>
          <w:p>
            <w:pPr>
              <w:pStyle w:val="Compact"/>
            </w:pPr>
            <w:r>
              <w:t xml:space="preserve">Совпадение email после нормализации (удаление точек и</w:t>
            </w:r>
            <w:r>
              <w:t xml:space="preserve"> </w:t>
            </w:r>
            <w:r>
              <w:rPr>
                <w:rStyle w:val="VerbatimChar"/>
              </w:rPr>
              <w:t xml:space="preserve">+tag</w:t>
            </w:r>
            <w:r>
              <w:t xml:space="preserve"> </w:t>
            </w:r>
            <w:r>
              <w:t xml:space="preserve">для gmail-подобных доменов) с уже существующей учётной записью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Дубликат верифицированного телефона</w:t>
            </w:r>
          </w:p>
        </w:tc>
        <w:tc>
          <w:tcPr/>
          <w:p>
            <w:pPr>
              <w:pStyle w:val="Compact"/>
            </w:pPr>
            <w:r>
              <w:t xml:space="preserve">Совпадение номера телефона, подтверждённого через SMS-код, с уже существующей учётной записью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Дубликат IP + device fingerprint</w:t>
            </w:r>
          </w:p>
        </w:tc>
        <w:tc>
          <w:tcPr/>
          <w:p>
            <w:pPr>
              <w:pStyle w:val="Compact"/>
            </w:pPr>
            <w:r>
              <w:t xml:space="preserve">Регистрация с того же IP-адреса и того же отпечатка устройства (браузер + ОС + canvas/WebGL fingerprint) в окне ≤ 24 часов с уже существующей регистрацией</w:t>
            </w:r>
          </w:p>
        </w:tc>
      </w:tr>
    </w:tbl>
    <w:bookmarkEnd w:id="27"/>
    <w:bookmarkStart w:id="28" w:name="признаки-фрода"/>
    <w:p>
      <w:pPr>
        <w:pStyle w:val="Heading3"/>
      </w:pPr>
      <w:r>
        <w:t xml:space="preserve">4.2. Признаки фрода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Одноразовые email-сервисы</w:t>
            </w:r>
          </w:p>
        </w:tc>
        <w:tc>
          <w:tcPr/>
          <w:p>
            <w:pPr>
              <w:pStyle w:val="Compact"/>
            </w:pPr>
            <w:r>
              <w:t xml:space="preserve">Регистрация с использованием доменов из публичного списка disposable email providers (mailinator, tempmail, guerrillamail и т.п.)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Аномальные паттерны UTM</w:t>
            </w:r>
          </w:p>
        </w:tc>
        <w:tc>
          <w:tcPr/>
          <w:p>
            <w:pPr>
              <w:pStyle w:val="Compact"/>
            </w:pPr>
            <w:r>
              <w:t xml:space="preserve">Более 5 (пяти) регистраций с одного значения</w:t>
            </w:r>
            <w:r>
              <w:t xml:space="preserve"> </w:t>
            </w:r>
            <w:r>
              <w:rPr>
                <w:rStyle w:val="VerbatimChar"/>
              </w:rPr>
              <w:t xml:space="preserve">utm_content</w:t>
            </w:r>
            <w:r>
              <w:t xml:space="preserve"> </w:t>
            </w:r>
            <w:r>
              <w:t xml:space="preserve">в течение 1 (одного) часа</w:t>
            </w:r>
            <w:r>
              <w:t xml:space="preserve"> </w:t>
            </w:r>
            <w:r>
              <w:rPr>
                <w:b/>
                <w:bCs/>
              </w:rPr>
              <w:t xml:space="preserve">при одновременном наличии</w:t>
            </w:r>
            <w:r>
              <w:t xml:space="preserve"> </w:t>
            </w:r>
            <w:r>
              <w:t xml:space="preserve">дополнительных признаков фрода (совпадающий user-agent, IP в одном /24-диапазоне, отсутствие SMS-верификации, нулевая активность после регистрации). Регистрации, связанные с подтверждённой публикацией Партнёра с высоким органическим охватом, под этот критерий не подпадают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Блокировка пользователя</w:t>
            </w:r>
          </w:p>
        </w:tc>
        <w:tc>
          <w:tcPr/>
          <w:p>
            <w:pPr>
              <w:pStyle w:val="Compact"/>
            </w:pPr>
            <w:r>
              <w:t xml:space="preserve">Учётная запись пользователя заблокирована Принципалом за нарушение Публичной оферты Сервиса (https://ng-ai.ru/public-offer)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Возврат / chargeback</w:t>
            </w:r>
          </w:p>
        </w:tc>
        <w:tc>
          <w:tcPr/>
          <w:p>
            <w:pPr>
              <w:pStyle w:val="Compact"/>
            </w:pPr>
            <w:r>
              <w:t xml:space="preserve">Применяется по правилам п. 3.5 Договора</w:t>
            </w:r>
          </w:p>
        </w:tc>
      </w:tr>
    </w:tbl>
    <w:bookmarkEnd w:id="28"/>
    <w:bookmarkStart w:id="29" w:name="процедура-отклонения-и-обжалования"/>
    <w:p>
      <w:pPr>
        <w:pStyle w:val="Heading3"/>
      </w:pPr>
      <w:r>
        <w:t xml:space="preserve">4.3. Процедура отклонения и обжалования</w:t>
      </w:r>
    </w:p>
    <w:p>
      <w:pPr>
        <w:pStyle w:val="FirstParagraph"/>
      </w:pPr>
      <w:r>
        <w:t xml:space="preserve">4.3.1. Принципал ведёт лог отклонений в системе учёта.</w:t>
      </w:r>
    </w:p>
    <w:p>
      <w:pPr>
        <w:pStyle w:val="BodyText"/>
      </w:pPr>
      <w:r>
        <w:t xml:space="preserve">4.3.2. По запросу Партнёра (но не чаще 1 (одного) раза в Отчётный период) Принципал предоставляет выгрузку отклонённых регистраций за Отчётный период в формате: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user_hash</w:t>
            </w:r>
          </w:p>
        </w:tc>
        <w:tc>
          <w:tcPr/>
          <w:p>
            <w:pPr>
              <w:pStyle w:val="Compact"/>
            </w:pPr>
            <w:r>
              <w:t xml:space="preserve">reg_date</w:t>
            </w:r>
          </w:p>
        </w:tc>
        <w:tc>
          <w:tcPr/>
          <w:p>
            <w:pPr>
              <w:pStyle w:val="Compact"/>
            </w:pPr>
            <w:r>
              <w:t xml:space="preserve">utm_content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f3e1…7ad</w:t>
            </w:r>
          </w:p>
        </w:tc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t xml:space="preserve">art-001</w:t>
            </w:r>
          </w:p>
        </w:tc>
        <w:tc>
          <w:tcPr/>
          <w:p>
            <w:pPr>
              <w:pStyle w:val="Compact"/>
            </w:pPr>
            <w:r>
              <w:t xml:space="preserve">duplicate_email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8b27…12c</w:t>
            </w:r>
          </w:p>
        </w:tc>
        <w:tc>
          <w:tcPr/>
          <w:p>
            <w:pPr>
              <w:pStyle w:val="Compact"/>
            </w:pPr>
            <w:r>
              <w:t xml:space="preserve">2026-05-14</w:t>
            </w:r>
          </w:p>
        </w:tc>
        <w:tc>
          <w:tcPr/>
          <w:p>
            <w:pPr>
              <w:pStyle w:val="Compact"/>
            </w:pPr>
            <w:r>
              <w:t xml:space="preserve">art-002</w:t>
            </w:r>
          </w:p>
        </w:tc>
        <w:tc>
          <w:tcPr/>
          <w:p>
            <w:pPr>
              <w:pStyle w:val="Compact"/>
            </w:pPr>
            <w:r>
              <w:t xml:space="preserve">disposable_email</w:t>
            </w:r>
          </w:p>
        </w:tc>
      </w:tr>
    </w:tbl>
    <w:p>
      <w:pPr>
        <w:pStyle w:val="BodyText"/>
      </w:pPr>
      <w:r>
        <w:t xml:space="preserve">Раскрытие персональных данных (email, IP, телефон) в выгрузке</w:t>
      </w:r>
      <w:r>
        <w:t xml:space="preserve"> </w:t>
      </w:r>
      <w:r>
        <w:rPr>
          <w:b/>
          <w:bCs/>
        </w:rPr>
        <w:t xml:space="preserve">не производится</w:t>
      </w:r>
      <w:r>
        <w:t xml:space="preserve">.</w:t>
      </w:r>
    </w:p>
    <w:p>
      <w:pPr>
        <w:pStyle w:val="BodyText"/>
      </w:pPr>
      <w:r>
        <w:t xml:space="preserve">4.3.3. Партнёр вправе оспорить конкретное отклонение в течение 10 (десяти) рабочих дней с даты получения выгрузки. Принципал в течение 10 (десяти) рабочих дней предоставляет обоснованный ответ. При неурегулировании спор рассматривается в порядке п. 11 Договора.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2026-05-20T08:16:53Z</dcterms:created>
  <dcterms:modified xsi:type="dcterms:W3CDTF">2026-05-20T08:16:53Z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wner">
    <vt:lpwstr>max</vt:lpwstr>
  </property>
  <property fmtid="{D5CDD505-2E9C-101B-9397-08002B2CF9AE}" pid="3" name="prev_version">
    <vt:lpwstr>affiliate-template-unisender-2026-05-06.md</vt:lpwstr>
  </property>
  <property fmtid="{D5CDD505-2E9C-101B-9397-08002B2CF9AE}" pid="4" name="purpose">
    <vt:lpwstr>партнёрский договор (revenue share) NeuroGate × Unisender Neuromedia. Версия v0.3 — после доп. комментария юриста партнёра (Саша Сараев) от 20.05.2026 по ст. 431.2 ГК РФ.</vt:lpwstr>
  </property>
  <property fmtid="{D5CDD505-2E9C-101B-9397-08002B2CF9AE}" pid="5" name="status">
    <vt:lpwstr>draft</vt:lpwstr>
  </property>
  <property fmtid="{D5CDD505-2E9C-101B-9397-08002B2CF9AE}" pid="6" name="updated">
    <vt:lpwstr>2026-05-20</vt:lpwstr>
  </property>
</Properties>
</file>