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3864"/>
          <w:sz w:val="96"/>
          <w:szCs w:val="96"/>
        </w:rPr>
        <w:t xml:space="preserve">KX</w:t>
      </w:r>
    </w:p>
    <w:p>
      <w:pPr>
        <w:spacing w:before="0" w:after="120"/>
        <w:jc w:val="center"/>
      </w:pPr>
      <w:r>
        <w:rPr>
          <w:rFonts w:ascii="Arial" w:cs="Arial" w:eastAsia="Arial" w:hAnsi="Arial"/>
          <w:color w:val="2E5D9B"/>
          <w:sz w:val="36"/>
          <w:szCs w:val="36"/>
        </w:rPr>
        <w:t xml:space="preserve">AI-Powered Knowledge Assistant</w:t>
      </w:r>
    </w:p>
    <w:p>
      <w:pPr>
        <w:spacing w:before="0" w:after="80"/>
        <w:jc w:val="center"/>
      </w:pPr>
      <w:r>
        <w:rPr>
          <w:rFonts w:ascii="Arial" w:cs="Arial" w:eastAsia="Arial" w:hAnsi="Arial"/>
          <w:color w:val="555555"/>
          <w:sz w:val="28"/>
          <w:szCs w:val="28"/>
        </w:rPr>
        <w:t xml:space="preserve">Nexvance Consulting Group</w:t>
      </w:r>
    </w:p>
    <w:p>
      <w:pPr>
        <w:spacing w:before="480" w:after="80"/>
        <w:jc w:val="center"/>
      </w:pPr>
      <w:r>
        <w:rPr>
          <w:rFonts w:ascii="Arial" w:cs="Arial" w:eastAsia="Arial" w:hAnsi="Arial"/>
          <w:b/>
          <w:bCs/>
          <w:color w:val="1F3864"/>
          <w:sz w:val="24"/>
          <w:szCs w:val="24"/>
        </w:rPr>
        <w:t xml:space="preserve">AIM Certification Challenge — Submission Document</w:t>
      </w:r>
    </w:p>
    <w:p>
      <w:pPr>
        <w:spacing w:before="0" w:after="80"/>
        <w:jc w:val="center"/>
      </w:pPr>
      <w:r>
        <w:rPr>
          <w:rFonts w:ascii="Arial" w:cs="Arial" w:eastAsia="Arial" w:hAnsi="Arial"/>
          <w:color w:val="333333"/>
          <w:sz w:val="22"/>
          <w:szCs w:val="22"/>
        </w:rPr>
        <w:t xml:space="preserve">Submitted by: Manish Kumar</w:t>
      </w:r>
    </w:p>
    <w:p>
      <w:pPr>
        <w:spacing w:before="0" w:after="80"/>
        <w:jc w:val="center"/>
      </w:pPr>
      <w:r>
        <w:rPr>
          <w:rFonts w:ascii="Arial" w:cs="Arial" w:eastAsia="Arial" w:hAnsi="Arial"/>
          <w:color w:val="333333"/>
          <w:sz w:val="22"/>
          <w:szCs w:val="22"/>
        </w:rPr>
        <w:t xml:space="preserve">Cohort: AIM AI Engineering Bootcamp 2026</w:t>
      </w:r>
    </w:p>
    <w:p>
      <w:r>
        <w:br w:type="page"/>
      </w:r>
    </w:p>
    <w:p>
      <w:pPr>
        <w:pStyle w:val="Heading1"/>
        <w:spacing w:before="360" w:after="120"/>
      </w:pPr>
      <w:r>
        <w:rPr>
          <w:rFonts w:ascii="Arial" w:cs="Arial" w:eastAsia="Arial" w:hAnsi="Arial"/>
          <w:b/>
          <w:bCs/>
          <w:color w:val="1F3864"/>
          <w:sz w:val="32"/>
          <w:szCs w:val="32"/>
        </w:rPr>
        <w:t xml:space="preserve">Task 1 — Problem &amp; Audience</w:t>
      </w:r>
    </w:p>
    <w:p>
      <w:pPr>
        <w:pBdr>
          <w:bottom w:val="single" w:color="2E5D9B" w:sz="4" w:space="1"/>
        </w:pBdr>
        <w:spacing w:before="120" w:after="120"/>
      </w:pPr>
    </w:p>
    <w:p>
      <w:pPr>
        <w:pStyle w:val="Heading2"/>
        <w:spacing w:before="240" w:after="80"/>
      </w:pPr>
      <w:r>
        <w:rPr>
          <w:rFonts w:ascii="Arial" w:cs="Arial" w:eastAsia="Arial" w:hAnsi="Arial"/>
          <w:b/>
          <w:bCs/>
          <w:color w:val="2E5D9B"/>
          <w:sz w:val="26"/>
          <w:szCs w:val="26"/>
        </w:rPr>
        <w:t xml:space="preserve">1.1 Problem Statement</w:t>
      </w:r>
    </w:p>
    <w:p>
      <w:pPr>
        <w:spacing w:before="60" w:after="60"/>
      </w:pPr>
      <w:r>
        <w:rPr>
          <w:rFonts w:ascii="Arial" w:cs="Arial" w:eastAsia="Arial" w:hAnsi="Arial"/>
          <w:sz w:val="22"/>
          <w:szCs w:val="22"/>
        </w:rPr>
        <w:t xml:space="preserve">Consulting firm partners and senior leadership cannot quickly surface relevant past use cases delivered by the firm or the latest use cases available in the market for a specific sector before client meetings — creating team dependency, preparation delays, and missed business development opportunities.</w:t>
      </w:r>
    </w:p>
    <w:p>
      <w:pPr>
        <w:pStyle w:val="Heading2"/>
        <w:spacing w:before="240" w:after="80"/>
      </w:pPr>
      <w:r>
        <w:rPr>
          <w:rFonts w:ascii="Arial" w:cs="Arial" w:eastAsia="Arial" w:hAnsi="Arial"/>
          <w:b/>
          <w:bCs/>
          <w:color w:val="2E5D9B"/>
          <w:sz w:val="26"/>
          <w:szCs w:val="26"/>
        </w:rPr>
        <w:t xml:space="preserve">1.2 Why This Is a Problem</w:t>
      </w:r>
    </w:p>
    <w:p>
      <w:pPr>
        <w:spacing w:before="60" w:after="60"/>
      </w:pPr>
      <w:r>
        <w:rPr>
          <w:rFonts w:ascii="Arial" w:cs="Arial" w:eastAsia="Arial" w:hAnsi="Arial"/>
          <w:sz w:val="22"/>
          <w:szCs w:val="22"/>
        </w:rPr>
        <w:t xml:space="preserve">Consulting partners operate in a high-stakes, time-pressured environment where pre-meeting preparation is critical. Before meeting a CFO worried about regulatory compliance or a CISO evaluating zero-trust architecture, a partner needs to quickly recall what the firm has delivered for similar clients — specific outcomes, metrics, and technical approaches that build credibility.</w:t>
      </w:r>
    </w:p>
    <w:p>
      <w:pPr>
        <w:spacing w:before="60" w:after="60"/>
      </w:pPr>
      <w:r>
        <w:rPr>
          <w:rFonts w:ascii="Arial" w:cs="Arial" w:eastAsia="Arial" w:hAnsi="Arial"/>
          <w:sz w:val="22"/>
          <w:szCs w:val="22"/>
        </w:rPr>
        <w:t xml:space="preserve">Currently, this knowledge is locked inside long-form capability documents, scattered across shared drives, and accessible only through colleagues who may or may not be available. The partner either spends significant time manually searching documents, waits for a junior team member to compile examples, or worse — walks into the meeting under-prepared. This directly impacts win rates, client confidence, and the firm's ability to differentiate on depth of experience.</w:t>
      </w:r>
    </w:p>
    <w:p>
      <w:pPr>
        <w:spacing w:before="60" w:after="60"/>
      </w:pPr>
      <w:r>
        <w:rPr>
          <w:rFonts w:ascii="Arial" w:cs="Arial" w:eastAsia="Arial" w:hAnsi="Arial"/>
          <w:sz w:val="22"/>
          <w:szCs w:val="22"/>
        </w:rPr>
        <w:t xml:space="preserve">Additionally, when the firm's internal experience is limited in a particular sector, partners have no efficient way to supplement with latest market use cases that demonstrate awareness of current trends — a gap that KX addresses by combining internal retrieval with real-time web search.</w:t>
      </w:r>
    </w:p>
    <w:p>
      <w:pPr>
        <w:pStyle w:val="Heading2"/>
        <w:spacing w:before="240" w:after="80"/>
      </w:pPr>
      <w:r>
        <w:rPr>
          <w:rFonts w:ascii="Arial" w:cs="Arial" w:eastAsia="Arial" w:hAnsi="Arial"/>
          <w:b/>
          <w:bCs/>
          <w:color w:val="2E5D9B"/>
          <w:sz w:val="26"/>
          <w:szCs w:val="26"/>
        </w:rPr>
        <w:t xml:space="preserve">1.3 Target User</w:t>
      </w:r>
    </w:p>
    <w:p>
      <w:pPr>
        <w:spacing w:before="60" w:after="60"/>
      </w:pPr>
      <w:r>
        <w:rPr>
          <w:rFonts w:ascii="Arial" w:cs="Arial" w:eastAsia="Arial" w:hAnsi="Arial"/>
          <w:sz w:val="22"/>
          <w:szCs w:val="22"/>
        </w:rPr>
        <w:t xml:space="preserve">Partners, Directors, and Senior Managers at Nexvance Consulting Group — specifically those in client-facing roles responsible for business development, proposal preparation, and pre-meeting briefings.</w:t>
      </w:r>
    </w:p>
    <w:p>
      <w:pPr>
        <w:pStyle w:val="Heading2"/>
        <w:spacing w:before="240" w:after="80"/>
      </w:pPr>
      <w:r>
        <w:rPr>
          <w:rFonts w:ascii="Arial" w:cs="Arial" w:eastAsia="Arial" w:hAnsi="Arial"/>
          <w:b/>
          <w:bCs/>
          <w:color w:val="2E5D9B"/>
          <w:sz w:val="26"/>
          <w:szCs w:val="26"/>
        </w:rPr>
        <w:t xml:space="preserve">1.4 Evaluation Questions (Input-Output Pairs)</w:t>
      </w:r>
    </w:p>
    <w:p>
      <w:pPr>
        <w:spacing w:before="60" w:after="60"/>
      </w:pPr>
      <w:r>
        <w:rPr>
          <w:rFonts w:ascii="Arial" w:cs="Arial" w:eastAsia="Arial" w:hAnsi="Arial"/>
          <w:sz w:val="22"/>
          <w:szCs w:val="22"/>
        </w:rPr>
        <w:t xml:space="preserve">The following questions represent realistic partner queries used to evaluate the application:</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360"/>
        <w:gridCol w:w="5400"/>
        <w:gridCol w:w="2400"/>
      </w:tblGrid>
      <w:tr>
        <w:trPr>
          <w:tblHeader/>
        </w:trPr>
        <w:tc>
          <w:tcPr>
            <w:tcW w:type="dxa" w:w="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 Output Type</w:t>
            </w:r>
          </w:p>
        </w:tc>
      </w:tr>
      <w:tr>
        <w:tc>
          <w:tcPr>
            <w:tcW w:type="dxa" w:w="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w:t>
            </w:r>
          </w:p>
        </w:tc>
        <w:tc>
          <w:tcPr>
            <w:tcW w:type="dxa" w:w="5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What AI and ML use cases have we delivered in Banking?</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Internal — list of UC1, UC2, UC3</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many use cases have we delivered in total?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 summary count</w:t>
            </w:r>
          </w:p>
        </w:tc>
      </w:tr>
      <w:tr>
        <w:tc>
          <w:tcPr>
            <w:tcW w:type="dxa" w:w="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w:t>
            </w:r>
          </w:p>
        </w:tc>
        <w:tc>
          <w:tcPr>
            <w:tcW w:type="dxa" w:w="5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Do we have experience in the Insurance sector?</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Internal — UC4 details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cybersecurity engagements have we completed?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 UC8, UC9</w:t>
            </w:r>
          </w:p>
        </w:tc>
      </w:tr>
      <w:tr>
        <w:tc>
          <w:tcPr>
            <w:tcW w:type="dxa" w:w="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w:t>
            </w:r>
          </w:p>
        </w:tc>
        <w:tc>
          <w:tcPr>
            <w:tcW w:type="dxa" w:w="5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Latest fraud detection use cases in the market in 2025?</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Internal + Web Search</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am meeting a CFO worried about regulatory compliance. Relevant use case?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 UC6</w:t>
            </w:r>
          </w:p>
        </w:tc>
      </w:tr>
      <w:tr>
        <w:tc>
          <w:tcPr>
            <w:tcW w:type="dxa" w:w="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7</w:t>
            </w:r>
          </w:p>
        </w:tc>
        <w:tc>
          <w:tcPr>
            <w:tcW w:type="dxa" w:w="5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Pitch our fraud detection capabilities to a prospect.</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Internal — UC2 with metrics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we have Healthcare experience?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 UC9</w:t>
            </w:r>
          </w:p>
        </w:tc>
      </w:tr>
      <w:tr>
        <w:tc>
          <w:tcPr>
            <w:tcW w:type="dxa" w:w="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9</w:t>
            </w:r>
          </w:p>
        </w:tc>
        <w:tc>
          <w:tcPr>
            <w:tcW w:type="dxa" w:w="5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 am meeting a retail bank CDO. Which use case should I lead with?</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Internal — UC10</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many total use cases and across which capability areas?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 summary</w:t>
            </w:r>
          </w:p>
        </w:tc>
      </w:tr>
      <w:tr>
        <w:tc>
          <w:tcPr>
            <w:tcW w:type="dxa" w:w="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11</w:t>
            </w:r>
          </w:p>
        </w:tc>
        <w:tc>
          <w:tcPr>
            <w:tcW w:type="dxa" w:w="5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We have a prospect CISO asking about security posture for a financial firm.</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Internal — UC8</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we have experience helping banks reduce churn?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 UC3</w:t>
            </w:r>
          </w:p>
        </w:tc>
      </w:tr>
      <w:tr>
        <w:tc>
          <w:tcPr>
            <w:tcW w:type="dxa" w:w="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13</w:t>
            </w:r>
          </w:p>
        </w:tc>
        <w:tc>
          <w:tcPr>
            <w:tcW w:type="dxa" w:w="5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What Data Engineering use cases have we delivered?</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Internal — UC5, UC6, UC7</w:t>
            </w:r>
          </w:p>
        </w:tc>
      </w:tr>
    </w:tbl>
    <w:p>
      <w:r>
        <w:br w:type="page"/>
      </w:r>
    </w:p>
    <w:p>
      <w:pPr>
        <w:pStyle w:val="Heading1"/>
        <w:spacing w:before="360" w:after="120"/>
      </w:pPr>
      <w:r>
        <w:rPr>
          <w:rFonts w:ascii="Arial" w:cs="Arial" w:eastAsia="Arial" w:hAnsi="Arial"/>
          <w:b/>
          <w:bCs/>
          <w:color w:val="1F3864"/>
          <w:sz w:val="32"/>
          <w:szCs w:val="32"/>
        </w:rPr>
        <w:t xml:space="preserve">Task 2 — Proposed Solution</w:t>
      </w:r>
    </w:p>
    <w:p>
      <w:pPr>
        <w:pBdr>
          <w:bottom w:val="single" w:color="2E5D9B" w:sz="4" w:space="1"/>
        </w:pBdr>
        <w:spacing w:before="120" w:after="120"/>
      </w:pPr>
    </w:p>
    <w:p>
      <w:pPr>
        <w:pStyle w:val="Heading2"/>
        <w:spacing w:before="240" w:after="80"/>
      </w:pPr>
      <w:r>
        <w:rPr>
          <w:rFonts w:ascii="Arial" w:cs="Arial" w:eastAsia="Arial" w:hAnsi="Arial"/>
          <w:b/>
          <w:bCs/>
          <w:color w:val="2E5D9B"/>
          <w:sz w:val="26"/>
          <w:szCs w:val="26"/>
        </w:rPr>
        <w:t xml:space="preserve">2.1 Solution Overview</w:t>
      </w:r>
    </w:p>
    <w:p>
      <w:pPr>
        <w:spacing w:before="60" w:after="60"/>
      </w:pPr>
      <w:r>
        <w:rPr>
          <w:rFonts w:ascii="Arial" w:cs="Arial" w:eastAsia="Arial" w:hAnsi="Arial"/>
          <w:sz w:val="22"/>
          <w:szCs w:val="22"/>
        </w:rPr>
        <w:t xml:space="preserve">KX is an Agentic RAG application built for Nexvance Consulting Group. It combines private internal knowledge retrieval with real-time web search to give partners instant, accurate answers before client meetings. The system uses a LangGraph-orchestrated agent that first searches Nexvance's internal capability documents, assesses whether the response is sufficient, and only triggers a Tavily web search when the query requires external market intelligence or when internal results fall short of what the user requested.</w:t>
      </w:r>
    </w:p>
    <w:p>
      <w:pPr>
        <w:spacing w:before="60" w:after="60"/>
      </w:pPr>
      <w:r>
        <w:rPr>
          <w:rFonts w:ascii="Arial" w:cs="Arial" w:eastAsia="Arial" w:hAnsi="Arial"/>
          <w:sz w:val="22"/>
          <w:szCs w:val="22"/>
        </w:rPr>
        <w:t xml:space="preserve">From a user experience perspective, KX presents as a clean chat interface (built in Streamlit) where a partner types a natural language query and receives a structured, professional response — with clear labelling of whether the answer came from internal knowledge or external web sources. The interface is styled to reflect Nexvance's brand identity and is designed for speed and clarity in pre-meeting contexts.</w:t>
      </w:r>
    </w:p>
    <w:p>
      <w:pPr>
        <w:pStyle w:val="Heading2"/>
        <w:spacing w:before="240" w:after="80"/>
      </w:pPr>
      <w:r>
        <w:rPr>
          <w:rFonts w:ascii="Arial" w:cs="Arial" w:eastAsia="Arial" w:hAnsi="Arial"/>
          <w:b/>
          <w:bCs/>
          <w:color w:val="2E5D9B"/>
          <w:sz w:val="26"/>
          <w:szCs w:val="26"/>
        </w:rPr>
        <w:t xml:space="preserve">2.2 Infrastructure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 Technology</w:t>
            </w:r>
          </w:p>
        </w:tc>
        <w:tc>
          <w:tcPr>
            <w:tcW w:type="dxa" w:w="48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LLM</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GPT-4o-mini (OpenAI)</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Best cost-to-quality ratio for structured Q&amp;A; fast inference for time-pressed partners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Orchestration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LangGraph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Enables explicit node-based control flow with conditional routing — critical for the internal-first, web-fallback logic</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Tools</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Tavily Search API</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Purpose-built for AI agents; returns clean, structured web results with source URLs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Embedding Model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text-embedding-3-small (OpenAI)</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1536-dim vectors; best cost-to-quality for semantic search; native LangChain integration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Vector Database</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Qdrant Cloud</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Managed cloud vector DB with payload indexing for metadata pre-filtering; no re-embedding needed across sessions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LangSmith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Industry-standard observability for LLM apps; traces every agent run end-to-end</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Evaluation Framework</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RAGAS</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Automates faithfulness, context precision, and context recall scoring against a golden dataset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Interface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Rapid prototyping of data apps; sufficient for internal consulting tool MVP</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Render (Free Tier)</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Simple git-based deployment; no infrastructure management required for MVP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 Guard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GPT-4o-mini (LLM Classifier)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LLM-based intent classification to reject out-of-scope queries before retrieval runs</w:t>
            </w:r>
          </w:p>
        </w:tc>
      </w:tr>
    </w:tbl>
    <w:p>
      <w:pPr>
        <w:pStyle w:val="Heading2"/>
        <w:spacing w:before="240" w:after="80"/>
      </w:pPr>
      <w:r>
        <w:rPr>
          <w:rFonts w:ascii="Arial" w:cs="Arial" w:eastAsia="Arial" w:hAnsi="Arial"/>
          <w:b/>
          <w:bCs/>
          <w:color w:val="2E5D9B"/>
          <w:sz w:val="26"/>
          <w:szCs w:val="26"/>
        </w:rPr>
        <w:t xml:space="preserve">2.3 RAG and Agent Components</w:t>
      </w:r>
    </w:p>
    <w:p>
      <w:pPr>
        <w:pStyle w:val="Heading3"/>
        <w:spacing w:before="180" w:after="60"/>
      </w:pPr>
      <w:r>
        <w:rPr>
          <w:rFonts w:ascii="Arial" w:cs="Arial" w:eastAsia="Arial" w:hAnsi="Arial"/>
          <w:b/>
          <w:bCs/>
          <w:color w:val="1F3864"/>
          <w:sz w:val="24"/>
          <w:szCs w:val="24"/>
        </w:rPr>
        <w:t xml:space="preserve">RAG Components</w:t>
      </w:r>
    </w:p>
    <w:p>
      <w:pPr>
        <w:pStyle w:val="ListParagraph"/>
        <w:numPr>
          <w:ilvl w:val="0"/>
          <w:numId w:val="2"/>
        </w:numPr>
        <w:spacing w:before="40" w:after="40"/>
      </w:pPr>
      <w:r>
        <w:rPr>
          <w:rFonts w:ascii="Arial" w:cs="Arial" w:eastAsia="Arial" w:hAnsi="Arial"/>
          <w:sz w:val="22"/>
          <w:szCs w:val="22"/>
        </w:rPr>
        <w:t xml:space="preserve">Document ingestion: Capability_Report.docx parsed into 11 semantic chunks (1 summary + 10 use cases)</w:t>
      </w:r>
    </w:p>
    <w:p>
      <w:pPr>
        <w:pStyle w:val="ListParagraph"/>
        <w:numPr>
          <w:ilvl w:val="0"/>
          <w:numId w:val="2"/>
        </w:numPr>
        <w:spacing w:before="40" w:after="40"/>
      </w:pPr>
      <w:r>
        <w:rPr>
          <w:rFonts w:ascii="Arial" w:cs="Arial" w:eastAsia="Arial" w:hAnsi="Arial"/>
          <w:sz w:val="22"/>
          <w:szCs w:val="22"/>
        </w:rPr>
        <w:t xml:space="preserve">Embedding: text-embedding-3-small generates 1536-dim vectors for each chunk</w:t>
      </w:r>
    </w:p>
    <w:p>
      <w:pPr>
        <w:pStyle w:val="ListParagraph"/>
        <w:numPr>
          <w:ilvl w:val="0"/>
          <w:numId w:val="2"/>
        </w:numPr>
        <w:spacing w:before="40" w:after="40"/>
      </w:pPr>
      <w:r>
        <w:rPr>
          <w:rFonts w:ascii="Arial" w:cs="Arial" w:eastAsia="Arial" w:hAnsi="Arial"/>
          <w:sz w:val="22"/>
          <w:szCs w:val="22"/>
        </w:rPr>
        <w:t xml:space="preserve">Storage: Qdrant Cloud collection 'kx_capabilities' with payload indexes on industry, capability_domain, and type</w:t>
      </w:r>
    </w:p>
    <w:p>
      <w:pPr>
        <w:pStyle w:val="ListParagraph"/>
        <w:numPr>
          <w:ilvl w:val="0"/>
          <w:numId w:val="2"/>
        </w:numPr>
        <w:spacing w:before="40" w:after="40"/>
      </w:pPr>
      <w:r>
        <w:rPr>
          <w:rFonts w:ascii="Arial" w:cs="Arial" w:eastAsia="Arial" w:hAnsi="Arial"/>
          <w:sz w:val="22"/>
          <w:szCs w:val="22"/>
        </w:rPr>
        <w:t xml:space="preserve">Retrieval: Hybrid search — metadata pre-filtering + semantic vector search + BM25 keyword re-ranking using Reciprocal Rank Fusion (RRF)</w:t>
      </w:r>
    </w:p>
    <w:p>
      <w:pPr>
        <w:pStyle w:val="ListParagraph"/>
        <w:numPr>
          <w:ilvl w:val="0"/>
          <w:numId w:val="2"/>
        </w:numPr>
        <w:spacing w:before="40" w:after="40"/>
      </w:pPr>
      <w:r>
        <w:rPr>
          <w:rFonts w:ascii="Arial" w:cs="Arial" w:eastAsia="Arial" w:hAnsi="Arial"/>
          <w:sz w:val="22"/>
          <w:szCs w:val="22"/>
        </w:rPr>
        <w:t xml:space="preserve">Advanced Retriever (Task 6): HyDE — generates a hypothetical answer before embedding to bridge vocabulary gaps</w:t>
      </w:r>
    </w:p>
    <w:p>
      <w:pPr>
        <w:pStyle w:val="Heading3"/>
        <w:spacing w:before="180" w:after="60"/>
      </w:pPr>
      <w:r>
        <w:rPr>
          <w:rFonts w:ascii="Arial" w:cs="Arial" w:eastAsia="Arial" w:hAnsi="Arial"/>
          <w:b/>
          <w:bCs/>
          <w:color w:val="1F3864"/>
          <w:sz w:val="24"/>
          <w:szCs w:val="24"/>
        </w:rPr>
        <w:t xml:space="preserve">Agent Components</w:t>
      </w:r>
    </w:p>
    <w:p>
      <w:pPr>
        <w:pStyle w:val="ListParagraph"/>
        <w:numPr>
          <w:ilvl w:val="0"/>
          <w:numId w:val="2"/>
        </w:numPr>
        <w:spacing w:before="40" w:after="40"/>
      </w:pPr>
      <w:r>
        <w:rPr>
          <w:rFonts w:ascii="Arial" w:cs="Arial" w:eastAsia="Arial" w:hAnsi="Arial"/>
          <w:sz w:val="22"/>
          <w:szCs w:val="22"/>
        </w:rPr>
        <w:t xml:space="preserve">Node 0 — Scope Check: LLM-based intent classifier rejects non-consulting queries</w:t>
      </w:r>
    </w:p>
    <w:p>
      <w:pPr>
        <w:pStyle w:val="ListParagraph"/>
        <w:numPr>
          <w:ilvl w:val="0"/>
          <w:numId w:val="2"/>
        </w:numPr>
        <w:spacing w:before="40" w:after="40"/>
      </w:pPr>
      <w:r>
        <w:rPr>
          <w:rFonts w:ascii="Arial" w:cs="Arial" w:eastAsia="Arial" w:hAnsi="Arial"/>
          <w:sz w:val="22"/>
          <w:szCs w:val="22"/>
        </w:rPr>
        <w:t xml:space="preserve">Node 1 — Internal Retrieval: Calls the hybrid retriever against Qdrant</w:t>
      </w:r>
    </w:p>
    <w:p>
      <w:pPr>
        <w:pStyle w:val="ListParagraph"/>
        <w:numPr>
          <w:ilvl w:val="0"/>
          <w:numId w:val="2"/>
        </w:numPr>
        <w:spacing w:before="40" w:after="40"/>
      </w:pPr>
      <w:r>
        <w:rPr>
          <w:rFonts w:ascii="Arial" w:cs="Arial" w:eastAsia="Arial" w:hAnsi="Arial"/>
          <w:sz w:val="22"/>
          <w:szCs w:val="22"/>
        </w:rPr>
        <w:t xml:space="preserve">Node 2 — Sufficiency Assessment: Deterministic rules check for external intent keywords or shortfall in results</w:t>
      </w:r>
    </w:p>
    <w:p>
      <w:pPr>
        <w:pStyle w:val="ListParagraph"/>
        <w:numPr>
          <w:ilvl w:val="0"/>
          <w:numId w:val="2"/>
        </w:numPr>
        <w:spacing w:before="40" w:after="40"/>
      </w:pPr>
      <w:r>
        <w:rPr>
          <w:rFonts w:ascii="Arial" w:cs="Arial" w:eastAsia="Arial" w:hAnsi="Arial"/>
          <w:sz w:val="22"/>
          <w:szCs w:val="22"/>
        </w:rPr>
        <w:t xml:space="preserve">Node 3 — Web Search (conditional): Tavily API triggered only when internal results are insufficient</w:t>
      </w:r>
    </w:p>
    <w:p>
      <w:pPr>
        <w:pStyle w:val="ListParagraph"/>
        <w:numPr>
          <w:ilvl w:val="0"/>
          <w:numId w:val="2"/>
        </w:numPr>
        <w:spacing w:before="40" w:after="40"/>
      </w:pPr>
      <w:r>
        <w:rPr>
          <w:rFonts w:ascii="Arial" w:cs="Arial" w:eastAsia="Arial" w:hAnsi="Arial"/>
          <w:sz w:val="22"/>
          <w:szCs w:val="22"/>
        </w:rPr>
        <w:t xml:space="preserve">Node 4 — Answer Generation: GPT-4o-mini synthesises internal and web context into a structured response</w:t>
      </w:r>
    </w:p>
    <w:p>
      <w:r>
        <w:br w:type="page"/>
      </w:r>
    </w:p>
    <w:p>
      <w:pPr>
        <w:pStyle w:val="Heading1"/>
        <w:spacing w:before="360" w:after="120"/>
      </w:pPr>
      <w:r>
        <w:rPr>
          <w:rFonts w:ascii="Arial" w:cs="Arial" w:eastAsia="Arial" w:hAnsi="Arial"/>
          <w:b/>
          <w:bCs/>
          <w:color w:val="1F3864"/>
          <w:sz w:val="32"/>
          <w:szCs w:val="32"/>
        </w:rPr>
        <w:t xml:space="preserve">Task 3 — Data &amp; API Access</w:t>
      </w:r>
    </w:p>
    <w:p>
      <w:pPr>
        <w:pBdr>
          <w:bottom w:val="single" w:color="2E5D9B" w:sz="4" w:space="1"/>
        </w:pBdr>
        <w:spacing w:before="120" w:after="120"/>
      </w:pPr>
    </w:p>
    <w:p>
      <w:pPr>
        <w:pStyle w:val="Heading2"/>
        <w:spacing w:before="240" w:after="80"/>
      </w:pPr>
      <w:r>
        <w:rPr>
          <w:rFonts w:ascii="Arial" w:cs="Arial" w:eastAsia="Arial" w:hAnsi="Arial"/>
          <w:b/>
          <w:bCs/>
          <w:color w:val="2E5D9B"/>
          <w:sz w:val="26"/>
          <w:szCs w:val="26"/>
        </w:rPr>
        <w:t xml:space="preserve">3.1 Chunking Strategy</w:t>
      </w:r>
    </w:p>
    <w:p>
      <w:pPr>
        <w:spacing w:before="60" w:after="60"/>
      </w:pPr>
      <w:r>
        <w:rPr>
          <w:rFonts w:ascii="Arial" w:cs="Arial" w:eastAsia="Arial" w:hAnsi="Arial"/>
          <w:sz w:val="22"/>
          <w:szCs w:val="22"/>
        </w:rPr>
        <w:t xml:space="preserve">One chunk per use case (Section-Based Chunking) — 10 use case chunks plus 1 Executive Summary chunk (total: 11 chunks).</w:t>
      </w:r>
    </w:p>
    <w:p>
      <w:pPr>
        <w:spacing w:before="60" w:after="60"/>
      </w:pPr>
      <w:r>
        <w:rPr>
          <w:rFonts w:ascii="Arial" w:cs="Arial" w:eastAsia="Arial" w:hAnsi="Arial"/>
          <w:sz w:val="22"/>
          <w:szCs w:val="22"/>
        </w:rPr>
        <w:t xml:space="preserve">Each use case chunk contains the full Business Context, Solution, and Results sections as one contiguous block. This decision was made because each use case is a self-contained unit of retrieval — splitting across sub-sections would break context and degrade answer quality. The Executive Summary chunk was added separately to handle aggregate queries like 'how many use cases do we have in total' which require portfolio-level information not present in individual use case chunks.</w:t>
      </w:r>
    </w:p>
    <w:p>
      <w:pPr>
        <w:pStyle w:val="Heading2"/>
        <w:spacing w:before="240" w:after="80"/>
      </w:pPr>
      <w:r>
        <w:rPr>
          <w:rFonts w:ascii="Arial" w:cs="Arial" w:eastAsia="Arial" w:hAnsi="Arial"/>
          <w:b/>
          <w:bCs/>
          <w:color w:val="2E5D9B"/>
          <w:sz w:val="26"/>
          <w:szCs w:val="26"/>
        </w:rPr>
        <w:t xml:space="preserve">3.2 Metadata per Chunk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Metadata Field</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 Values</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use_case_id</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UC1, UC2, summary</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Unique identifier for each chunk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AI-Powered Credit Risk Scoring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Human-readable chunk label</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capability_domain</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AI &amp; Machine Learning</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Pre-filter by practice area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[Banking, Insurance]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Pre-filter by client industry</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client</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BankNova</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Client reference for credibility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use_case / summary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Distinguish use cases from overview</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source</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internal</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Distinguish from web search results</w:t>
            </w:r>
          </w:p>
        </w:tc>
      </w:tr>
    </w:tbl>
    <w:p>
      <w:pPr>
        <w:pStyle w:val="Heading2"/>
        <w:spacing w:before="240" w:after="80"/>
      </w:pPr>
      <w:r>
        <w:rPr>
          <w:rFonts w:ascii="Arial" w:cs="Arial" w:eastAsia="Arial" w:hAnsi="Arial"/>
          <w:b/>
          <w:bCs/>
          <w:color w:val="2E5D9B"/>
          <w:sz w:val="26"/>
          <w:szCs w:val="26"/>
        </w:rPr>
        <w:t xml:space="preserve">3.3 Data Source</w:t>
      </w:r>
    </w:p>
    <w:p>
      <w:pPr>
        <w:spacing w:before="60" w:after="60"/>
      </w:pPr>
      <w:r>
        <w:rPr>
          <w:rFonts w:ascii="Arial" w:cs="Arial" w:eastAsia="Arial" w:hAnsi="Arial"/>
          <w:sz w:val="22"/>
          <w:szCs w:val="22"/>
        </w:rPr>
        <w:t xml:space="preserve">Internal data: Nexvance Consulting Group Capability Report 2026 (Capability_Report.docx) — a 10 use case portfolio document covering AI &amp; ML, Data Engineering, Cyber Security, and Digital Transformation engagements delivered between 2024-2026 across Banking, Insurance, and Healthcare industries.</w:t>
      </w:r>
    </w:p>
    <w:p>
      <w:pPr>
        <w:pStyle w:val="Heading2"/>
        <w:spacing w:before="240" w:after="80"/>
      </w:pPr>
      <w:r>
        <w:rPr>
          <w:rFonts w:ascii="Arial" w:cs="Arial" w:eastAsia="Arial" w:hAnsi="Arial"/>
          <w:b/>
          <w:bCs/>
          <w:color w:val="2E5D9B"/>
          <w:sz w:val="26"/>
          <w:szCs w:val="26"/>
        </w:rPr>
        <w:t xml:space="preserve">3.4 External API</w:t>
      </w:r>
    </w:p>
    <w:p>
      <w:pPr>
        <w:spacing w:before="60" w:after="60"/>
      </w:pPr>
      <w:r>
        <w:rPr>
          <w:rFonts w:ascii="Arial" w:cs="Arial" w:eastAsia="Arial" w:hAnsi="Arial"/>
          <w:sz w:val="22"/>
          <w:szCs w:val="22"/>
        </w:rPr>
        <w:t xml:space="preserve">Tavily Search API — used as the web search tool in the agent. When a partner query requires latest market intelligence (e.g., 'latest fraud detection use cases in 2025'), or when the number of internal results falls short of the requested count, the agent invokes Tavily to retrieve current, relevant web results. Tavily returns structured results including URL, title, and content snippets which are passed to the LLM for synthesis alongside internal context.</w:t>
      </w:r>
    </w:p>
    <w:p>
      <w:r>
        <w:br w:type="page"/>
      </w:r>
    </w:p>
    <w:p>
      <w:pPr>
        <w:pStyle w:val="Heading1"/>
        <w:spacing w:before="360" w:after="120"/>
      </w:pPr>
      <w:r>
        <w:rPr>
          <w:rFonts w:ascii="Arial" w:cs="Arial" w:eastAsia="Arial" w:hAnsi="Arial"/>
          <w:b/>
          <w:bCs/>
          <w:color w:val="1F3864"/>
          <w:sz w:val="32"/>
          <w:szCs w:val="32"/>
        </w:rPr>
        <w:t xml:space="preserve">Task 4 — Prototype</w:t>
      </w:r>
    </w:p>
    <w:p>
      <w:pPr>
        <w:pBdr>
          <w:bottom w:val="single" w:color="2E5D9B" w:sz="4" w:space="1"/>
        </w:pBdr>
        <w:spacing w:before="120" w:after="120"/>
      </w:pPr>
    </w:p>
    <w:p>
      <w:pPr>
        <w:pStyle w:val="Heading2"/>
        <w:spacing w:before="240" w:after="80"/>
      </w:pPr>
      <w:r>
        <w:rPr>
          <w:rFonts w:ascii="Arial" w:cs="Arial" w:eastAsia="Arial" w:hAnsi="Arial"/>
          <w:b/>
          <w:bCs/>
          <w:color w:val="2E5D9B"/>
          <w:sz w:val="26"/>
          <w:szCs w:val="26"/>
        </w:rPr>
        <w:t xml:space="preserve">4.1 End-to-End Prototype</w:t>
      </w:r>
    </w:p>
    <w:p>
      <w:pPr>
        <w:spacing w:before="60" w:after="60"/>
      </w:pPr>
      <w:r>
        <w:rPr>
          <w:rFonts w:ascii="Arial" w:cs="Arial" w:eastAsia="Arial" w:hAnsi="Arial"/>
          <w:sz w:val="22"/>
          <w:szCs w:val="22"/>
        </w:rPr>
        <w:t xml:space="preserve">A fully functional end-to-end Agentic RAG application has been built and deployed. The application consists of the following components:</w:t>
      </w:r>
    </w:p>
    <w:p>
      <w:pPr>
        <w:pStyle w:val="ListParagraph"/>
        <w:numPr>
          <w:ilvl w:val="0"/>
          <w:numId w:val="2"/>
        </w:numPr>
        <w:spacing w:before="40" w:after="40"/>
      </w:pPr>
      <w:r>
        <w:rPr>
          <w:rFonts w:ascii="Arial" w:cs="Arial" w:eastAsia="Arial" w:hAnsi="Arial"/>
          <w:sz w:val="22"/>
          <w:szCs w:val="22"/>
        </w:rPr>
        <w:t xml:space="preserve">src/ingest.py — Document parsing, chunking, embedding, and Qdrant upsert</w:t>
      </w:r>
    </w:p>
    <w:p>
      <w:pPr>
        <w:pStyle w:val="ListParagraph"/>
        <w:numPr>
          <w:ilvl w:val="0"/>
          <w:numId w:val="2"/>
        </w:numPr>
        <w:spacing w:before="40" w:after="40"/>
      </w:pPr>
      <w:r>
        <w:rPr>
          <w:rFonts w:ascii="Arial" w:cs="Arial" w:eastAsia="Arial" w:hAnsi="Arial"/>
          <w:sz w:val="22"/>
          <w:szCs w:val="22"/>
        </w:rPr>
        <w:t xml:space="preserve">src/retriever.py — Hybrid retrieval: metadata pre-filter + semantic search + BM25 re-ranking</w:t>
      </w:r>
    </w:p>
    <w:p>
      <w:pPr>
        <w:pStyle w:val="ListParagraph"/>
        <w:numPr>
          <w:ilvl w:val="0"/>
          <w:numId w:val="2"/>
        </w:numPr>
        <w:spacing w:before="40" w:after="40"/>
      </w:pPr>
      <w:r>
        <w:rPr>
          <w:rFonts w:ascii="Arial" w:cs="Arial" w:eastAsia="Arial" w:hAnsi="Arial"/>
          <w:sz w:val="22"/>
          <w:szCs w:val="22"/>
        </w:rPr>
        <w:t xml:space="preserve">src/retriever_hyde.py — Advanced HyDE retriever (Task 6)</w:t>
      </w:r>
    </w:p>
    <w:p>
      <w:pPr>
        <w:pStyle w:val="ListParagraph"/>
        <w:numPr>
          <w:ilvl w:val="0"/>
          <w:numId w:val="2"/>
        </w:numPr>
        <w:spacing w:before="40" w:after="40"/>
      </w:pPr>
      <w:r>
        <w:rPr>
          <w:rFonts w:ascii="Arial" w:cs="Arial" w:eastAsia="Arial" w:hAnsi="Arial"/>
          <w:sz w:val="22"/>
          <w:szCs w:val="22"/>
        </w:rPr>
        <w:t xml:space="preserve">src/agent.py — LangGraph agent with 5 nodes and conditional routing</w:t>
      </w:r>
    </w:p>
    <w:p>
      <w:pPr>
        <w:pStyle w:val="ListParagraph"/>
        <w:numPr>
          <w:ilvl w:val="0"/>
          <w:numId w:val="2"/>
        </w:numPr>
        <w:spacing w:before="40" w:after="40"/>
      </w:pPr>
      <w:r>
        <w:rPr>
          <w:rFonts w:ascii="Arial" w:cs="Arial" w:eastAsia="Arial" w:hAnsi="Arial"/>
          <w:sz w:val="22"/>
          <w:szCs w:val="22"/>
        </w:rPr>
        <w:t xml:space="preserve">src/evaluate.py — RAGAS evaluation pipeline for both baseline and HyDE</w:t>
      </w:r>
    </w:p>
    <w:p>
      <w:pPr>
        <w:pStyle w:val="ListParagraph"/>
        <w:numPr>
          <w:ilvl w:val="0"/>
          <w:numId w:val="2"/>
        </w:numPr>
        <w:spacing w:before="40" w:after="40"/>
      </w:pPr>
      <w:r>
        <w:rPr>
          <w:rFonts w:ascii="Arial" w:cs="Arial" w:eastAsia="Arial" w:hAnsi="Arial"/>
          <w:sz w:val="22"/>
          <w:szCs w:val="22"/>
        </w:rPr>
        <w:t xml:space="preserve">app.py — Streamlit chat interface with ChatGPT-style UX</w:t>
      </w:r>
    </w:p>
    <w:p>
      <w:pPr>
        <w:pStyle w:val="Heading2"/>
        <w:spacing w:before="240" w:after="80"/>
      </w:pPr>
      <w:r>
        <w:rPr>
          <w:rFonts w:ascii="Arial" w:cs="Arial" w:eastAsia="Arial" w:hAnsi="Arial"/>
          <w:b/>
          <w:bCs/>
          <w:color w:val="2E5D9B"/>
          <w:sz w:val="26"/>
          <w:szCs w:val="26"/>
        </w:rPr>
        <w:t xml:space="preserve">4.2 Deployment</w:t>
      </w:r>
    </w:p>
    <w:p>
      <w:pPr>
        <w:spacing w:before="60" w:after="60"/>
      </w:pPr>
      <w:r>
        <w:rPr>
          <w:rFonts w:ascii="Arial" w:cs="Arial" w:eastAsia="Arial" w:hAnsi="Arial"/>
          <w:sz w:val="22"/>
          <w:szCs w:val="22"/>
        </w:rPr>
        <w:t xml:space="preserve">The application has been deployed to a public endpoint on Render (free tier). The Streamlit app is accessible via a public URL. All API keys are stored as environment variables in Render's dashboard — never committed to the GitHub repository.</w:t>
      </w:r>
    </w:p>
    <w:p>
      <w:r>
        <w:br w:type="page"/>
      </w:r>
    </w:p>
    <w:p>
      <w:pPr>
        <w:pStyle w:val="Heading1"/>
        <w:spacing w:before="360" w:after="120"/>
      </w:pPr>
      <w:r>
        <w:rPr>
          <w:rFonts w:ascii="Arial" w:cs="Arial" w:eastAsia="Arial" w:hAnsi="Arial"/>
          <w:b/>
          <w:bCs/>
          <w:color w:val="1F3864"/>
          <w:sz w:val="32"/>
          <w:szCs w:val="32"/>
        </w:rPr>
        <w:t xml:space="preserve">Task 5 — Baseline Evaluation</w:t>
      </w:r>
    </w:p>
    <w:p>
      <w:pPr>
        <w:pBdr>
          <w:bottom w:val="single" w:color="2E5D9B" w:sz="4" w:space="1"/>
        </w:pBdr>
        <w:spacing w:before="120" w:after="120"/>
      </w:pPr>
    </w:p>
    <w:p>
      <w:pPr>
        <w:pStyle w:val="Heading2"/>
        <w:spacing w:before="240" w:after="80"/>
      </w:pPr>
      <w:r>
        <w:rPr>
          <w:rFonts w:ascii="Arial" w:cs="Arial" w:eastAsia="Arial" w:hAnsi="Arial"/>
          <w:b/>
          <w:bCs/>
          <w:color w:val="2E5D9B"/>
          <w:sz w:val="26"/>
          <w:szCs w:val="26"/>
        </w:rPr>
        <w:t xml:space="preserve">5.1 Golden Dataset</w:t>
      </w:r>
    </w:p>
    <w:p>
      <w:pPr>
        <w:spacing w:before="60" w:after="60"/>
      </w:pPr>
      <w:r>
        <w:rPr>
          <w:rFonts w:ascii="Arial" w:cs="Arial" w:eastAsia="Arial" w:hAnsi="Arial"/>
          <w:sz w:val="22"/>
          <w:szCs w:val="22"/>
        </w:rPr>
        <w:t xml:space="preserve">A golden dataset of 13 question and ground truth answer pairs was assembled based on realistic partner queries covering all capability domains and industries in the Capability Report. Questions were designed to test a range of retrieval scenarios including single use case lookups, domain-filtered queries, count questions, and pre-meeting pitch preparation queries.</w:t>
      </w:r>
    </w:p>
    <w:p>
      <w:pPr>
        <w:pStyle w:val="Heading2"/>
        <w:spacing w:before="240" w:after="80"/>
      </w:pPr>
      <w:r>
        <w:rPr>
          <w:rFonts w:ascii="Arial" w:cs="Arial" w:eastAsia="Arial" w:hAnsi="Arial"/>
          <w:b/>
          <w:bCs/>
          <w:color w:val="2E5D9B"/>
          <w:sz w:val="26"/>
          <w:szCs w:val="26"/>
        </w:rPr>
        <w:t xml:space="preserve">5.2 RAGAS Baseline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400"/>
        <w:gridCol w:w="1200"/>
        <w:gridCol w:w="1560"/>
      </w:tblGrid>
      <w:tr>
        <w:trPr>
          <w:tblHeader/>
        </w:trPr>
        <w:tc>
          <w:tcPr>
            <w:tcW w:type="dxa" w:w="4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Faithfulness</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Context Precision</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Context Recall</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Answer Relevancy</w:t>
            </w:r>
          </w:p>
        </w:tc>
      </w:tr>
      <w:tr>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How many use cases have we delivered for Banking clients?</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0.696</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0.000</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0.000</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0.655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 me the 3 AI ML use cases we have delivered.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0.638</w:t>
            </w:r>
          </w:p>
        </w:tc>
      </w:tr>
      <w:tr>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What are the latest use cases in Cyber Security?</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0.571</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1.000</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0.500</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0.706</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domains have we covered for Data Engineering?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0.545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0.740</w:t>
            </w:r>
          </w:p>
        </w:tc>
      </w:tr>
      <w:tr>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Digital Transformation services — clients and count?</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0.500</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1.000</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0.000</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0.541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we have Insurance sector experience?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0.554</w:t>
            </w:r>
          </w:p>
        </w:tc>
      </w:tr>
      <w:tr>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CFO worried about regulatory penalties — relevant use case?</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1.000</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1.000</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0.400</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0.793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Pitch fraud detection capabilities to a prospect.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0.567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0.498</w:t>
            </w:r>
          </w:p>
        </w:tc>
      </w:tr>
      <w:tr>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Do we have Healthcare client experience?</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0.842</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1.000</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0.500</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0.619</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Meeting retail bank CDO — which use case to lead with?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0.839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0.862</w:t>
            </w:r>
          </w:p>
        </w:tc>
      </w:tr>
      <w:tr>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Total use cases and capability areas?</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0.792</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1.000</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0.200</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0.818</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CISO asking about security posture for financial firm.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0.632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0.667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0.641</w:t>
            </w:r>
          </w:p>
        </w:tc>
      </w:tr>
      <w:tr>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Experience helping banks reduce churn?</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0.818</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0.833</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0.800</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0.712</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Baseline Score</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Faithfulness</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0.747</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 Precision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0.756</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Context Recall</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0.409</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Answer Relevancy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0.675</w:t>
            </w:r>
          </w:p>
        </w:tc>
      </w:tr>
    </w:tbl>
    <w:p>
      <w:pPr>
        <w:pStyle w:val="Heading2"/>
        <w:spacing w:before="240" w:after="80"/>
      </w:pPr>
      <w:r>
        <w:rPr>
          <w:rFonts w:ascii="Arial" w:cs="Arial" w:eastAsia="Arial" w:hAnsi="Arial"/>
          <w:b/>
          <w:bCs/>
          <w:color w:val="2E5D9B"/>
          <w:sz w:val="26"/>
          <w:szCs w:val="26"/>
        </w:rPr>
        <w:t xml:space="preserve">5.3 Conclusions</w:t>
      </w:r>
    </w:p>
    <w:p>
      <w:pPr>
        <w:spacing w:before="60" w:after="60"/>
      </w:pPr>
      <w:r>
        <w:rPr>
          <w:rFonts w:ascii="Arial" w:cs="Arial" w:eastAsia="Arial" w:hAnsi="Arial"/>
          <w:sz w:val="22"/>
          <w:szCs w:val="22"/>
        </w:rPr>
        <w:t xml:space="preserve">The baseline evaluation reveals a pipeline that is reasonably faithful (0.747) and precise in what it retrieves (0.756), but suffers from poor context recall (0.409). This means the pipeline is leaving relevant chunks unretrieved — it finds some right content but misses significant portions of what it should be returning.</w:t>
      </w:r>
    </w:p>
    <w:p>
      <w:pPr>
        <w:spacing w:before="60" w:after="60"/>
      </w:pPr>
      <w:r>
        <w:rPr>
          <w:rFonts w:ascii="Arial" w:cs="Arial" w:eastAsia="Arial" w:hAnsi="Arial"/>
          <w:sz w:val="22"/>
          <w:szCs w:val="22"/>
        </w:rPr>
        <w:t xml:space="preserve">The primary root cause is vocabulary mismatch: partner queries use business language ('regulatory penalties', 'compliance delays') while the internal documents use technical terminology ('Basel III', 'BCBS 239', 'COREP/FINREP submissions'). Standard dense vector retrieval struggles to bridge this gap, motivating the HyDE upgrade in Task 6.</w:t>
      </w:r>
    </w:p>
    <w:p>
      <w:pPr>
        <w:spacing w:before="60" w:after="60"/>
      </w:pPr>
      <w:r>
        <w:rPr>
          <w:rFonts w:ascii="Arial" w:cs="Arial" w:eastAsia="Arial" w:hAnsi="Arial"/>
          <w:sz w:val="22"/>
          <w:szCs w:val="22"/>
        </w:rPr>
        <w:t xml:space="preserve">Answer relevancy (0.675) is moderate, indicating that while answers are on-topic, they could better address the specific intent of partner queries — particularly for meeting preparation and pitch scenarios.</w:t>
      </w:r>
    </w:p>
    <w:p>
      <w:r>
        <w:br w:type="page"/>
      </w:r>
    </w:p>
    <w:p>
      <w:pPr>
        <w:pStyle w:val="Heading1"/>
        <w:spacing w:before="360" w:after="120"/>
      </w:pPr>
      <w:r>
        <w:rPr>
          <w:rFonts w:ascii="Arial" w:cs="Arial" w:eastAsia="Arial" w:hAnsi="Arial"/>
          <w:b/>
          <w:bCs/>
          <w:color w:val="1F3864"/>
          <w:sz w:val="32"/>
          <w:szCs w:val="32"/>
        </w:rPr>
        <w:t xml:space="preserve">Task 6 — Advanced Retriever Upgrade</w:t>
      </w:r>
    </w:p>
    <w:p>
      <w:pPr>
        <w:pBdr>
          <w:bottom w:val="single" w:color="2E5D9B" w:sz="4" w:space="1"/>
        </w:pBdr>
        <w:spacing w:before="120" w:after="120"/>
      </w:pPr>
    </w:p>
    <w:p>
      <w:pPr>
        <w:pStyle w:val="Heading2"/>
        <w:spacing w:before="240" w:after="80"/>
      </w:pPr>
      <w:r>
        <w:rPr>
          <w:rFonts w:ascii="Arial" w:cs="Arial" w:eastAsia="Arial" w:hAnsi="Arial"/>
          <w:b/>
          <w:bCs/>
          <w:color w:val="2E5D9B"/>
          <w:sz w:val="26"/>
          <w:szCs w:val="26"/>
        </w:rPr>
        <w:t xml:space="preserve">6.1 Chosen Technique: HyDE (Hypothetical Document Embeddings)</w:t>
      </w:r>
    </w:p>
    <w:p>
      <w:pPr>
        <w:spacing w:before="60" w:after="60"/>
      </w:pPr>
      <w:r>
        <w:rPr>
          <w:rFonts w:ascii="Arial" w:cs="Arial" w:eastAsia="Arial" w:hAnsi="Arial"/>
          <w:sz w:val="22"/>
          <w:szCs w:val="22"/>
        </w:rPr>
        <w:t xml:space="preserve">HyDE was selected as the advanced retrieval technique. Instead of embedding the raw partner query directly, HyDE first prompts the LLM to generate a hypothetical answer — a short paragraph written in the style of the internal capability documents. This hypothetical answer is then embedded and used as the search vector against Qdrant.</w:t>
      </w:r>
    </w:p>
    <w:p>
      <w:pPr>
        <w:spacing w:before="60" w:after="60"/>
      </w:pPr>
      <w:r>
        <w:rPr>
          <w:rFonts w:ascii="Arial" w:cs="Arial" w:eastAsia="Arial" w:hAnsi="Arial"/>
          <w:sz w:val="22"/>
          <w:szCs w:val="22"/>
        </w:rPr>
        <w:t xml:space="preserve">This technique is particularly well-suited to the KX use case because consulting partners ask questions in business language while the capability documents are written in technical consulting terminology. HyDE bridges this vocabulary gap by generating domain-specific text (e.g., 'Basel III, COREP, FINREP, BCBS 239 compliance') from a business query (e.g., 'regulatory penalties and compliance delays'), producing an embedding much closer to the actual document vectors.</w:t>
      </w:r>
    </w:p>
    <w:p>
      <w:pPr>
        <w:pStyle w:val="Heading2"/>
        <w:spacing w:before="240" w:after="80"/>
      </w:pPr>
      <w:r>
        <w:rPr>
          <w:rFonts w:ascii="Arial" w:cs="Arial" w:eastAsia="Arial" w:hAnsi="Arial"/>
          <w:b/>
          <w:bCs/>
          <w:color w:val="2E5D9B"/>
          <w:sz w:val="26"/>
          <w:szCs w:val="26"/>
        </w:rPr>
        <w:t xml:space="preserve">6.2 Implementation</w:t>
      </w:r>
    </w:p>
    <w:p>
      <w:pPr>
        <w:spacing w:before="60" w:after="60"/>
      </w:pPr>
      <w:r>
        <w:rPr>
          <w:rFonts w:ascii="Arial" w:cs="Arial" w:eastAsia="Arial" w:hAnsi="Arial"/>
          <w:sz w:val="22"/>
          <w:szCs w:val="22"/>
        </w:rPr>
        <w:t xml:space="preserve">HyDE was implemented in src/retriever_hyde.py. The pipeline flow is: (1) generate hypothetical answer via GPT-4o-mini, (2) embed hypothetical answer using text-embedding-3-small, (3) semantic search in Qdrant using HyDE vector with metadata pre-filtering, (4) BM25 re-ranking using the original query. This preserves the keyword matching benefits of BM25 on the original query while using the richer HyDE vector for semantic retrieval.</w:t>
      </w:r>
    </w:p>
    <w:p>
      <w:pPr>
        <w:pStyle w:val="Heading2"/>
        <w:spacing w:before="240" w:after="80"/>
      </w:pPr>
      <w:r>
        <w:rPr>
          <w:rFonts w:ascii="Arial" w:cs="Arial" w:eastAsia="Arial" w:hAnsi="Arial"/>
          <w:b/>
          <w:bCs/>
          <w:color w:val="2E5D9B"/>
          <w:sz w:val="26"/>
          <w:szCs w:val="26"/>
        </w:rPr>
        <w:t xml:space="preserve">6.3 Performance Comparison</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HyDE</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Faithfulness</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0.766</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0.733</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-0.033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 Precision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0.679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0.718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+0.038</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Context Recall</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0.300</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0.436</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+0.136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Answer Relevancy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0.628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0.681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+0.053</w:t>
            </w:r>
          </w:p>
        </w:tc>
      </w:tr>
    </w:tbl>
    <w:p>
      <w:pPr>
        <w:pStyle w:val="Heading2"/>
        <w:spacing w:before="240" w:after="80"/>
      </w:pPr>
      <w:r>
        <w:rPr>
          <w:rFonts w:ascii="Arial" w:cs="Arial" w:eastAsia="Arial" w:hAnsi="Arial"/>
          <w:b/>
          <w:bCs/>
          <w:color w:val="2E5D9B"/>
          <w:sz w:val="26"/>
          <w:szCs w:val="26"/>
        </w:rPr>
        <w:t xml:space="preserve">6.4 Analysis</w:t>
      </w:r>
    </w:p>
    <w:p>
      <w:pPr>
        <w:spacing w:before="60" w:after="60"/>
      </w:pPr>
      <w:r>
        <w:rPr>
          <w:rFonts w:ascii="Arial" w:cs="Arial" w:eastAsia="Arial" w:hAnsi="Arial"/>
          <w:sz w:val="22"/>
          <w:szCs w:val="22"/>
        </w:rPr>
        <w:t xml:space="preserve">HyDE delivered meaningful improvements on 3 out of 4 metrics. The most significant gain was context recall (+0.136, a 45% relative improvement from 0.300 to 0.436), directly confirming the hypothesis that vocabulary mismatch was the primary retrieval bottleneck. HyDE's hypothetical answer generation produces domain-specific terminology that aligns much more closely with the internal document vocabulary, enabling the semantic search to surface previously missed chunks.</w:t>
      </w:r>
    </w:p>
    <w:p>
      <w:pPr>
        <w:spacing w:before="60" w:after="60"/>
      </w:pPr>
      <w:r>
        <w:rPr>
          <w:rFonts w:ascii="Arial" w:cs="Arial" w:eastAsia="Arial" w:hAnsi="Arial"/>
          <w:sz w:val="22"/>
          <w:szCs w:val="22"/>
        </w:rPr>
        <w:t xml:space="preserve">Context precision improved modestly (+0.038), indicating that HyDE's retrieved chunks are slightly more relevant overall. Answer relevancy improved (+0.053), reflecting better context enabling more targeted responses.</w:t>
      </w:r>
    </w:p>
    <w:p>
      <w:pPr>
        <w:spacing w:before="60" w:after="60"/>
      </w:pPr>
      <w:r>
        <w:rPr>
          <w:rFonts w:ascii="Arial" w:cs="Arial" w:eastAsia="Arial" w:hAnsi="Arial"/>
          <w:sz w:val="22"/>
          <w:szCs w:val="22"/>
        </w:rPr>
        <w:t xml:space="preserve">The minor faithfulness drop (-0.033) is an acceptable tradeoff — the small decrease may be attributed to the broader context set retrieved by HyDE occasionally including marginally less precise chunks, but the overall answer quality improvement outweighs this cost.</w:t>
      </w:r>
    </w:p>
    <w:p>
      <w:r>
        <w:br w:type="page"/>
      </w:r>
    </w:p>
    <w:p>
      <w:pPr>
        <w:pStyle w:val="Heading1"/>
        <w:spacing w:before="360" w:after="120"/>
      </w:pPr>
      <w:r>
        <w:rPr>
          <w:rFonts w:ascii="Arial" w:cs="Arial" w:eastAsia="Arial" w:hAnsi="Arial"/>
          <w:b/>
          <w:bCs/>
          <w:color w:val="1F3864"/>
          <w:sz w:val="32"/>
          <w:szCs w:val="32"/>
        </w:rPr>
        <w:t xml:space="preserve">Task 7 — Next Steps</w:t>
      </w:r>
    </w:p>
    <w:p>
      <w:pPr>
        <w:pBdr>
          <w:bottom w:val="single" w:color="2E5D9B" w:sz="4" w:space="1"/>
        </w:pBdr>
        <w:spacing w:before="120" w:after="120"/>
      </w:pPr>
    </w:p>
    <w:p>
      <w:pPr>
        <w:pStyle w:val="Heading2"/>
        <w:spacing w:before="240" w:after="80"/>
      </w:pPr>
      <w:r>
        <w:rPr>
          <w:rFonts w:ascii="Arial" w:cs="Arial" w:eastAsia="Arial" w:hAnsi="Arial"/>
          <w:b/>
          <w:bCs/>
          <w:color w:val="2E5D9B"/>
          <w:sz w:val="26"/>
          <w:szCs w:val="26"/>
        </w:rPr>
        <w:t xml:space="preserve">7.1 Retrieval Strategy for Demo Day</w:t>
      </w:r>
    </w:p>
    <w:p>
      <w:pPr>
        <w:spacing w:before="60" w:after="60"/>
      </w:pPr>
      <w:r>
        <w:rPr>
          <w:rFonts w:ascii="Arial" w:cs="Arial" w:eastAsia="Arial" w:hAnsi="Arial"/>
          <w:sz w:val="22"/>
          <w:szCs w:val="22"/>
        </w:rPr>
        <w:t xml:space="preserve">Yes — HyDE will be retained as the production retrieval strategy for Demo Day. The data clearly supports this decision: HyDE improved context recall by 45% relative (0.300 to 0.436) which is the most critical metric for a knowledge assistant. A partner asking about 'regulatory penalties' must retrieve the Basel III use case — with baseline retrieval, this connection was frequently missed. HyDE reliably makes this connection.</w:t>
      </w:r>
    </w:p>
    <w:p>
      <w:pPr>
        <w:pStyle w:val="Heading2"/>
        <w:spacing w:before="240" w:after="80"/>
      </w:pPr>
      <w:r>
        <w:rPr>
          <w:rFonts w:ascii="Arial" w:cs="Arial" w:eastAsia="Arial" w:hAnsi="Arial"/>
          <w:b/>
          <w:bCs/>
          <w:color w:val="2E5D9B"/>
          <w:sz w:val="26"/>
          <w:szCs w:val="26"/>
        </w:rPr>
        <w:t xml:space="preserve">7.2 Planned Improvements Before Demo Day</w:t>
      </w:r>
    </w:p>
    <w:p>
      <w:pPr>
        <w:pStyle w:val="ListParagraph"/>
        <w:numPr>
          <w:ilvl w:val="0"/>
          <w:numId w:val="2"/>
        </w:numPr>
        <w:spacing w:before="40" w:after="40"/>
      </w:pPr>
      <w:r>
        <w:rPr>
          <w:rFonts w:ascii="Arial" w:cs="Arial" w:eastAsia="Arial" w:hAnsi="Arial"/>
          <w:sz w:val="22"/>
          <w:szCs w:val="22"/>
        </w:rPr>
        <w:t xml:space="preserve">Expand the golden dataset from 13 to 30+ questions covering more edge cases and cross-domain queries</w:t>
      </w:r>
    </w:p>
    <w:p>
      <w:pPr>
        <w:pStyle w:val="ListParagraph"/>
        <w:numPr>
          <w:ilvl w:val="0"/>
          <w:numId w:val="2"/>
        </w:numPr>
        <w:spacing w:before="40" w:after="40"/>
      </w:pPr>
      <w:r>
        <w:rPr>
          <w:rFonts w:ascii="Arial" w:cs="Arial" w:eastAsia="Arial" w:hAnsi="Arial"/>
          <w:sz w:val="22"/>
          <w:szCs w:val="22"/>
        </w:rPr>
        <w:t xml:space="preserve">Add conversation memory so partners can ask follow-up questions in context (e.g., 'tell me more about that second use case')</w:t>
      </w:r>
    </w:p>
    <w:p>
      <w:pPr>
        <w:pStyle w:val="ListParagraph"/>
        <w:numPr>
          <w:ilvl w:val="0"/>
          <w:numId w:val="2"/>
        </w:numPr>
        <w:spacing w:before="40" w:after="40"/>
      </w:pPr>
      <w:r>
        <w:rPr>
          <w:rFonts w:ascii="Arial" w:cs="Arial" w:eastAsia="Arial" w:hAnsi="Arial"/>
          <w:sz w:val="22"/>
          <w:szCs w:val="22"/>
        </w:rPr>
        <w:t xml:space="preserve">Implement response caching for frequently asked queries to reduce latency and API costs</w:t>
      </w:r>
    </w:p>
    <w:p>
      <w:pPr>
        <w:pStyle w:val="ListParagraph"/>
        <w:numPr>
          <w:ilvl w:val="0"/>
          <w:numId w:val="2"/>
        </w:numPr>
        <w:spacing w:before="40" w:after="40"/>
      </w:pPr>
      <w:r>
        <w:rPr>
          <w:rFonts w:ascii="Arial" w:cs="Arial" w:eastAsia="Arial" w:hAnsi="Arial"/>
          <w:sz w:val="22"/>
          <w:szCs w:val="22"/>
        </w:rPr>
        <w:t xml:space="preserve">Add a feedback mechanism (thumbs up/down) to collect usage data for continuous improvement</w:t>
      </w:r>
    </w:p>
    <w:p>
      <w:pPr>
        <w:pStyle w:val="ListParagraph"/>
        <w:numPr>
          <w:ilvl w:val="0"/>
          <w:numId w:val="2"/>
        </w:numPr>
        <w:spacing w:before="40" w:after="40"/>
      </w:pPr>
      <w:r>
        <w:rPr>
          <w:rFonts w:ascii="Arial" w:cs="Arial" w:eastAsia="Arial" w:hAnsi="Arial"/>
          <w:sz w:val="22"/>
          <w:szCs w:val="22"/>
        </w:rPr>
        <w:t xml:space="preserve">Expand the knowledge base with more use cases as Nexvance delivers new engagements — creating a positive feedback loop of usage -&gt; data -&gt; better performance</w:t>
      </w:r>
    </w:p>
    <w:p>
      <w:pPr>
        <w:pStyle w:val="ListParagraph"/>
        <w:numPr>
          <w:ilvl w:val="0"/>
          <w:numId w:val="2"/>
        </w:numPr>
        <w:spacing w:before="40" w:after="40"/>
      </w:pPr>
      <w:r>
        <w:rPr>
          <w:rFonts w:ascii="Arial" w:cs="Arial" w:eastAsia="Arial" w:hAnsi="Arial"/>
          <w:sz w:val="22"/>
          <w:szCs w:val="22"/>
        </w:rPr>
        <w:t xml:space="preserve">Consider fine-tuning the embedding model on Nexvance's proprietary terminology for further recall improvements</w:t>
      </w:r>
    </w:p>
    <w:p>
      <w:pPr>
        <w:pStyle w:val="ListParagraph"/>
        <w:numPr>
          <w:ilvl w:val="0"/>
          <w:numId w:val="2"/>
        </w:numPr>
        <w:spacing w:before="40" w:after="40"/>
      </w:pPr>
      <w:r>
        <w:rPr>
          <w:rFonts w:ascii="Arial" w:cs="Arial" w:eastAsia="Arial" w:hAnsi="Arial"/>
          <w:sz w:val="22"/>
          <w:szCs w:val="22"/>
        </w:rPr>
        <w:t xml:space="preserve">Add structured filters in the UI allowing partners to pre-select industry or domain before asking a question</w:t>
      </w:r>
    </w:p>
    <w:p>
      <w:pPr>
        <w:pStyle w:val="Heading2"/>
        <w:spacing w:before="240" w:after="80"/>
      </w:pPr>
      <w:r>
        <w:rPr>
          <w:rFonts w:ascii="Arial" w:cs="Arial" w:eastAsia="Arial" w:hAnsi="Arial"/>
          <w:b/>
          <w:bCs/>
          <w:color w:val="2E5D9B"/>
          <w:sz w:val="26"/>
          <w:szCs w:val="26"/>
        </w:rPr>
        <w:t xml:space="preserve">7.3 Production Readiness Considerations</w:t>
      </w:r>
    </w:p>
    <w:p>
      <w:pPr>
        <w:pStyle w:val="ListParagraph"/>
        <w:numPr>
          <w:ilvl w:val="0"/>
          <w:numId w:val="2"/>
        </w:numPr>
        <w:spacing w:before="40" w:after="40"/>
      </w:pPr>
      <w:r>
        <w:rPr>
          <w:rFonts w:ascii="Arial" w:cs="Arial" w:eastAsia="Arial" w:hAnsi="Arial"/>
          <w:sz w:val="22"/>
          <w:szCs w:val="22"/>
        </w:rPr>
        <w:t xml:space="preserve">Authentication: Add SSO/OAuth to restrict access to Nexvance employees only</w:t>
      </w:r>
    </w:p>
    <w:p>
      <w:pPr>
        <w:pStyle w:val="ListParagraph"/>
        <w:numPr>
          <w:ilvl w:val="0"/>
          <w:numId w:val="2"/>
        </w:numPr>
        <w:spacing w:before="40" w:after="40"/>
      </w:pPr>
      <w:r>
        <w:rPr>
          <w:rFonts w:ascii="Arial" w:cs="Arial" w:eastAsia="Arial" w:hAnsi="Arial"/>
          <w:sz w:val="22"/>
          <w:szCs w:val="22"/>
        </w:rPr>
        <w:t xml:space="preserve">Governance: Log all queries and answers for audit purposes — critical for a consulting firm handling client-sensitive information</w:t>
      </w:r>
    </w:p>
    <w:p>
      <w:pPr>
        <w:pStyle w:val="ListParagraph"/>
        <w:numPr>
          <w:ilvl w:val="0"/>
          <w:numId w:val="2"/>
        </w:numPr>
        <w:spacing w:before="40" w:after="40"/>
      </w:pPr>
      <w:r>
        <w:rPr>
          <w:rFonts w:ascii="Arial" w:cs="Arial" w:eastAsia="Arial" w:hAnsi="Arial"/>
          <w:sz w:val="22"/>
          <w:szCs w:val="22"/>
        </w:rPr>
        <w:t xml:space="preserve">Data refresh pipeline: Automate re-ingestion when new capability documents are added</w:t>
      </w:r>
    </w:p>
    <w:p>
      <w:pPr>
        <w:pStyle w:val="ListParagraph"/>
        <w:numPr>
          <w:ilvl w:val="0"/>
          <w:numId w:val="2"/>
        </w:numPr>
        <w:spacing w:before="40" w:after="40"/>
      </w:pPr>
      <w:r>
        <w:rPr>
          <w:rFonts w:ascii="Arial" w:cs="Arial" w:eastAsia="Arial" w:hAnsi="Arial"/>
          <w:sz w:val="22"/>
          <w:szCs w:val="22"/>
        </w:rPr>
        <w:t xml:space="preserve">Cost monitoring: Set up OpenAI usage alerts to prevent unexpected spend</w:t>
      </w:r>
    </w:p>
    <w:p>
      <w:pPr>
        <w:pStyle w:val="ListParagraph"/>
        <w:numPr>
          <w:ilvl w:val="0"/>
          <w:numId w:val="2"/>
        </w:numPr>
        <w:spacing w:before="40" w:after="40"/>
      </w:pPr>
      <w:r>
        <w:rPr>
          <w:rFonts w:ascii="Arial" w:cs="Arial" w:eastAsia="Arial" w:hAnsi="Arial"/>
          <w:sz w:val="22"/>
          <w:szCs w:val="22"/>
        </w:rPr>
        <w:t xml:space="preserve">Upgrade Render to a paid tier for production reliability and to eliminate cold-start delays</w:t>
      </w:r>
    </w:p>
    <w:p>
      <w:pPr>
        <w:spacing w:before="720"/>
      </w:pPr>
    </w:p>
    <w:p>
      <w:pPr>
        <w:pBdr>
          <w:bottom w:val="single" w:color="2E5D9B" w:sz="4" w:space="1"/>
        </w:pBdr>
        <w:spacing w:before="120" w:after="120"/>
      </w:pPr>
    </w:p>
    <w:p>
      <w:pPr>
        <w:spacing w:before="240" w:after="120"/>
        <w:jc w:val="center"/>
      </w:pPr>
      <w:r>
        <w:rPr>
          <w:rFonts w:ascii="Arial" w:cs="Arial" w:eastAsia="Arial" w:hAnsi="Arial"/>
          <w:i/>
          <w:iCs/>
          <w:color w:val="888888"/>
          <w:sz w:val="20"/>
          <w:szCs w:val="20"/>
        </w:rPr>
        <w:t xml:space="preserve">KX — Nexvance Consulting Group</w:t>
      </w:r>
    </w:p>
    <w:p>
      <w:pPr>
        <w:spacing w:before="0" w:after="0"/>
        <w:jc w:val="center"/>
      </w:pPr>
      <w:r>
        <w:rPr>
          <w:rFonts w:ascii="Arial" w:cs="Arial" w:eastAsia="Arial" w:hAnsi="Arial"/>
          <w:color w:val="AAAAAA"/>
          <w:sz w:val="18"/>
          <w:szCs w:val="18"/>
        </w:rPr>
        <w:t xml:space="preserve">AIM Certification Challenge Submission | 2026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5D9B"/>
      <w:sz w:val="26"/>
      <w:szCs w:val="26"/>
    </w:rPr>
  </w:style>
  <w:style w:type="paragraph" w:styleId="Heading3">
    <w:name w:val="Heading 3"/>
    <w:basedOn w:val="Normal"/>
    <w:next w:val="Normal"/>
    <w:qFormat/>
    <w:pPr>
      <w:spacing w:before="180" w:after="6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2026-03-03T19:45:09.969Z</dcterms:created>
  <dcterms:modified xsi:type="dcterms:W3CDTF">2026-03-03T19:45:09.970Z</dcterms:modified>
</cp:coreProperties>
</file>

<file path=docProps/custom.xml><?xml version="1.0" encoding="utf-8"?>
<Properties xmlns="http://schemas.openxmlformats.org/officeDocument/2006/custom-properties" xmlns:vt="http://schemas.openxmlformats.org/officeDocument/2006/docPropsVTypes"/>
</file>