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Engineer with 6+ years building scalable distributed backend systems in Java and Spring Boot, including reusable Terraform-managed AWS infrastructure that cut deployment man-hours by 33% and a Kafka-based asynchronous notification pipeline. Experienced designing reliable, idempotent services with full ACID guarantees within regulated Fintech (Standard Chartered Bank) and Healthtech (Oracle Cerner) environments.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