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highly available, event-driven Java/Spring Boot distributed systems, including a Kafka-based, asynchronous Email Notification Service processing 5,000+ emails/day. Experienced designing fault-tolerant, high-throughput systems with strong correctness guarantees (idempotency, ACID) and operating them at scale on AWS.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event-driven architecture, Apache Kafka, Microservices, idempotency, ACID guarantees</w:t>
      </w:r>
    </w:p>
    <w:p>
      <w:pPr>
        <w:spacing w:after="40" w:before="0" w:line="240" w:lineRule="auto"/>
      </w:pPr>
      <w:r>
        <w:t>Cloud &amp; Infrastructure: AWS (EC2, RDS, DMS, S3, CloudWatch), Docker, Kubernetes, Terraform (IaC),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