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6"/>
      </w:tblGrid>
      <w:tr>
        <w:tc>
          <w:tcPr>
            <w:tcW w:type="dxa" w:w="10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168" w:val="clear"/>
            <w:tcMar>
              <w:top w:type="dxa" w:w="190"/>
              <w:left w:type="dxa" w:w="250"/>
              <w:bottom w:type="dxa" w:w="170"/>
              <w:right w:type="dxa" w:w="250"/>
            </w:tcMar>
            <w:vAlign w:val="top"/>
          </w:tcPr>
          <w:p>
            <w:pPr>
              <w:spacing w:after="6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RBC AI Group  —  ADT Product Strategy Dashboard</w:t>
            </w:r>
          </w:p>
          <w:p>
            <w:pPr>
              <w:spacing w:after="7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FD4EA"/>
                <w:sz w:val="16"/>
                <w:szCs w:val="16"/>
              </w:rPr>
              <w:t xml:space="preserve">A Director-grade AI portfolio intelligence platform — from strategy to delivery.</w:t>
            </w:r>
          </w:p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BF00"/>
                <w:sz w:val="17"/>
                <w:szCs w:val="17"/>
              </w:rPr>
              <w:t xml:space="preserve">Mahesh Kumar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FD4EA"/>
                <w:sz w:val="15"/>
                <w:szCs w:val="15"/>
              </w:rPr>
              <w:t xml:space="preserve">   |   Director, Product Management &amp; Strategy (Candidate)   |   May 2026</w:t>
            </w:r>
          </w:p>
        </w:tc>
      </w:tr>
    </w:tbl>
    <w:tbl>
      <w:tblPr>
        <w:tblW w:type="dxa" w:w="10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6"/>
      </w:tblGrid>
      <w:tr>
        <w:trPr>
          <w:trHeight w:val="38" w:hRule="exact"/>
        </w:trPr>
        <w:tc>
          <w:tcPr>
            <w:tcW w:type="dxa" w:w="10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BF00" w:val="clear"/>
            <w:tcMar>
              <w:top w:type="dxa" w:w="0"/>
              <w:left w:type="dxa" w:w="110"/>
              <w:bottom w:type="dxa" w:w="0"/>
              <w:right w:type="dxa" w:w="11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55" w:line="2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/>
      </w:r>
    </w:p>
    <w:tbl>
      <w:tblPr>
        <w:tblW w:type="dxa" w:w="10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3"/>
        <w:gridCol w:w="4403"/>
      </w:tblGrid>
      <w:tr>
        <w:tc>
          <w:tcPr>
            <w:tcW w:type="dxa" w:w="1600"/>
            <w:tcBorders>
              <w:top w:val="single" w:color="003168" w:sz="4"/>
              <w:left w:val="single" w:color="003168" w:sz="4"/>
              <w:bottom w:val="single" w:color="003168" w:sz="4"/>
              <w:right w:val="single" w:color="003168" w:sz="4"/>
            </w:tcBorders>
            <w:shd w:fill="003168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PROBLEM
&amp; FIT</w:t>
            </w:r>
          </w:p>
        </w:tc>
        <w:tc>
          <w:tcPr>
            <w:tcW w:type="dxa" w:w="440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after="4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3168"/>
                <w:sz w:val="15"/>
                <w:szCs w:val="15"/>
              </w:rPr>
              <w:t xml:space="preserve">The Challenge</w:t>
            </w:r>
          </w:p>
          <w:p>
            <w:pPr>
              <w:spacing w:after="28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3168"/>
                <w:sz w:val="15"/>
                <w:szCs w:val="15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RBC's ADT program requires a Director who can prioritize $25M+ AI initiatives across 5+ LOBs and translate ambition into capital allocation decisions</w:t>
            </w:r>
          </w:p>
          <w:p>
            <w:pPr>
              <w:spacing w:after="28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3168"/>
                <w:sz w:val="15"/>
                <w:szCs w:val="15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Senior leaders lack a single source of truth for portfolio health — status, value delivered, strategic alignment, and risk are spread across decks and emails</w:t>
            </w:r>
          </w:p>
          <w:p>
            <w:pPr>
              <w:spacing w:after="28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3168"/>
                <w:sz w:val="15"/>
                <w:szCs w:val="15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Cross-functional AI reuse demands a leader who bridges business strategy, technology delivery, and executive communication with a OneRBC lens</w:t>
            </w:r>
          </w:p>
        </w:tc>
        <w:tc>
          <w:tcPr>
            <w:tcW w:type="dxa" w:w="440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top"/>
          </w:tcPr>
          <w:p>
            <w:pPr>
              <w:spacing w:after="4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5"/>
                <w:szCs w:val="15"/>
              </w:rPr>
              <w:t xml:space="preserve">Why This Product</w:t>
            </w:r>
          </w:p>
          <w:p>
            <w:pPr>
              <w:spacing w:after="28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3168"/>
                <w:sz w:val="15"/>
                <w:szCs w:val="15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Mirrors the Director mandate directly: intake &amp; prioritization at $25M threshold, multi-year roadmap governance, and real-time LOB alignment across 12 initiatives</w:t>
            </w:r>
          </w:p>
          <w:p>
            <w:pPr>
              <w:spacing w:after="28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3168"/>
                <w:sz w:val="15"/>
                <w:szCs w:val="15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Replaces static PowerPoint decks with a live, filterable intelligence platform — giving the AI Group the executive visibility it needs to act with confidence</w:t>
            </w:r>
          </w:p>
          <w:p>
            <w:pPr>
              <w:spacing w:after="28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3168"/>
                <w:sz w:val="15"/>
                <w:szCs w:val="15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Built client-first with reusable, platform-grade thinking — a working prototype of the ADT product strategy mindset, not just a slide about it</w:t>
            </w:r>
          </w:p>
        </w:tc>
      </w:tr>
    </w:tbl>
    <w:p>
      <w:pPr>
        <w:spacing w:after="0" w:before="45" w:line="2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/>
      </w:r>
    </w:p>
    <w:tbl>
      <w:tblPr>
        <w:tblW w:type="dxa" w:w="10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1"/>
        <w:gridCol w:w="2081"/>
        <w:gridCol w:w="2081"/>
        <w:gridCol w:w="2081"/>
        <w:gridCol w:w="2082"/>
      </w:tblGrid>
      <w:tr>
        <w:tc>
          <w:tcPr>
            <w:tcW w:type="dxa" w:w="20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168" w:val="clear"/>
            <w:tcMar>
              <w:top w:type="dxa" w:w="120"/>
              <w:left w:type="dxa" w:w="30"/>
              <w:bottom w:type="dxa" w:w="120"/>
              <w:right w:type="dxa" w:w="30"/>
            </w:tcMar>
            <w:vAlign w:val="center"/>
          </w:tcPr>
          <w:p>
            <w:pPr>
              <w:spacing w:after="24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$517M</w:t>
            </w:r>
          </w:p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1D5DB"/>
                <w:sz w:val="13"/>
                <w:szCs w:val="13"/>
              </w:rPr>
              <w:t xml:space="preserve">Portfolio Value</w:t>
            </w:r>
          </w:p>
        </w:tc>
        <w:tc>
          <w:tcPr>
            <w:tcW w:type="dxa" w:w="20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09E" w:val="clear"/>
            <w:tcMar>
              <w:top w:type="dxa" w:w="120"/>
              <w:left w:type="dxa" w:w="30"/>
              <w:bottom w:type="dxa" w:w="120"/>
              <w:right w:type="dxa" w:w="30"/>
            </w:tcMar>
            <w:vAlign w:val="center"/>
          </w:tcPr>
          <w:p>
            <w:pPr>
              <w:spacing w:after="24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12</w:t>
            </w:r>
          </w:p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1D5DB"/>
                <w:sz w:val="13"/>
                <w:szCs w:val="13"/>
              </w:rPr>
              <w:t xml:space="preserve">ADT Initiatives</w:t>
            </w:r>
          </w:p>
        </w:tc>
        <w:tc>
          <w:tcPr>
            <w:tcW w:type="dxa" w:w="20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C55E" w:val="clear"/>
            <w:tcMar>
              <w:top w:type="dxa" w:w="120"/>
              <w:left w:type="dxa" w:w="30"/>
              <w:bottom w:type="dxa" w:w="120"/>
              <w:right w:type="dxa" w:w="30"/>
            </w:tcMar>
            <w:vAlign w:val="center"/>
          </w:tcPr>
          <w:p>
            <w:pPr>
              <w:spacing w:after="24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$237M</w:t>
            </w:r>
          </w:p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1D5DB"/>
                <w:sz w:val="13"/>
                <w:szCs w:val="13"/>
              </w:rPr>
              <w:t xml:space="preserve">Value Delivered</w:t>
            </w:r>
          </w:p>
        </w:tc>
        <w:tc>
          <w:tcPr>
            <w:tcW w:type="dxa" w:w="20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20"/>
              <w:left w:type="dxa" w:w="30"/>
              <w:bottom w:type="dxa" w:w="120"/>
              <w:right w:type="dxa" w:w="30"/>
            </w:tcMar>
            <w:vAlign w:val="center"/>
          </w:tcPr>
          <w:p>
            <w:pPr>
              <w:spacing w:after="24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$184M</w:t>
            </w:r>
          </w:p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1D5DB"/>
                <w:sz w:val="13"/>
                <w:szCs w:val="13"/>
              </w:rPr>
              <w:t xml:space="preserve">In-Flight</w:t>
            </w:r>
          </w:p>
        </w:tc>
        <w:tc>
          <w:tcPr>
            <w:tcW w:type="dxa" w:w="20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30"/>
              <w:bottom w:type="dxa" w:w="120"/>
              <w:right w:type="dxa" w:w="30"/>
            </w:tcMar>
            <w:vAlign w:val="center"/>
          </w:tcPr>
          <w:p>
            <w:pPr>
              <w:spacing w:after="24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 LOBs</w:t>
            </w:r>
          </w:p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1D5DB"/>
                <w:sz w:val="13"/>
                <w:szCs w:val="13"/>
              </w:rPr>
              <w:t xml:space="preserve">Lines of Business</w:t>
            </w:r>
          </w:p>
        </w:tc>
      </w:tr>
    </w:tbl>
    <w:p>
      <w:pPr>
        <w:spacing w:after="0" w:before="45" w:line="2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/>
      </w:r>
    </w:p>
    <w:tbl>
      <w:tblPr>
        <w:tblW w:type="dxa" w:w="10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1"/>
        <w:gridCol w:w="2201"/>
        <w:gridCol w:w="2201"/>
        <w:gridCol w:w="2203"/>
      </w:tblGrid>
      <w:tr>
        <w:tc>
          <w:tcPr>
            <w:tcW w:type="dxa" w:w="1600"/>
            <w:tcBorders>
              <w:top w:val="single" w:color="003168" w:sz="4"/>
              <w:left w:val="single" w:color="003168" w:sz="4"/>
              <w:bottom w:val="single" w:color="003168" w:sz="4"/>
              <w:right w:val="single" w:color="003168" w:sz="4"/>
            </w:tcBorders>
            <w:shd w:fill="003168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PRODUCT
ROADMAP
(RBC FY
Nov–Oct)</w:t>
            </w:r>
          </w:p>
        </w:tc>
        <w:tc>
          <w:tcPr>
            <w:tcW w:type="dxa" w:w="2201"/>
            <w:tcBorders>
              <w:top w:val="single" w:color="22C55E" w:sz="10"/>
              <w:left w:val="single" w:color="BBF7D0" w:sz="4"/>
              <w:bottom w:val="single" w:color="BBF7D0" w:sz="4"/>
              <w:right w:val="single" w:color="BBF7D0" w:sz="4"/>
            </w:tcBorders>
            <w:shd w:fill="F0FDF4" w:val="clear"/>
            <w:tcMar>
              <w:top w:type="dxa" w:w="90"/>
              <w:left w:type="dxa" w:w="110"/>
              <w:bottom w:type="dxa" w:w="90"/>
              <w:right w:type="dxa" w:w="90"/>
            </w:tcMar>
            <w:vAlign w:val="top"/>
          </w:tcPr>
          <w:p>
            <w:pPr>
              <w:spacing w:after="36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2"/>
                <w:szCs w:val="12"/>
              </w:rPr>
              <w:t xml:space="preserve">Phase 1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C55E"/>
                <w:sz w:val="11"/>
                <w:szCs w:val="11"/>
              </w:rPr>
              <w:t xml:space="preserve">Q2 FY25 — Ongoing  ★ LIVE</w:t>
            </w:r>
          </w:p>
          <w:p>
            <w:pPr>
              <w:spacing w:after="4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5"/>
                <w:szCs w:val="15"/>
              </w:rPr>
              <w:t xml:space="preserve">Foundation</w:t>
            </w:r>
          </w:p>
          <w:p>
            <w:pPr>
              <w:spacing w:after="22" w:before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3"/>
                <w:szCs w:val="13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Executive KPI dashboard ($517M portfolio view)</w:t>
            </w:r>
          </w:p>
          <w:p>
            <w:pPr>
              <w:spacing w:after="22" w:before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3"/>
                <w:szCs w:val="13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Multi-year Gantt &amp; initiative portfolio cards</w:t>
            </w:r>
          </w:p>
          <w:p>
            <w:pPr>
              <w:spacing w:after="22" w:before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3"/>
                <w:szCs w:val="13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Strategic pillar alignment &amp; stage stepper</w:t>
            </w:r>
          </w:p>
          <w:p>
            <w:pPr>
              <w:spacing w:after="22" w:before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3"/>
                <w:szCs w:val="13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Competitive radar — Big 5 + fintech landscape</w:t>
            </w:r>
          </w:p>
        </w:tc>
        <w:tc>
          <w:tcPr>
            <w:tcW w:type="dxa" w:w="2201"/>
            <w:tcBorders>
              <w:top w:val="single" w:color="3B82F6" w:sz="10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90"/>
              <w:left w:type="dxa" w:w="110"/>
              <w:bottom w:type="dxa" w:w="90"/>
              <w:right w:type="dxa" w:w="90"/>
            </w:tcMar>
            <w:vAlign w:val="top"/>
          </w:tcPr>
          <w:p>
            <w:pPr>
              <w:spacing w:after="36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82F6"/>
                <w:sz w:val="12"/>
                <w:szCs w:val="12"/>
              </w:rPr>
              <w:t xml:space="preserve">Phase 2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B82F6"/>
                <w:sz w:val="11"/>
                <w:szCs w:val="11"/>
              </w:rPr>
              <w:t xml:space="preserve">Q3 FY25 — Q1 FY26</w:t>
            </w:r>
          </w:p>
          <w:p>
            <w:pPr>
              <w:spacing w:after="4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82F6"/>
                <w:sz w:val="15"/>
                <w:szCs w:val="15"/>
              </w:rPr>
              <w:t xml:space="preserve">Data Connectivity</w:t>
            </w:r>
          </w:p>
          <w:p>
            <w:pPr>
              <w:spacing w:after="22" w:before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82F6"/>
                <w:sz w:val="13"/>
                <w:szCs w:val="13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JIRA / Azure DevOps live project sync</w:t>
            </w:r>
          </w:p>
          <w:p>
            <w:pPr>
              <w:spacing w:after="22" w:before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82F6"/>
                <w:sz w:val="13"/>
                <w:szCs w:val="13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SharePoint &amp; Teams content integration</w:t>
            </w:r>
          </w:p>
          <w:p>
            <w:pPr>
              <w:spacing w:after="22" w:before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82F6"/>
                <w:sz w:val="13"/>
                <w:szCs w:val="13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SSO via Azure AD / RBC IAM</w:t>
            </w:r>
          </w:p>
          <w:p>
            <w:pPr>
              <w:spacing w:after="22" w:before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82F6"/>
                <w:sz w:val="13"/>
                <w:szCs w:val="13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Role-based access — LOB lead, Exec, PMO</w:t>
            </w:r>
          </w:p>
        </w:tc>
        <w:tc>
          <w:tcPr>
            <w:tcW w:type="dxa" w:w="2201"/>
            <w:tcBorders>
              <w:top w:val="single" w:color="8B5CF6" w:sz="10"/>
              <w:left w:val="single" w:color="E9D5FF" w:sz="4"/>
              <w:bottom w:val="single" w:color="E9D5FF" w:sz="4"/>
              <w:right w:val="single" w:color="E9D5FF" w:sz="4"/>
            </w:tcBorders>
            <w:shd w:fill="FAF5FF" w:val="clear"/>
            <w:tcMar>
              <w:top w:type="dxa" w:w="90"/>
              <w:left w:type="dxa" w:w="110"/>
              <w:bottom w:type="dxa" w:w="90"/>
              <w:right w:type="dxa" w:w="90"/>
            </w:tcMar>
            <w:vAlign w:val="top"/>
          </w:tcPr>
          <w:p>
            <w:pPr>
              <w:spacing w:after="36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5CF6"/>
                <w:sz w:val="12"/>
                <w:szCs w:val="12"/>
              </w:rPr>
              <w:t xml:space="preserve">Phase 3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B5CF6"/>
                <w:sz w:val="11"/>
                <w:szCs w:val="11"/>
              </w:rPr>
              <w:t xml:space="preserve">Q2 FY26 — Q3 FY26</w:t>
            </w:r>
          </w:p>
          <w:p>
            <w:pPr>
              <w:spacing w:after="4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5CF6"/>
                <w:sz w:val="15"/>
                <w:szCs w:val="15"/>
              </w:rPr>
              <w:t xml:space="preserve">Intelligence Layer</w:t>
            </w:r>
          </w:p>
          <w:p>
            <w:pPr>
              <w:spacing w:after="22" w:before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5CF6"/>
                <w:sz w:val="13"/>
                <w:szCs w:val="13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Natural language query interface</w:t>
            </w:r>
          </w:p>
          <w:p>
            <w:pPr>
              <w:spacing w:after="22" w:before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5CF6"/>
                <w:sz w:val="13"/>
                <w:szCs w:val="13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AI initiative risk &amp; success scoring</w:t>
            </w:r>
          </w:p>
          <w:p>
            <w:pPr>
              <w:spacing w:after="22" w:before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5CF6"/>
                <w:sz w:val="13"/>
                <w:szCs w:val="13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Auto-generated ExCo update (PPT / Word)</w:t>
            </w:r>
          </w:p>
          <w:p>
            <w:pPr>
              <w:spacing w:after="22" w:before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5CF6"/>
                <w:sz w:val="13"/>
                <w:szCs w:val="13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Portfolio anomaly alerts via Slack / Teams</w:t>
            </w:r>
          </w:p>
        </w:tc>
        <w:tc>
          <w:tcPr>
            <w:tcW w:type="dxa" w:w="2203"/>
            <w:tcBorders>
              <w:top w:val="single" w:color="F59E0B" w:sz="10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90"/>
              <w:left w:type="dxa" w:w="110"/>
              <w:bottom w:type="dxa" w:w="90"/>
              <w:right w:type="dxa" w:w="90"/>
            </w:tcMar>
            <w:vAlign w:val="top"/>
          </w:tcPr>
          <w:p>
            <w:pPr>
              <w:spacing w:after="36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2"/>
                <w:szCs w:val="12"/>
              </w:rPr>
              <w:t xml:space="preserve">Phase 4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59E0B"/>
                <w:sz w:val="11"/>
                <w:szCs w:val="11"/>
              </w:rPr>
              <w:t xml:space="preserve">Q4 FY26+</w:t>
            </w:r>
          </w:p>
          <w:p>
            <w:pPr>
              <w:spacing w:after="4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5"/>
                <w:szCs w:val="15"/>
              </w:rPr>
              <w:t xml:space="preserve">Enterprise Scale</w:t>
            </w:r>
          </w:p>
          <w:p>
            <w:pPr>
              <w:spacing w:after="22" w:before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3"/>
                <w:szCs w:val="13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LOB self-service intake &amp; scoring portal</w:t>
            </w:r>
          </w:p>
          <w:p>
            <w:pPr>
              <w:spacing w:after="22" w:before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3"/>
                <w:szCs w:val="13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API-first for enterprise integrations</w:t>
            </w:r>
          </w:p>
          <w:p>
            <w:pPr>
              <w:spacing w:after="22" w:before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3"/>
                <w:szCs w:val="13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Mobile executive dashboard (iOS / Android)</w:t>
            </w:r>
          </w:p>
          <w:p>
            <w:pPr>
              <w:spacing w:after="22" w:before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3"/>
                <w:szCs w:val="13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Real-time competitive intelligence feeds</w:t>
            </w:r>
          </w:p>
        </w:tc>
      </w:tr>
    </w:tbl>
    <w:p>
      <w:pPr>
        <w:spacing w:after="0" w:before="45" w:line="2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/>
      </w:r>
    </w:p>
    <w:tbl>
      <w:tblPr>
        <w:tblW w:type="dxa" w:w="10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3"/>
        <w:gridCol w:w="4403"/>
      </w:tblGrid>
      <w:tr>
        <w:tc>
          <w:tcPr>
            <w:tcW w:type="dxa" w:w="1600"/>
            <w:vMerge w:val="restart"/>
            <w:tcBorders>
              <w:top w:val="single" w:color="003168" w:sz="4"/>
              <w:left w:val="single" w:color="003168" w:sz="4"/>
              <w:bottom w:val="single" w:color="003168" w:sz="4"/>
              <w:right w:val="single" w:color="003168" w:sz="4"/>
            </w:tcBorders>
            <w:shd w:fill="003168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KEY
CAPABILITIES</w:t>
            </w:r>
          </w:p>
        </w:tc>
        <w:tc>
          <w:tcPr>
            <w:tcW w:type="dxa" w:w="440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3168"/>
                <w:sz w:val="13"/>
                <w:szCs w:val="13"/>
              </w:rPr>
              <w:t xml:space="preserve">[01]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3168"/>
                <w:sz w:val="14"/>
                <w:szCs w:val="14"/>
              </w:rPr>
              <w:t xml:space="preserve">Executive Dashboard</w:t>
            </w:r>
          </w:p>
          <w:p>
            <w:pPr>
              <w:spacing w:after="0" w:before="0" w:line="21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Real-time KPI view of a $517M portfolio across 12 initiatives and 5 LOBs with status donut and LOB breakdown.</w:t>
            </w:r>
          </w:p>
        </w:tc>
        <w:tc>
          <w:tcPr>
            <w:tcW w:type="dxa" w:w="440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82F6"/>
                <w:sz w:val="13"/>
                <w:szCs w:val="13"/>
              </w:rPr>
              <w:t xml:space="preserve">[02]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82F6"/>
                <w:sz w:val="14"/>
                <w:szCs w:val="14"/>
              </w:rPr>
              <w:t xml:space="preserve">ADT Initiatives</w:t>
            </w:r>
          </w:p>
          <w:p>
            <w:pPr>
              <w:spacing w:after="0" w:before="0" w:line="21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Multi-year Gantt from Discovery → Scale, RBC FY quarter markers, live stage-progression stepper.</w:t>
            </w:r>
          </w:p>
        </w:tc>
      </w:tr>
      <w:tr>
        <w:tc>
          <w:tcPr>
            <w:vMerge w:val="continue"/>
            <w:tcBorders>
              <w:top w:val="single" w:color="003168" w:sz="4"/>
              <w:left w:val="single" w:color="003168" w:sz="4"/>
              <w:bottom w:val="single" w:color="003168" w:sz="4"/>
              <w:right w:val="single" w:color="003168" w:sz="4"/>
            </w:tcBorders>
          </w:tcPr>
          <w:p/>
        </w:tc>
        <w:tc>
          <w:tcPr>
            <w:tcW w:type="dxa" w:w="440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5CF6"/>
                <w:sz w:val="13"/>
                <w:szCs w:val="13"/>
              </w:rPr>
              <w:t xml:space="preserve">[03]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5CF6"/>
                <w:sz w:val="14"/>
                <w:szCs w:val="14"/>
              </w:rPr>
              <w:t xml:space="preserve">Initiative Portfolio</w:t>
            </w:r>
          </w:p>
          <w:p>
            <w:pPr>
              <w:spacing w:after="0" w:before="0" w:line="21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Filterable cards by LOB, status, and $25M+ impact threshold — financial impact, KPIs, and stage per initiative.</w:t>
            </w:r>
          </w:p>
        </w:tc>
        <w:tc>
          <w:tcPr>
            <w:tcW w:type="dxa" w:w="440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3"/>
                <w:szCs w:val="13"/>
              </w:rPr>
              <w:t xml:space="preserve">[04]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4"/>
                <w:szCs w:val="14"/>
              </w:rPr>
              <w:t xml:space="preserve">Strategic Alignment</w:t>
            </w:r>
          </w:p>
          <w:p>
            <w:pPr>
              <w:spacing w:after="0" w:before="0" w:line="21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Pillar-level value mapping across Client First, Do What's Right, Growth Mindset, and Op. Excellence.</w:t>
            </w:r>
          </w:p>
        </w:tc>
      </w:tr>
      <w:tr>
        <w:tc>
          <w:tcPr>
            <w:vMerge w:val="continue"/>
            <w:tcBorders>
              <w:top w:val="single" w:color="003168" w:sz="4"/>
              <w:left w:val="single" w:color="003168" w:sz="4"/>
              <w:bottom w:val="single" w:color="003168" w:sz="4"/>
              <w:right w:val="single" w:color="003168" w:sz="4"/>
            </w:tcBorders>
          </w:tcPr>
          <w:p/>
        </w:tc>
        <w:tc>
          <w:tcPr>
            <w:tcW w:type="dxa" w:w="440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102E"/>
                <w:sz w:val="13"/>
                <w:szCs w:val="13"/>
              </w:rPr>
              <w:t xml:space="preserve">[05]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102E"/>
                <w:sz w:val="14"/>
                <w:szCs w:val="14"/>
              </w:rPr>
              <w:t xml:space="preserve">Market Intelligence</w:t>
            </w:r>
          </w:p>
          <w:p>
            <w:pPr>
              <w:spacing w:after="0" w:before="0" w:line="21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Big 5 competitive radar, annual tech spend comparison, competitor initiative cards, and fintech disruptors.</w:t>
            </w:r>
          </w:p>
        </w:tc>
        <w:tc>
          <w:tcPr>
            <w:tcW w:type="dxa" w:w="440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3"/>
                <w:szCs w:val="13"/>
              </w:rPr>
              <w:t xml:space="preserve">[06]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14"/>
                <w:szCs w:val="14"/>
              </w:rPr>
              <w:t xml:space="preserve">Design &amp; Tech</w:t>
            </w:r>
          </w:p>
          <w:p>
            <w:pPr>
              <w:spacing w:after="0" w:before="0" w:line="21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3"/>
                <w:szCs w:val="13"/>
              </w:rPr>
              <w:t xml:space="preserve">Python · Streamlit · Plotly · Pandas. Wealthsimple + Lemonade-inspired UI. Deployable via Streamlit Cloud in 5 min.</w:t>
            </w:r>
          </w:p>
        </w:tc>
      </w:tr>
    </w:tbl>
    <w:p>
      <w:pPr>
        <w:spacing w:after="0" w:before="45" w:line="2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16"/>
          <w:szCs w:val="16"/>
        </w:rPr>
        <w:t xml:space="preserve"/>
      </w:r>
    </w:p>
    <w:tbl>
      <w:tblPr>
        <w:tblW w:type="dxa" w:w="10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6"/>
      </w:tblGrid>
      <w:tr>
        <w:tc>
          <w:tcPr>
            <w:tcW w:type="dxa" w:w="10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168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Made with ❤️ by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BF00"/>
                <w:sz w:val="14"/>
                <w:szCs w:val="14"/>
              </w:rPr>
              <w:t xml:space="preserve">Mahesh Kumar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FD4EA"/>
                <w:sz w:val="14"/>
                <w:szCs w:val="14"/>
              </w:rPr>
              <w:t xml:space="preserve">   ·   RBC ADT Product Strategy Prototype   ·   2026</w:t>
            </w:r>
          </w:p>
        </w:tc>
      </w:tr>
    </w:tbl>
    <w:sectPr>
      <w:pgSz w:w="11906" w:h="16838" w:orient="portrait"/>
      <w:pgMar w:top="480" w:right="750" w:bottom="48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2026-05-26T04:30:08.766Z</dcterms:created>
  <dcterms:modified xsi:type="dcterms:W3CDTF">2026-05-26T04:30:08.793Z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