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rPr>
          <w:b w:val="1"/>
          <w:sz w:val="32"/>
        </w:rPr>
      </w:pPr>
      <w:r>
        <w:rPr>
          <w:b w:val="1"/>
          <w:sz w:val="32"/>
        </w:rPr>
        <w:t>Часть 4. Контрольные сценарии и метрики приёмки</w:t>
      </w:r>
    </w:p>
    <w:p w14:paraId="02000000"/>
    <w:p w14:paraId="03000000">
      <w:r>
        <w:t>Цель: показать заказчику, как объективно измерить, что MVP решает задачу. Без эмоций — только цифры и данные.</w:t>
      </w:r>
    </w:p>
    <w:p w14:paraId="04000000"/>
    <w:p w14:paraId="05000000">
      <w:pPr>
        <w:pStyle w:val="Style_1"/>
      </w:pPr>
      <w:r>
        <w:t>Принцип: 5 сценариев, каждый привязан к User Story заказчика. Для каждого — что измеряем, как и на каких данных.</w:t>
      </w:r>
    </w:p>
    <w:p w14:paraId="06000000">
      <w:pPr>
        <w:pStyle w:val="Style_1"/>
      </w:pPr>
    </w:p>
    <w:p w14:paraId="07000000"/>
    <w:p w14:paraId="08000000">
      <w:pPr>
        <w:pStyle w:val="Style_1"/>
        <w:rPr>
          <w:b w:val="1"/>
        </w:rPr>
      </w:pPr>
      <w:r>
        <w:rPr>
          <w:b w:val="1"/>
        </w:rPr>
        <w:t>4.1. Контрольные сценарии и метрики</w:t>
      </w:r>
    </w:p>
    <w:p w14:paraId="09000000">
      <w:pPr>
        <w:pStyle w:val="Style_1"/>
      </w:pPr>
    </w:p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589"/>
        <w:gridCol w:w="2699"/>
        <w:gridCol w:w="1644"/>
        <w:gridCol w:w="1644"/>
        <w:gridCol w:w="1644"/>
        <w:gridCol w:w="1644"/>
      </w:tblGrid>
      <w:tr>
        <w:trPr>
          <w:trHeight w:hRule="atLeast" w:val="360"/>
        </w:trPr>
        <w:tc>
          <w:tcPr>
            <w:tcW w:type="dxa" w:w="5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A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№</w:t>
            </w:r>
          </w:p>
        </w:tc>
        <w:tc>
          <w:tcPr>
            <w:tcW w:type="dxa" w:w="269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B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Сценарий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C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Что измеряем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D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Как измеряем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E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На каких данных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F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Целевое значение</w:t>
            </w:r>
          </w:p>
        </w:tc>
      </w:tr>
      <w:tr>
        <w:trPr>
          <w:trHeight w:hRule="atLeast" w:val="360"/>
        </w:trPr>
        <w:tc>
          <w:tcPr>
            <w:tcW w:type="dxa" w:w="5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0000000">
            <w:pPr>
              <w:ind/>
              <w:jc w:val="center"/>
            </w:pPr>
            <w:r>
              <w:t>1</w:t>
            </w:r>
          </w:p>
        </w:tc>
        <w:tc>
          <w:tcPr>
            <w:tcW w:type="dxa" w:w="269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1000000">
            <w:pPr>
              <w:ind/>
              <w:jc w:val="center"/>
            </w:pPr>
            <w:r>
              <w:t>Управляющий спрашивает: «Что заказать в ближайшие 14 дней?»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2000000">
            <w:pPr>
              <w:ind/>
              <w:jc w:val="center"/>
            </w:pPr>
            <w:r>
              <w:t>Время получения ответа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3000000">
            <w:pPr>
              <w:ind/>
              <w:jc w:val="center"/>
            </w:pPr>
            <w:r>
              <w:t>Секундомер: от запроса до готового списка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4000000">
            <w:pPr>
              <w:ind/>
              <w:jc w:val="center"/>
            </w:pPr>
            <w:r>
              <w:t>Логи MVP, хронометраж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5000000">
            <w:pPr>
              <w:ind/>
              <w:jc w:val="center"/>
            </w:pPr>
            <w:r>
              <w:t>До 1 минуты (сейчас 4–6 часов вручную)</w:t>
            </w:r>
          </w:p>
        </w:tc>
      </w:tr>
      <w:tr>
        <w:trPr>
          <w:trHeight w:hRule="atLeast" w:val="360"/>
        </w:trPr>
        <w:tc>
          <w:tcPr>
            <w:tcW w:type="dxa" w:w="5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6000000">
            <w:pPr>
              <w:ind/>
              <w:jc w:val="center"/>
            </w:pPr>
            <w:r>
              <w:t>2</w:t>
            </w:r>
          </w:p>
        </w:tc>
        <w:tc>
          <w:tcPr>
            <w:tcW w:type="dxa" w:w="269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7000000">
            <w:pPr>
              <w:ind/>
              <w:jc w:val="center"/>
            </w:pPr>
            <w:r>
              <w:t>Система формирует план закупок на квартал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8000000">
            <w:pPr>
              <w:ind/>
              <w:jc w:val="center"/>
            </w:pPr>
            <w:r>
              <w:t>Точность прогноза потребности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9000000">
            <w:pPr>
              <w:ind/>
              <w:jc w:val="center"/>
            </w:pPr>
            <w:r>
              <w:t>Сравнение прогноза с фактическим расходом (MAPE)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A000000">
            <w:pPr>
              <w:ind/>
              <w:jc w:val="center"/>
            </w:pPr>
            <w:r>
              <w:t>История ABS + факт расхода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B000000">
            <w:pPr>
              <w:ind/>
              <w:jc w:val="center"/>
            </w:pPr>
            <w:r>
              <w:t>MAPE ≤ 30% на бэктесте</w:t>
            </w:r>
          </w:p>
        </w:tc>
      </w:tr>
      <w:tr>
        <w:trPr>
          <w:trHeight w:hRule="atLeast" w:val="360"/>
        </w:trPr>
        <w:tc>
          <w:tcPr>
            <w:tcW w:type="dxa" w:w="5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C000000">
            <w:pPr>
              <w:ind/>
              <w:jc w:val="center"/>
            </w:pPr>
            <w:r>
              <w:t>3</w:t>
            </w:r>
          </w:p>
        </w:tc>
        <w:tc>
          <w:tcPr>
            <w:tcW w:type="dxa" w:w="269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D000000">
            <w:pPr>
              <w:ind/>
              <w:jc w:val="center"/>
            </w:pPr>
            <w:r>
              <w:t>Система выявляет позиции с риском дефицита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E000000">
            <w:pPr>
              <w:ind/>
              <w:jc w:val="center"/>
            </w:pPr>
            <w:r>
              <w:t>Полнота выявления (recall)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F000000">
            <w:pPr>
              <w:ind/>
              <w:jc w:val="center"/>
            </w:pPr>
            <w:r>
              <w:t>Сравнение с фактическими дефицитами за период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0000000">
            <w:pPr>
              <w:ind/>
              <w:jc w:val="center"/>
            </w:pPr>
            <w:r>
              <w:t>Данные о дефицитах из ABS, журнал заказов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1000000">
            <w:pPr>
              <w:ind/>
              <w:jc w:val="center"/>
            </w:pPr>
            <w:r>
              <w:t>Recall ≥ 80%</w:t>
            </w:r>
          </w:p>
        </w:tc>
      </w:tr>
      <w:tr>
        <w:trPr>
          <w:trHeight w:hRule="atLeast" w:val="360"/>
        </w:trPr>
        <w:tc>
          <w:tcPr>
            <w:tcW w:type="dxa" w:w="5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2000000">
            <w:pPr>
              <w:ind/>
              <w:jc w:val="center"/>
            </w:pPr>
            <w:r>
              <w:t>4</w:t>
            </w:r>
          </w:p>
        </w:tc>
        <w:tc>
          <w:tcPr>
            <w:tcW w:type="dxa" w:w="269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3000000">
            <w:pPr>
              <w:ind/>
              <w:jc w:val="center"/>
            </w:pPr>
            <w:r>
              <w:t>Система предупреждает о партиях с истекающим сроком годности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4000000">
            <w:pPr>
              <w:ind/>
              <w:jc w:val="center"/>
            </w:pPr>
            <w:r>
              <w:t>Снижение списаний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5000000">
            <w:pPr>
              <w:ind/>
              <w:jc w:val="center"/>
            </w:pPr>
            <w:r>
              <w:t>Сравнение объёма списаний до и после пилота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6000000">
            <w:pPr>
              <w:ind/>
              <w:jc w:val="center"/>
            </w:pPr>
            <w:r>
              <w:t>Данные о списаниях из ABS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7000000">
            <w:pPr>
              <w:ind/>
              <w:jc w:val="center"/>
            </w:pPr>
            <w:r>
              <w:t>Снижение на 20–40%</w:t>
            </w:r>
          </w:p>
        </w:tc>
      </w:tr>
      <w:tr>
        <w:trPr>
          <w:trHeight w:hRule="atLeast" w:val="360"/>
        </w:trPr>
        <w:tc>
          <w:tcPr>
            <w:tcW w:type="dxa" w:w="58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8000000">
            <w:pPr>
              <w:ind/>
              <w:jc w:val="center"/>
            </w:pPr>
            <w:r>
              <w:t>5</w:t>
            </w:r>
          </w:p>
        </w:tc>
        <w:tc>
          <w:tcPr>
            <w:tcW w:type="dxa" w:w="269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9000000">
            <w:pPr>
              <w:ind/>
              <w:jc w:val="center"/>
            </w:pPr>
            <w:r>
              <w:t>Управляющий меняет бюджетный лимит и пересчитывает план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A000000">
            <w:pPr>
              <w:ind/>
              <w:jc w:val="center"/>
            </w:pPr>
            <w:r>
              <w:t>Время пересчёта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B000000">
            <w:pPr>
              <w:ind/>
              <w:jc w:val="center"/>
            </w:pPr>
            <w:r>
              <w:t>Секундомер: от изменения параметра до нового плана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C000000">
            <w:pPr>
              <w:ind/>
              <w:jc w:val="center"/>
            </w:pPr>
            <w:r>
              <w:t>Логи MVP</w:t>
            </w:r>
          </w:p>
        </w:tc>
        <w:tc>
          <w:tcPr>
            <w:tcW w:type="dxa" w:w="164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2D000000">
            <w:pPr>
              <w:ind/>
              <w:jc w:val="center"/>
            </w:pPr>
            <w:r>
              <w:t>До 30 секунд</w:t>
            </w:r>
          </w:p>
        </w:tc>
      </w:tr>
    </w:tbl>
    <w:p w14:paraId="2E000000">
      <w:pPr>
        <w:pStyle w:val="Style_1"/>
      </w:pPr>
    </w:p>
    <w:p w14:paraId="2F000000">
      <w:pPr>
        <w:pStyle w:val="Style_1"/>
      </w:pPr>
      <w:r>
        <w:t>4.2. Дополнительные метрики успеха</w:t>
      </w:r>
    </w:p>
    <w:p w14:paraId="30000000">
      <w:pPr>
        <w:pStyle w:val="Style_1"/>
      </w:pPr>
    </w:p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2466"/>
        <w:gridCol w:w="2466"/>
        <w:gridCol w:w="2466"/>
        <w:gridCol w:w="2466"/>
      </w:tblGrid>
      <w:tr>
        <w:trPr>
          <w:trHeight w:hRule="atLeast" w:val="679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1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Метрика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2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Что измеряем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3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Как измеряем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4000000">
            <w:pPr>
              <w:ind/>
              <w:jc w:val="center"/>
              <w:rPr>
                <w:b w:val="1"/>
              </w:rPr>
            </w:pPr>
            <w:r>
              <w:rPr>
                <w:b w:val="1"/>
              </w:rPr>
              <w:t>На каких данных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5000000">
            <w:pPr>
              <w:ind/>
              <w:jc w:val="center"/>
            </w:pPr>
            <w:r>
              <w:t>Доля закупок по рекомендациям MVP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6000000">
            <w:pPr>
              <w:ind/>
              <w:jc w:val="center"/>
            </w:pPr>
            <w:r>
              <w:t>% заказов, выполненных по плану системы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7000000">
            <w:pPr>
              <w:ind/>
              <w:jc w:val="center"/>
            </w:pPr>
            <w:r>
              <w:t>Сравнение журнала заказов с рекомендациями MVP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8000000">
            <w:pPr>
              <w:ind/>
              <w:jc w:val="center"/>
            </w:pPr>
            <w:r>
              <w:t>Журнал заказов ABS + логи MVP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9000000">
            <w:pPr>
              <w:ind/>
              <w:jc w:val="center"/>
            </w:pPr>
            <w:r>
              <w:t>Удовлетворённость пользователя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A000000">
            <w:pPr>
              <w:ind/>
              <w:jc w:val="center"/>
            </w:pPr>
            <w:r>
              <w:t>Оценка удобства по шкале 1–5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B000000">
            <w:pPr>
              <w:ind/>
              <w:jc w:val="center"/>
            </w:pPr>
            <w:r>
              <w:t>Опрос после пилота (3–5 пользователей)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C000000">
            <w:pPr>
              <w:ind/>
              <w:jc w:val="center"/>
            </w:pPr>
            <w:r>
              <w:t>Анкета обратной связи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D000000">
            <w:pPr>
              <w:ind/>
              <w:jc w:val="center"/>
            </w:pPr>
            <w:r>
              <w:t>Экономия времени на планирование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E000000">
            <w:pPr>
              <w:ind/>
              <w:jc w:val="center"/>
            </w:pPr>
            <w:r>
              <w:t>Часы, сэкономленные за квартал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F000000">
            <w:pPr>
              <w:ind/>
              <w:jc w:val="center"/>
            </w:pPr>
            <w:r>
              <w:t>Сравнение трудозатрат до и после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0000000">
            <w:pPr>
              <w:ind/>
              <w:jc w:val="center"/>
            </w:pPr>
            <w:r>
              <w:t>Хронометраж, интервью</w:t>
            </w:r>
          </w:p>
        </w:tc>
      </w:tr>
    </w:tbl>
    <w:p w14:paraId="41000000">
      <w:pPr>
        <w:pStyle w:val="Style_1"/>
      </w:pPr>
    </w:p>
    <w:p w14:paraId="42000000">
      <w:pPr>
        <w:pStyle w:val="Style_1"/>
      </w:pPr>
    </w:p>
    <w:p w14:paraId="43000000">
      <w:pPr>
        <w:rPr>
          <w:b w:val="1"/>
        </w:rPr>
      </w:pPr>
      <w:r>
        <w:rPr>
          <w:b w:val="1"/>
        </w:rPr>
        <w:t>4.3. Как заказчик поймёт, что MVP решает задачу</w:t>
      </w:r>
    </w:p>
    <w:p w14:paraId="44000000"/>
    <w:p w14:paraId="45000000">
      <w:r>
        <w:t>Критерий успеха пилота:</w:t>
      </w:r>
    </w:p>
    <w:p w14:paraId="46000000"/>
    <w:p w14:paraId="47000000">
      <w:r>
        <w:t>3 из 5 метрик достигли целевого значения,</w:t>
      </w:r>
    </w:p>
    <w:p w14:paraId="48000000">
      <w:r>
        <w:t>доля закупок по рекомендациям MVP ≥ 60%,</w:t>
      </w:r>
    </w:p>
    <w:p w14:paraId="49000000">
      <w:r>
        <w:t>удовлетворённость пользователей ≥ 4 из 5.</w:t>
      </w:r>
    </w:p>
    <w:p w14:paraId="4A000000">
      <w:r>
        <w:t>Если критерии выполнены — MVP решает задачу, можно масштабировать.</w:t>
      </w:r>
    </w:p>
    <w:p w14:paraId="4B000000">
      <w:pPr>
        <w:pStyle w:val="Style_1"/>
      </w:pPr>
      <w:r>
        <w:t>Если нет — фиксируем, что не сработало, и корректируем.</w:t>
      </w: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2026-09-23T19:41:32Z</dcterms:modified>
</cp:coreProperties>
</file>