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b w:val="1"/>
          <w:sz w:val="32"/>
        </w:rPr>
      </w:pPr>
      <w:r>
        <w:rPr>
          <w:b w:val="1"/>
          <w:sz w:val="32"/>
        </w:rPr>
        <w:t>Часть 3. Дорожная карта пилота (2 месяца)</w:t>
      </w:r>
    </w:p>
    <w:p w14:paraId="02000000"/>
    <w:p w14:paraId="03000000">
      <w:r>
        <w:t>Цель: запустить MVP на реальных данных, проверить, что он решает задачу, и принять решение о масштабировании.</w:t>
      </w:r>
    </w:p>
    <w:p w14:paraId="04000000"/>
    <w:p w14:paraId="05000000">
      <w:pPr>
        <w:pStyle w:val="Style_1"/>
      </w:pPr>
      <w:r>
        <w:t>Принцип: короткие вехи, измеримые критерии, минимальная команда. Каждая веха — максимум 1–2 недели.</w:t>
      </w:r>
    </w:p>
    <w:p w14:paraId="06000000">
      <w:pPr>
        <w:pStyle w:val="Style_1"/>
      </w:pPr>
    </w:p>
    <w:p w14:paraId="07000000">
      <w:pPr>
        <w:pStyle w:val="Style_1"/>
        <w:rPr>
          <w:b w:val="1"/>
        </w:rPr>
      </w:pPr>
      <w:r>
        <w:rPr>
          <w:b w:val="1"/>
        </w:rPr>
        <w:t>3.1. Дорожная карта</w:t>
      </w:r>
    </w:p>
    <w:p w14:paraId="08000000">
      <w:pPr>
        <w:pStyle w:val="Style_1"/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849"/>
        <w:gridCol w:w="1752"/>
        <w:gridCol w:w="1032"/>
        <w:gridCol w:w="3690"/>
        <w:gridCol w:w="2542"/>
      </w:tblGrid>
      <w:tr>
        <w:trPr>
          <w:trHeight w:hRule="atLeast" w:val="360"/>
        </w:trPr>
        <w:tc>
          <w:tcPr>
            <w:tcW w:type="dxa" w:w="84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9000000">
            <w:pPr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№</w:t>
            </w:r>
          </w:p>
        </w:tc>
        <w:tc>
          <w:tcPr>
            <w:tcW w:type="dxa" w:w="17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A000000">
            <w:pPr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Веха</w:t>
            </w:r>
          </w:p>
        </w:tc>
        <w:tc>
          <w:tcPr>
            <w:tcW w:type="dxa" w:w="10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B000000">
            <w:pPr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Срок</w:t>
            </w:r>
          </w:p>
        </w:tc>
        <w:tc>
          <w:tcPr>
            <w:tcW w:type="dxa" w:w="36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C000000">
            <w:pPr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Критерии готовности</w:t>
            </w:r>
          </w:p>
        </w:tc>
        <w:tc>
          <w:tcPr>
            <w:tcW w:type="dxa" w:w="25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D000000">
            <w:pPr>
              <w:ind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Вовлечённые роли</w:t>
            </w:r>
          </w:p>
        </w:tc>
      </w:tr>
      <w:tr>
        <w:trPr>
          <w:trHeight w:hRule="atLeast" w:val="3129"/>
        </w:trPr>
        <w:tc>
          <w:tcPr>
            <w:tcW w:type="dxa" w:w="84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E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type="dxa" w:w="17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F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Уточнение требований и аудит данных</w:t>
            </w:r>
          </w:p>
        </w:tc>
        <w:tc>
          <w:tcPr>
            <w:tcW w:type="dxa" w:w="10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0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Неделя 1–2</w:t>
            </w:r>
          </w:p>
        </w:tc>
        <w:tc>
          <w:tcPr>
            <w:tcW w:type="dxa" w:w="36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1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Согласован список критичных категорий</w:t>
            </w:r>
          </w:p>
          <w:p w14:paraId="12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Определены источники данных в ABS</w:t>
            </w:r>
          </w:p>
          <w:p w14:paraId="13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Подтверждена выгрузка истории за 12 мес.</w:t>
            </w:r>
          </w:p>
          <w:p w14:paraId="14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Зафиксированы метрики успеха</w:t>
            </w:r>
          </w:p>
        </w:tc>
        <w:tc>
          <w:tcPr>
            <w:tcW w:type="dxa" w:w="25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5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Управляющий, ИТ-команда ABS, закупщик, аналитик</w:t>
            </w:r>
          </w:p>
        </w:tc>
      </w:tr>
      <w:tr>
        <w:trPr>
          <w:trHeight w:hRule="atLeast" w:val="360"/>
        </w:trPr>
        <w:tc>
          <w:tcPr>
            <w:tcW w:type="dxa" w:w="84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6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type="dxa" w:w="17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7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Прототип расчётного модуля</w:t>
            </w:r>
          </w:p>
        </w:tc>
        <w:tc>
          <w:tcPr>
            <w:tcW w:type="dxa" w:w="10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8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Неделя 3–4</w:t>
            </w:r>
          </w:p>
        </w:tc>
        <w:tc>
          <w:tcPr>
            <w:tcW w:type="dxa" w:w="36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9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Прогноз потребности работает на исторических данных</w:t>
            </w:r>
          </w:p>
          <w:p w14:paraId="1A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Точность (MAPE) не ниже 70% на бэктесте</w:t>
            </w:r>
          </w:p>
          <w:p w14:paraId="1B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Точка заказа учитывает lead time</w:t>
            </w:r>
          </w:p>
        </w:tc>
        <w:tc>
          <w:tcPr>
            <w:tcW w:type="dxa" w:w="25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C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Аналитик, разработчик, закупщик</w:t>
            </w:r>
          </w:p>
        </w:tc>
      </w:tr>
      <w:tr>
        <w:trPr>
          <w:trHeight w:hRule="atLeast" w:val="360"/>
        </w:trPr>
        <w:tc>
          <w:tcPr>
            <w:tcW w:type="dxa" w:w="84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D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type="dxa" w:w="17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E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Интеграция с AI-помощником</w:t>
            </w:r>
          </w:p>
        </w:tc>
        <w:tc>
          <w:tcPr>
            <w:tcW w:type="dxa" w:w="10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F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Неделя 5–6</w:t>
            </w:r>
          </w:p>
        </w:tc>
        <w:tc>
          <w:tcPr>
            <w:tcW w:type="dxa" w:w="36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0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AI формирует список рисков и проект плана</w:t>
            </w:r>
          </w:p>
          <w:p w14:paraId="21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Бюджет считается и сравнивается с лимитом</w:t>
            </w:r>
          </w:p>
          <w:p w14:paraId="22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Объяснение расчёта отображается корректно</w:t>
            </w:r>
          </w:p>
          <w:p w14:paraId="23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Числа берутся только из ABS</w:t>
            </w:r>
          </w:p>
        </w:tc>
        <w:tc>
          <w:tcPr>
            <w:tcW w:type="dxa" w:w="25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4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Разработчик, аналитик, управляющий</w:t>
            </w:r>
          </w:p>
        </w:tc>
      </w:tr>
      <w:tr>
        <w:trPr>
          <w:trHeight w:hRule="atLeast" w:val="360"/>
        </w:trPr>
        <w:tc>
          <w:tcPr>
            <w:tcW w:type="dxa" w:w="84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5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type="dxa" w:w="17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6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Интерфейс пользователя</w:t>
            </w:r>
          </w:p>
        </w:tc>
        <w:tc>
          <w:tcPr>
            <w:tcW w:type="dxa" w:w="10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7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Неделя 7</w:t>
            </w:r>
          </w:p>
        </w:tc>
        <w:tc>
          <w:tcPr>
            <w:tcW w:type="dxa" w:w="36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8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Управляющий выбирает объект, период, категории</w:t>
            </w:r>
          </w:p>
          <w:p w14:paraId="29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Видит план, бюджет, объяснение</w:t>
            </w:r>
          </w:p>
          <w:p w14:paraId="2A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Может изменить лимит и пересчитать</w:t>
            </w:r>
          </w:p>
          <w:p w14:paraId="2B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Пройдено 2–3 юзабилити-теста</w:t>
            </w:r>
          </w:p>
        </w:tc>
        <w:tc>
          <w:tcPr>
            <w:tcW w:type="dxa" w:w="25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C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UX/UI, разработчик, управляющий</w:t>
            </w:r>
          </w:p>
        </w:tc>
      </w:tr>
      <w:tr>
        <w:trPr>
          <w:trHeight w:hRule="atLeast" w:val="360"/>
        </w:trPr>
        <w:tc>
          <w:tcPr>
            <w:tcW w:type="dxa" w:w="84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D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type="dxa" w:w="17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E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Пилот на реальных данных</w:t>
            </w:r>
          </w:p>
        </w:tc>
        <w:tc>
          <w:tcPr>
            <w:tcW w:type="dxa" w:w="10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F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Неделя 8</w:t>
            </w:r>
          </w:p>
        </w:tc>
        <w:tc>
          <w:tcPr>
            <w:tcW w:type="dxa" w:w="36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0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MVP используется для планирования квартала</w:t>
            </w:r>
          </w:p>
          <w:p w14:paraId="31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Собрана обратная связь от 3–5 пользователей</w:t>
            </w:r>
          </w:p>
          <w:p w14:paraId="32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Зафиксированы первые метрики</w:t>
            </w:r>
          </w:p>
        </w:tc>
        <w:tc>
          <w:tcPr>
            <w:tcW w:type="dxa" w:w="25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3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Управляющий, закупщик, финансист, аналитик</w:t>
            </w:r>
          </w:p>
        </w:tc>
      </w:tr>
      <w:tr>
        <w:trPr>
          <w:trHeight w:hRule="atLeast" w:val="360"/>
        </w:trPr>
        <w:tc>
          <w:tcPr>
            <w:tcW w:type="dxa" w:w="84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4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type="dxa" w:w="17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5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Оценка результатов</w:t>
            </w:r>
          </w:p>
        </w:tc>
        <w:tc>
          <w:tcPr>
            <w:tcW w:type="dxa" w:w="10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6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Неделя 9</w:t>
            </w:r>
          </w:p>
        </w:tc>
        <w:tc>
          <w:tcPr>
            <w:tcW w:type="dxa" w:w="36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7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Собраны метрики: время, дефицит, списания</w:t>
            </w:r>
          </w:p>
          <w:p w14:paraId="38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Сравнение с AS IS</w:t>
            </w:r>
          </w:p>
          <w:p w14:paraId="39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Отчёт для руководства</w:t>
            </w:r>
          </w:p>
        </w:tc>
        <w:tc>
          <w:tcPr>
            <w:tcW w:type="dxa" w:w="25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A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Аналитик, управляющий, финансист</w:t>
            </w:r>
          </w:p>
        </w:tc>
      </w:tr>
      <w:tr>
        <w:trPr>
          <w:trHeight w:hRule="atLeast" w:val="261"/>
        </w:trPr>
        <w:tc>
          <w:tcPr>
            <w:tcW w:type="dxa" w:w="84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B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type="dxa" w:w="17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C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Решение о масштабировании</w:t>
            </w:r>
            <w:r>
              <w:rPr>
                <w:sz w:val="24"/>
              </w:rPr>
              <w:tab/>
            </w:r>
          </w:p>
        </w:tc>
        <w:tc>
          <w:tcPr>
            <w:tcW w:type="dxa" w:w="103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D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Неделя 10</w:t>
            </w:r>
          </w:p>
        </w:tc>
        <w:tc>
          <w:tcPr>
            <w:tcW w:type="dxa" w:w="36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E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Решение: дорабатывать / масштабировать / закрыть</w:t>
            </w:r>
          </w:p>
          <w:p w14:paraId="3F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• Зафиксированы следующие шаги</w:t>
            </w:r>
          </w:p>
        </w:tc>
        <w:tc>
          <w:tcPr>
            <w:tcW w:type="dxa" w:w="254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0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Управляющий, ИТ-команда ABS, аналитик</w:t>
            </w:r>
          </w:p>
        </w:tc>
      </w:tr>
    </w:tbl>
    <w:p w14:paraId="41000000">
      <w:pPr>
        <w:pStyle w:val="Style_1"/>
      </w:pPr>
    </w:p>
    <w:p w14:paraId="42000000">
      <w:pPr>
        <w:pStyle w:val="Style_1"/>
      </w:pPr>
    </w:p>
    <w:p w14:paraId="43000000">
      <w:pPr>
        <w:pStyle w:val="Style_1"/>
        <w:rPr>
          <w:b w:val="1"/>
        </w:rPr>
      </w:pPr>
      <w:r>
        <w:rPr>
          <w:b w:val="1"/>
        </w:rPr>
        <w:t>3.2. Ключевые риски пилота</w:t>
      </w:r>
    </w:p>
    <w:p w14:paraId="44000000">
      <w:pPr>
        <w:pStyle w:val="Style_1"/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288"/>
        <w:gridCol w:w="3288"/>
      </w:tblGrid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5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Риск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6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Как предусмотреть</w:t>
            </w:r>
          </w:p>
        </w:tc>
      </w:tr>
      <w:tr>
        <w:trPr>
          <w:trHeight w:hRule="atLeast" w:val="1233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7000000">
            <w:pPr>
              <w:ind/>
              <w:jc w:val="center"/>
            </w:pPr>
            <w:r>
              <w:t>Данные в ABS неполные или в неудобном формате — прогноз будет неточным, доверие упадёт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8000000">
            <w:pPr>
              <w:ind/>
              <w:jc w:val="center"/>
            </w:pPr>
            <w:r>
              <w:t>Аудит данных на неделе 1–2. Если истории меньше 12 мес. — используем доступный период с пометкой «предварительный». Заранее договариваемся о формате выгрузки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9000000">
            <w:pPr>
              <w:ind/>
              <w:jc w:val="center"/>
            </w:pPr>
            <w:r>
              <w:t>Пользователи не доверяют системе — продолжают считать вручную, MVP не приживается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A000000">
            <w:pPr>
              <w:ind/>
              <w:jc w:val="center"/>
            </w:pPr>
            <w:r>
              <w:t>На каждой вехе показываем объяснение расчёта и исходные данные. Даём возможность корректировки. Вовлекаем закупщика с этапа прототипа, а не в конце</w:t>
            </w:r>
          </w:p>
        </w:tc>
      </w:tr>
    </w:tbl>
    <w:p w14:paraId="4B000000">
      <w:pPr>
        <w:pStyle w:val="Style_1"/>
      </w:pPr>
    </w:p>
    <w:p w14:paraId="4C000000">
      <w:pPr>
        <w:pStyle w:val="Style_1"/>
        <w:rPr>
          <w:b w:val="1"/>
        </w:rPr>
      </w:pPr>
      <w:r>
        <w:rPr>
          <w:b w:val="1"/>
        </w:rPr>
        <w:t>3.3. Что должно измениться после пилота</w:t>
      </w:r>
    </w:p>
    <w:p w14:paraId="4D000000">
      <w:pPr>
        <w:pStyle w:val="Style_1"/>
      </w:pPr>
    </w:p>
    <w:p w14:paraId="4E000000">
      <w:pPr>
        <w:pStyle w:val="Style_1"/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288"/>
        <w:gridCol w:w="3288"/>
        <w:gridCol w:w="3288"/>
      </w:tblGrid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F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Показатель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0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До пилота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1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Цель после пилота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2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Время на планирование закупок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3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4–6 часов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4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До 1 часа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5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Дефицит критичных позиций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6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Базовый уровень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7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Снижение на 30–50%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8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Списания по срокам годности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9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Базовый уровень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A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Снижение на 20–40%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B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Доля закупок по рекомендациям MVP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C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0%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D000000">
            <w:pPr>
              <w:ind/>
              <w:jc w:val="center"/>
              <w:rPr>
                <w:b w:val="0"/>
              </w:rPr>
            </w:pPr>
            <w:r>
              <w:rPr>
                <w:b w:val="0"/>
              </w:rPr>
              <w:t>Не менее 60%</w:t>
            </w:r>
          </w:p>
          <w:p w14:paraId="5E000000">
            <w:pPr>
              <w:ind/>
              <w:jc w:val="center"/>
              <w:rPr>
                <w:b w:val="0"/>
              </w:rPr>
            </w:pPr>
          </w:p>
        </w:tc>
      </w:tr>
      <w:tr>
        <w:trPr>
          <w:trHeight w:hRule="atLeast" w:val="426"/>
        </w:trPr>
        <w:tc>
          <w:tcPr>
            <w:tcW w:type="dxa" w:w="9865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9865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rPr>
                <w:b w:val="0"/>
              </w:rPr>
            </w:pPr>
            <w:r>
              <w:rPr>
                <w:b w:val="1"/>
              </w:rPr>
              <w:t>Итог</w:t>
            </w:r>
            <w:r>
              <w:rPr>
                <w:b w:val="0"/>
              </w:rPr>
              <w:t>: 7 этапов за 10 недель — от аудита данных до решения о масштабировании. На каждом — критерий готовности и ответственная роль. Два ключевых риска закрываются аудитом на старте и прозрачностью расчётов. Результат — решение о развитии на основе цифр.</w:t>
            </w:r>
          </w:p>
        </w:tc>
      </w:tr>
    </w:tbl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2026-09-23T19:09:29Z</dcterms:modified>
</cp:coreProperties>
</file>