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9" w:before="80" w:after="0"/>
        <w:ind w:left="450" w:right="961"/>
        <w:rPr>
          <w:sz w:val="13"/>
        </w:rPr>
      </w:pPr>
      <w:r>
        <mc:AlternateContent>
          <mc:Choice Requires="wps">
            <w:drawing>
              <wp:anchor distT="3810" distB="2540" distL="3810" distR="2540" simplePos="0" relativeHeight="128" behindDoc="0" locked="0" layoutInCell="0" allowOverlap="1" wp14:anchorId="7ADB06A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1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58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ADB06A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58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w w:val="105"/>
          <w:sz w:val="13"/>
        </w:rPr>
        <w:t>InterRisk TU S.A.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Vienna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Insurance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Group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Oddział w Olsztynie</w:t>
      </w:r>
    </w:p>
    <w:p>
      <w:pPr>
        <w:pStyle w:val="Normal"/>
        <w:spacing w:lineRule="auto" w:line="235" w:before="1" w:after="0"/>
        <w:ind w:left="450"/>
        <w:rPr>
          <w:sz w:val="13"/>
        </w:rPr>
      </w:pPr>
      <w:r>
        <w:rPr>
          <w:sz w:val="13"/>
        </w:rPr>
        <w:t>ul. Dąbrowszczaków 21 lok. 406, 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50"/>
        <w:ind w:left="450"/>
        <w:rPr>
          <w:sz w:val="13"/>
        </w:rPr>
      </w:pPr>
      <w:r>
        <w:rPr>
          <w:sz w:val="13"/>
        </w:rPr>
        <w:t>tel.</w:t>
      </w:r>
      <w:r>
        <w:rPr>
          <w:spacing w:val="5"/>
          <w:sz w:val="13"/>
        </w:rPr>
        <w:t xml:space="preserve"> </w:t>
      </w:r>
      <w:r>
        <w:rPr>
          <w:sz w:val="13"/>
        </w:rPr>
        <w:t>(89)</w:t>
      </w:r>
      <w:r>
        <w:rPr>
          <w:spacing w:val="5"/>
          <w:sz w:val="13"/>
        </w:rPr>
        <w:t xml:space="preserve"> </w:t>
      </w:r>
      <w:r>
        <w:rPr>
          <w:sz w:val="13"/>
        </w:rPr>
        <w:t>537</w:t>
      </w:r>
      <w:r>
        <w:rPr>
          <w:spacing w:val="6"/>
          <w:sz w:val="13"/>
        </w:rPr>
        <w:t xml:space="preserve"> </w:t>
      </w:r>
      <w:r>
        <w:rPr>
          <w:sz w:val="13"/>
        </w:rPr>
        <w:t>00</w:t>
      </w:r>
      <w:r>
        <w:rPr>
          <w:spacing w:val="5"/>
          <w:sz w:val="13"/>
        </w:rPr>
        <w:t xml:space="preserve"> </w:t>
      </w:r>
      <w:r>
        <w:rPr>
          <w:sz w:val="13"/>
        </w:rPr>
        <w:t>88,</w:t>
      </w:r>
      <w:r>
        <w:rPr>
          <w:spacing w:val="5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Normal"/>
        <w:spacing w:before="0" w:after="0"/>
        <w:rPr>
          <w:sz w:val="24"/>
        </w:rPr>
      </w:pPr>
      <w:r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29" w:after="0"/>
        <w:rPr>
          <w:sz w:val="24"/>
        </w:rPr>
      </w:pPr>
      <w:r>
        <w:rPr>
          <w:sz w:val="24"/>
        </w:rPr>
      </w:r>
    </w:p>
    <w:p>
      <w:pPr>
        <w:pStyle w:val="Heading1"/>
        <w:outlineLvl w:val="9"/>
        <w:rPr/>
      </w:pPr>
      <w:r>
        <w:rPr>
          <w:spacing w:val="-4"/>
        </w:rPr>
        <w:t xml:space="preserve"> </w:t>
      </w:r>
    </w:p>
    <w:p>
      <w:pPr>
        <w:pStyle w:val="Normal"/>
        <w:spacing w:before="0" w:after="25"/>
        <w:rPr>
          <w:rFonts w:ascii="Arial" w:hAnsi="Arial"/>
          <w:b/>
          <w:i/>
          <w:sz w:val="5"/>
        </w:rPr>
      </w:pPr>
      <w:r>
        <w:br w:type="column"/>
      </w:r>
      <w:r>
        <w:rPr>
          <w:rFonts w:ascii="Arial" w:hAnsi="Arial"/>
          <w:b/>
          <w:i/>
          <w:sz w:val="5"/>
        </w:rPr>
      </w:r>
    </w:p>
    <w:p>
      <w:pPr>
        <w:pStyle w:val="BodyText"/>
        <w:ind w:left="450"/>
        <w:rPr>
          <w:rFonts w:ascii="Arial" w:hAnsi="Arial"/>
          <w:sz w:val="20"/>
        </w:rPr>
      </w:pPr>
      <w:r>
        <w:rPr/>
        <w:drawing>
          <wp:inline distT="0" distB="0" distL="0" distR="0">
            <wp:extent cx="1534795" cy="579120"/>
            <wp:effectExtent l="0" t="0" r="0" b="0"/>
            <wp:docPr id="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8" w:after="0"/>
        <w:rPr>
          <w:rFonts w:ascii="Arial" w:hAnsi="Arial"/>
          <w:b/>
          <w:i/>
          <w:sz w:val="13"/>
        </w:rPr>
      </w:pPr>
      <w:r>
        <w:rPr>
          <w:rFonts w:ascii="Arial" w:hAnsi="Arial"/>
          <w:b/>
          <w:i/>
          <w:sz w:val="13"/>
        </w:rPr>
      </w:r>
    </w:p>
    <w:p>
      <w:pPr>
        <w:sectPr>
          <w:footerReference w:type="even" r:id="rId3"/>
          <w:footerReference w:type="default" r:id="rId4"/>
          <w:footerReference w:type="first" r:id="rId5"/>
          <w:type w:val="continuous"/>
          <w:pgSz w:w="11906" w:h="16838"/>
          <w:pgMar w:left="425" w:right="425" w:gutter="0" w:header="0" w:top="180" w:footer="859" w:bottom="1040"/>
          <w:cols w:num="3" w:equalWidth="false" w:sep="false">
            <w:col w:w="2821" w:space="704"/>
            <w:col w:w="3941" w:space="570"/>
            <w:col w:w="3018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i/>
          <w:sz w:val="32"/>
          <w:szCs w:val="32"/>
        </w:rPr>
      </w:pPr>
      <w:r>
        <w:rPr>
          <w:rFonts w:ascii="Arial" w:hAnsi="Arial"/>
          <w:b/>
          <w:i/>
          <w:sz w:val="32"/>
          <w:szCs w:val="32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>InterRisk Kontakt 22 575 25 25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 xml:space="preserve">Wniosek/Polisa A-A </w:t>
      </w:r>
      <w:r>
        <w:rPr>
          <w:rFonts w:eastAsia="Calibri" w:cs="" w:ascii="Calibri" w:hAnsi="Calibri"/>
          <w:b/>
          <w:bCs/>
          <w:i/>
          <w:iCs/>
          <w:kern w:val="0"/>
          <w:sz w:val="30"/>
          <w:szCs w:val="30"/>
          <w:lang w:val="en-US" w:eastAsia="en-US" w:bidi="ar-SA"/>
        </w:rPr>
        <w:t>{{numer_polisy}}</w:t>
      </w:r>
      <w:r>
        <w:rPr>
          <w:rFonts w:ascii="Arial" w:hAnsi="Arial"/>
          <w:b/>
          <w:bCs/>
          <w:i/>
          <w:iCs/>
          <w:sz w:val="36"/>
          <w:szCs w:val="36"/>
        </w:rPr>
        <w:t xml:space="preserve"> 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i/>
          <w:sz w:val="28"/>
          <w:szCs w:val="28"/>
        </w:rPr>
      </w:pPr>
      <w:r>
        <w:rPr>
          <w:rFonts w:ascii="Arial" w:hAnsi="Arial"/>
          <w:b/>
          <w:i/>
          <w:sz w:val="28"/>
          <w:szCs w:val="28"/>
        </w:rPr>
      </w:r>
    </w:p>
    <w:p>
      <w:pPr>
        <w:pStyle w:val="Normal"/>
        <w:spacing w:lineRule="auto" w:line="235"/>
        <w:ind w:hanging="2766" w:left="3109"/>
        <w:rPr>
          <w:sz w:val="12"/>
        </w:rPr>
      </w:pPr>
      <w:r>
        <w:rPr>
          <w:sz w:val="12"/>
        </w:rPr>
        <w:t>potwierdzająca</w:t>
      </w:r>
      <w:r>
        <w:rPr>
          <w:spacing w:val="18"/>
          <w:sz w:val="12"/>
        </w:rPr>
        <w:t xml:space="preserve"> </w:t>
      </w:r>
      <w:r>
        <w:rPr>
          <w:sz w:val="12"/>
        </w:rPr>
        <w:t>zawarcie</w:t>
      </w:r>
      <w:r>
        <w:rPr>
          <w:spacing w:val="18"/>
          <w:sz w:val="12"/>
        </w:rPr>
        <w:t xml:space="preserve"> </w:t>
      </w:r>
      <w:r>
        <w:rPr>
          <w:sz w:val="12"/>
        </w:rPr>
        <w:t>umowy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grupowego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na</w:t>
      </w:r>
      <w:r>
        <w:rPr>
          <w:spacing w:val="18"/>
          <w:sz w:val="12"/>
        </w:rPr>
        <w:t xml:space="preserve"> </w:t>
      </w:r>
      <w:r>
        <w:rPr>
          <w:sz w:val="12"/>
        </w:rPr>
        <w:t>podstawie</w:t>
      </w:r>
      <w:r>
        <w:rPr>
          <w:spacing w:val="18"/>
          <w:sz w:val="12"/>
        </w:rPr>
        <w:t xml:space="preserve"> </w:t>
      </w:r>
      <w:r>
        <w:rPr>
          <w:sz w:val="12"/>
        </w:rPr>
        <w:t>Ogólnych</w:t>
      </w:r>
      <w:r>
        <w:rPr>
          <w:spacing w:val="18"/>
          <w:sz w:val="12"/>
        </w:rPr>
        <w:t xml:space="preserve"> </w:t>
      </w:r>
      <w:r>
        <w:rPr>
          <w:sz w:val="12"/>
        </w:rPr>
        <w:t>Warunków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zatwierdzonych</w:t>
      </w:r>
      <w:r>
        <w:rPr>
          <w:spacing w:val="18"/>
          <w:sz w:val="12"/>
        </w:rPr>
        <w:t xml:space="preserve"> </w:t>
      </w:r>
      <w:r>
        <w:rPr>
          <w:sz w:val="12"/>
        </w:rPr>
        <w:t>uchwałą</w:t>
      </w:r>
      <w:r>
        <w:rPr>
          <w:spacing w:val="18"/>
          <w:sz w:val="12"/>
        </w:rPr>
        <w:t xml:space="preserve"> </w:t>
      </w:r>
      <w:r>
        <w:rPr>
          <w:sz w:val="12"/>
        </w:rPr>
        <w:t>nr</w:t>
      </w:r>
      <w:r>
        <w:rPr>
          <w:spacing w:val="18"/>
          <w:sz w:val="12"/>
        </w:rPr>
        <w:t xml:space="preserve"> </w:t>
      </w:r>
      <w:r>
        <w:rPr>
          <w:sz w:val="12"/>
        </w:rPr>
        <w:t>01/24/03/2026</w:t>
      </w:r>
      <w:r>
        <w:rPr>
          <w:spacing w:val="18"/>
          <w:sz w:val="12"/>
        </w:rPr>
        <w:t xml:space="preserve"> </w:t>
        <w:br/>
      </w:r>
      <w:r>
        <w:rPr>
          <w:sz w:val="12"/>
        </w:rPr>
        <w:t>Zarządu</w:t>
      </w:r>
      <w:r>
        <w:rPr>
          <w:spacing w:val="18"/>
          <w:sz w:val="12"/>
        </w:rPr>
        <w:t xml:space="preserve"> </w:t>
      </w:r>
      <w:r>
        <w:rPr>
          <w:sz w:val="12"/>
        </w:rPr>
        <w:t>InterRisk</w:t>
      </w:r>
      <w:r>
        <w:rPr>
          <w:spacing w:val="40"/>
          <w:sz w:val="12"/>
        </w:rPr>
        <w:t xml:space="preserve"> </w:t>
      </w:r>
      <w:r>
        <w:rPr>
          <w:sz w:val="12"/>
        </w:rPr>
        <w:t>Towarzystwo</w:t>
      </w:r>
      <w:r>
        <w:rPr>
          <w:spacing w:val="23"/>
          <w:sz w:val="12"/>
        </w:rPr>
        <w:t xml:space="preserve"> </w:t>
      </w:r>
      <w:r>
        <w:rPr>
          <w:sz w:val="12"/>
        </w:rPr>
        <w:t>Ubezpieczeń</w:t>
      </w:r>
      <w:r>
        <w:rPr>
          <w:spacing w:val="23"/>
          <w:sz w:val="12"/>
        </w:rPr>
        <w:t xml:space="preserve"> </w:t>
      </w:r>
      <w:r>
        <w:rPr>
          <w:sz w:val="12"/>
        </w:rPr>
        <w:t>Spółka</w:t>
      </w:r>
      <w:r>
        <w:rPr>
          <w:spacing w:val="23"/>
          <w:sz w:val="12"/>
        </w:rPr>
        <w:t xml:space="preserve"> </w:t>
      </w:r>
      <w:r>
        <w:rPr>
          <w:sz w:val="12"/>
        </w:rPr>
        <w:t>Akcyjna</w:t>
      </w:r>
      <w:r>
        <w:rPr>
          <w:spacing w:val="23"/>
          <w:sz w:val="12"/>
        </w:rPr>
        <w:t xml:space="preserve"> </w:t>
      </w:r>
      <w:r>
        <w:rPr>
          <w:sz w:val="12"/>
        </w:rPr>
        <w:t>Vienna</w:t>
      </w:r>
      <w:r>
        <w:rPr>
          <w:spacing w:val="23"/>
          <w:sz w:val="12"/>
        </w:rPr>
        <w:t xml:space="preserve"> </w:t>
      </w:r>
      <w:r>
        <w:rPr>
          <w:sz w:val="12"/>
        </w:rPr>
        <w:t>Insurance</w:t>
      </w:r>
      <w:r>
        <w:rPr>
          <w:spacing w:val="23"/>
          <w:sz w:val="12"/>
        </w:rPr>
        <w:t xml:space="preserve"> </w:t>
      </w:r>
      <w:r>
        <w:rPr>
          <w:sz w:val="12"/>
        </w:rPr>
        <w:t>Group</w:t>
      </w:r>
      <w:r>
        <w:rPr>
          <w:spacing w:val="23"/>
          <w:sz w:val="12"/>
        </w:rPr>
        <w:t xml:space="preserve"> </w:t>
      </w:r>
      <w:r>
        <w:rPr>
          <w:sz w:val="12"/>
        </w:rPr>
        <w:t>z</w:t>
      </w:r>
      <w:r>
        <w:rPr>
          <w:spacing w:val="23"/>
          <w:sz w:val="12"/>
        </w:rPr>
        <w:t xml:space="preserve"> </w:t>
      </w:r>
      <w:r>
        <w:rPr>
          <w:sz w:val="12"/>
        </w:rPr>
        <w:t>dnia</w:t>
      </w:r>
      <w:r>
        <w:rPr>
          <w:spacing w:val="23"/>
          <w:sz w:val="12"/>
        </w:rPr>
        <w:t xml:space="preserve"> </w:t>
      </w:r>
      <w:r>
        <w:rPr>
          <w:sz w:val="12"/>
        </w:rPr>
        <w:t>24</w:t>
      </w:r>
      <w:r>
        <w:rPr>
          <w:spacing w:val="23"/>
          <w:sz w:val="12"/>
        </w:rPr>
        <w:t xml:space="preserve"> </w:t>
      </w:r>
      <w:r>
        <w:rPr>
          <w:sz w:val="12"/>
        </w:rPr>
        <w:t>marca</w:t>
      </w:r>
      <w:r>
        <w:rPr>
          <w:spacing w:val="23"/>
          <w:sz w:val="12"/>
        </w:rPr>
        <w:t xml:space="preserve"> </w:t>
      </w:r>
      <w:r>
        <w:rPr>
          <w:sz w:val="12"/>
        </w:rPr>
        <w:t>2026.</w:t>
      </w:r>
    </w:p>
    <w:p>
      <w:pPr>
        <w:pStyle w:val="BodyText"/>
        <w:spacing w:before="66" w:after="0"/>
        <w:rPr>
          <w:sz w:val="16"/>
        </w:rPr>
      </w:pPr>
      <w:r>
        <w:rPr>
          <w:sz w:val="16"/>
        </w:rPr>
      </w:r>
    </w:p>
    <w:p>
      <w:pPr>
        <w:pStyle w:val="Heading2"/>
        <w:outlineLvl w:val="9"/>
        <w:rPr>
          <w:spacing w:val="-2"/>
        </w:rPr>
      </w:pPr>
      <w:r>
        <w:rPr>
          <w:spacing w:val="-2"/>
        </w:rPr>
      </w:r>
    </w:p>
    <w:p>
      <w:pPr>
        <w:pStyle w:val="Heading2"/>
        <w:outlineLvl w:val="9"/>
        <w:rPr>
          <w:spacing w:val="-2"/>
        </w:rPr>
      </w:pPr>
      <w:r>
        <w:rPr>
          <w:spacing w:val="-2"/>
        </w:rPr>
      </w:r>
    </w:p>
    <w:p>
      <w:pPr>
        <w:pStyle w:val="Heading2"/>
        <w:rPr>
          <w:spacing w:val="-2"/>
        </w:rPr>
      </w:pPr>
      <w:r>
        <w:rPr>
          <w:spacing w:val="-2"/>
        </w:rPr>
        <w:t>UBEZPIECZAJĄCY</w:t>
      </w:r>
    </w:p>
    <w:p>
      <w:pPr>
        <w:pStyle w:val="BodyText"/>
        <w:spacing w:before="9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31" behindDoc="0" locked="0" layoutInCell="0" allowOverlap="1" wp14:anchorId="75B065E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19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880 w 3877920"/>
                            <a:gd name="textAreaTop" fmla="*/ 0 h 3600"/>
                            <a:gd name="textAreaBottom" fmla="*/ 79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720"/>
          <w:tab w:val="left" w:pos="2266" w:leader="none"/>
        </w:tabs>
        <w:spacing w:before="119" w:after="0"/>
        <w:ind w:left="282"/>
        <w:rPr>
          <w:rFonts w:ascii="Arial" w:hAnsi="Arial"/>
          <w:b/>
          <w:i/>
          <w:sz w:val="14"/>
        </w:rPr>
      </w:pPr>
      <w:r>
        <w:rPr>
          <w:rFonts w:ascii="Arial" w:hAnsi="Arial"/>
          <w:b/>
          <w:i/>
          <w:iCs w:val="false"/>
          <w:sz w:val="14"/>
        </w:rPr>
        <w:t>Nazwa</w:t>
      </w:r>
      <w:r>
        <w:rPr>
          <w:rFonts w:ascii="Arial" w:hAnsi="Arial"/>
          <w:b/>
          <w:i/>
          <w:iCs w:val="false"/>
          <w:spacing w:val="-2"/>
          <w:sz w:val="14"/>
        </w:rPr>
        <w:t>:</w:t>
      </w:r>
      <w:r>
        <w:rPr>
          <w:rFonts w:ascii="Arial" w:hAnsi="Arial"/>
          <w:b/>
          <w:i/>
          <w:iCs w:val="false"/>
          <w:sz w:val="14"/>
        </w:rPr>
        <w:tab/>
      </w:r>
      <w:r>
        <w:rPr>
          <w:rFonts w:ascii="Arial,BoldItalic" w:hAnsi="Arial,BoldItalic"/>
          <w:b/>
          <w:i/>
          <w:iCs w:val="false"/>
          <w:sz w:val="14"/>
        </w:rPr>
        <w:t>{{ubezpieczajacy_nazwa}}</w:t>
      </w:r>
    </w:p>
    <w:p>
      <w:pPr>
        <w:pStyle w:val="Heading4"/>
        <w:tabs>
          <w:tab w:val="clear" w:pos="720"/>
          <w:tab w:val="left" w:pos="2266" w:leader="none"/>
        </w:tabs>
        <w:spacing w:before="120" w:after="0"/>
        <w:rPr>
          <w:rFonts w:ascii="Cambria" w:hAnsi="Cambria"/>
          <w:b w:val="false"/>
          <w:i w:val="false"/>
          <w:iCs w:val="false"/>
        </w:rPr>
      </w:pPr>
      <w:r>
        <w:rPr>
          <w:rFonts w:ascii="Cambria" w:hAnsi="Cambria"/>
          <w:b w:val="false"/>
          <w:i w:val="false"/>
          <w:iCs w:val="false"/>
          <w:spacing w:val="-2"/>
          <w:sz w:val="14"/>
        </w:rPr>
        <w:t>Adres:</w:t>
      </w:r>
      <w:r>
        <w:rPr>
          <w:rFonts w:ascii="Cambria" w:hAnsi="Cambria"/>
          <w:b w:val="false"/>
          <w:i w:val="false"/>
          <w:iCs w:val="false"/>
          <w:sz w:val="14"/>
        </w:rPr>
        <w:tab/>
      </w:r>
      <w:r>
        <w:rPr>
          <w:rFonts w:ascii="Arial,BoldItalic" w:hAnsi="Arial,BoldItalic"/>
          <w:b/>
          <w:i/>
          <w:iCs w:val="false"/>
          <w:sz w:val="14"/>
        </w:rPr>
        <w:t>{{ubezpieczajacy_adres}}</w:t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i w:val="false"/>
          <w:iCs w:val="false"/>
          <w:spacing w:val="-2"/>
          <w:w w:val="110"/>
          <w:sz w:val="14"/>
        </w:rPr>
      </w:pPr>
      <w:r>
        <w:rPr>
          <w:rFonts w:ascii="Arial,BoldItalic" w:hAnsi="Arial,BoldItalic"/>
          <w:b/>
          <w:i w:val="false"/>
          <w:iCs w:val="false"/>
          <w:spacing w:val="-2"/>
          <w:w w:val="110"/>
          <w:sz w:val="14"/>
        </w:rPr>
        <w:t>REGON/ PESEL:</w:t>
        <w:tab/>
      </w:r>
      <w:r>
        <w:rPr>
          <w:rFonts w:ascii="Arial,BoldItalic" w:hAnsi="Arial,BoldItalic"/>
          <w:b/>
          <w:i/>
          <w:iCs w:val="false"/>
          <w:spacing w:val="-2"/>
          <w:w w:val="110"/>
          <w:sz w:val="14"/>
        </w:rPr>
        <w:t>{{ubezpieczajacy_regon_pesel}}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i w:val="false"/>
          <w:iCs w:val="false"/>
          <w:spacing w:val="-2"/>
          <w:w w:val="110"/>
          <w:sz w:val="14"/>
        </w:rPr>
      </w:pPr>
      <w:r>
        <w:rPr>
          <w:rFonts w:ascii="Arial,BoldItalic" w:hAnsi="Arial,BoldItalic"/>
          <w:b/>
          <w:bCs/>
          <w:i w:val="false"/>
          <w:iCs w:val="false"/>
          <w:spacing w:val="-2"/>
          <w:w w:val="110"/>
          <w:sz w:val="14"/>
        </w:rPr>
        <w:t>Telefon :</w:t>
        <w:tab/>
      </w:r>
      <w:r>
        <w:rPr>
          <w:rFonts w:ascii="Arial,BoldItalic" w:hAnsi="Arial,BoldItalic"/>
          <w:b/>
          <w:bCs/>
          <w:i/>
          <w:iCs w:val="false"/>
          <w:spacing w:val="-2"/>
          <w:w w:val="110"/>
          <w:sz w:val="14"/>
        </w:rPr>
        <w:t>{{ubezpieczajacy_telefon}}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i w:val="false"/>
          <w:iCs w:val="false"/>
        </w:rPr>
      </w:pPr>
      <w:r>
        <w:rPr>
          <w:i w:val="false"/>
          <w:iCs w:val="false"/>
          <w:spacing w:val="-2"/>
          <w:w w:val="110"/>
          <w:sz w:val="14"/>
        </w:rPr>
        <w:tab/>
        <w:tab/>
        <w:br/>
      </w:r>
      <w:r>
        <w:rPr>
          <w:b/>
          <w:bCs/>
          <w:i w:val="false"/>
          <w:iCs w:val="false"/>
          <w:spacing w:val="-2"/>
          <w:w w:val="110"/>
          <w:sz w:val="14"/>
        </w:rPr>
        <w:t>Mail</w:t>
      </w:r>
      <w:r>
        <w:rPr>
          <w:i w:val="false"/>
          <w:iCs w:val="false"/>
          <w:spacing w:val="-2"/>
          <w:w w:val="110"/>
          <w:sz w:val="14"/>
        </w:rPr>
        <w:t xml:space="preserve"> : </w:t>
      </w:r>
      <w:r>
        <w:rPr>
          <w:rFonts w:ascii="Arial,BoldItalic" w:hAnsi="Arial,BoldItalic"/>
          <w:b/>
          <w:i/>
          <w:sz w:val="14"/>
        </w:rPr>
        <w:t>{{ubezpieczajacy_email}}</w:t>
      </w:r>
      <w:r>
        <w:rPr>
          <w:i w:val="false"/>
          <w:iCs w:val="false"/>
          <w:spacing w:val="-2"/>
          <w:w w:val="110"/>
          <w:sz w:val="14"/>
        </w:rPr>
        <w:tab/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i w:val="false"/>
          <w:iCs w:val="false"/>
        </w:rPr>
      </w:pPr>
      <w:r>
        <w:rPr>
          <w:rFonts w:ascii="Times New Roman" w:hAnsi="Times New Roman"/>
          <w:i w:val="false"/>
          <w:iCs w:val="false"/>
          <w:sz w:val="14"/>
        </w:rPr>
        <w:tab/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66" w:after="0"/>
        <w:rPr>
          <w:sz w:val="16"/>
        </w:rPr>
      </w:pPr>
      <w:r>
        <w:rPr>
          <w:sz w:val="16"/>
        </w:rPr>
      </w:r>
    </w:p>
    <w:p>
      <w:pPr>
        <w:pStyle w:val="Heading2"/>
        <w:spacing w:before="1" w:after="0"/>
        <w:rPr/>
      </w:pPr>
      <w:r>
        <w:rPr/>
        <w:t>UBEZPIECZAJĄCY</w:t>
      </w:r>
      <w:r>
        <w:rPr>
          <w:spacing w:val="-6"/>
        </w:rPr>
        <w:t xml:space="preserve"> </w:t>
      </w:r>
      <w:r>
        <w:rPr/>
        <w:t>-</w:t>
      </w:r>
      <w:r>
        <w:rPr>
          <w:spacing w:val="-5"/>
        </w:rPr>
        <w:t xml:space="preserve"> </w:t>
      </w:r>
      <w:r>
        <w:rPr>
          <w:spacing w:val="-2"/>
        </w:rPr>
        <w:t>KONTAKT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32" behindDoc="0" locked="0" layoutInCell="0" allowOverlap="1" wp14:anchorId="678ED56E">
                <wp:simplePos x="0" y="0"/>
                <wp:positionH relativeFrom="page">
                  <wp:posOffset>360045</wp:posOffset>
                </wp:positionH>
                <wp:positionV relativeFrom="paragraph">
                  <wp:posOffset>49530</wp:posOffset>
                </wp:positionV>
                <wp:extent cx="6840220" cy="6350"/>
                <wp:effectExtent l="0" t="0" r="0" b="0"/>
                <wp:wrapTopAndBottom/>
                <wp:docPr id="20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880 w 3877920"/>
                            <a:gd name="textAreaTop" fmla="*/ 0 h 3600"/>
                            <a:gd name="textAreaBottom" fmla="*/ 79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49"/>
                              </a:moveTo>
                              <a:lnTo>
                                <a:pt x="0" y="6349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" w:after="0"/>
        <w:rPr>
          <w:rFonts w:ascii="Arial" w:hAnsi="Arial"/>
          <w:b/>
          <w:i/>
          <w:sz w:val="6"/>
        </w:rPr>
      </w:pPr>
      <w:r>
        <w:rPr>
          <w:rFonts w:ascii="Arial" w:hAnsi="Arial"/>
          <w:b/>
          <w:i/>
          <w:sz w:val="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2266" w:leader="none"/>
        </w:tabs>
        <w:spacing w:before="89" w:after="0"/>
        <w:ind w:left="282"/>
        <w:rPr>
          <w:rFonts w:ascii="Arial" w:hAnsi="Arial"/>
          <w:b/>
          <w:i/>
          <w:sz w:val="14"/>
        </w:rPr>
      </w:pPr>
      <w:r>
        <w:rPr>
          <w:sz w:val="14"/>
        </w:rPr>
        <w:t xml:space="preserve">Nazwa: </w:t>
        <w:tab/>
      </w:r>
      <w:r>
        <w:rPr>
          <w:rFonts w:ascii="Arial,BoldItalic" w:hAnsi="Arial,BoldItalic"/>
          <w:b/>
          <w:i/>
          <w:iCs w:val="false"/>
          <w:sz w:val="14"/>
        </w:rPr>
        <w:t>{{kontakt_nazwa}}</w:t>
      </w:r>
      <w:r>
        <w:rPr>
          <w:sz w:val="14"/>
        </w:rPr>
        <w:tab/>
      </w:r>
    </w:p>
    <w:p>
      <w:pPr>
        <w:pStyle w:val="Normal"/>
        <w:tabs>
          <w:tab w:val="clear" w:pos="720"/>
          <w:tab w:val="left" w:pos="2266" w:leader="none"/>
        </w:tabs>
        <w:spacing w:before="118" w:after="0"/>
        <w:ind w:left="282"/>
        <w:rPr>
          <w:rFonts w:ascii="Arial" w:hAnsi="Arial"/>
          <w:b/>
          <w:i/>
          <w:sz w:val="14"/>
        </w:rPr>
      </w:pPr>
      <w:r>
        <w:rPr>
          <w:rFonts w:ascii="Arial" w:hAnsi="Arial"/>
          <w:b/>
          <w:bCs w:val="false"/>
          <w:i/>
          <w:iCs w:val="false"/>
          <w:spacing w:val="-2"/>
          <w:w w:val="110"/>
          <w:sz w:val="14"/>
        </w:rPr>
        <w:t>Telefon:</w:t>
        <w:tab/>
      </w:r>
      <w:r>
        <w:rPr>
          <w:rFonts w:ascii="Arial,BoldItalic" w:hAnsi="Arial,BoldItalic"/>
          <w:b/>
          <w:bCs w:val="false"/>
          <w:i/>
          <w:iCs w:val="false"/>
          <w:spacing w:val="-2"/>
          <w:w w:val="110"/>
          <w:sz w:val="14"/>
        </w:rPr>
        <w:t>{{kontakt_telefon}}</w:t>
      </w:r>
    </w:p>
    <w:p>
      <w:pPr>
        <w:pStyle w:val="Normal"/>
        <w:spacing w:before="0" w:after="0"/>
        <w:rPr>
          <w:rFonts w:ascii="Arial" w:hAnsi="Arial"/>
          <w:b/>
          <w:i/>
          <w:sz w:val="14"/>
        </w:rPr>
      </w:pPr>
      <w:r>
        <w:br w:type="column"/>
      </w:r>
      <w:r>
        <w:rPr>
          <w:rFonts w:ascii="Arial" w:hAnsi="Arial"/>
          <w:b/>
          <w:i/>
          <w:sz w:val="14"/>
        </w:rPr>
      </w:r>
    </w:p>
    <w:p>
      <w:pPr>
        <w:pStyle w:val="BodyText"/>
        <w:spacing w:before="1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BodyText"/>
        <w:spacing w:before="1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  <w:t xml:space="preserve">Mail: </w:t>
      </w:r>
      <w:r>
        <w:rPr>
          <w:rFonts w:ascii="Arial,BoldItalic" w:hAnsi="Arial,BoldItalic"/>
          <w:b/>
          <w:bCs/>
          <w:i/>
          <w:iCs w:val="false"/>
          <w:spacing w:val="-2"/>
          <w:sz w:val="14"/>
        </w:rPr>
        <w:t>{{kontakt_email}}</w:t>
      </w:r>
    </w:p>
    <w:p>
      <w:pPr>
        <w:pStyle w:val="BodyText"/>
        <w:spacing w:before="1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0" w:after="0"/>
        <w:rPr>
          <w:rFonts w:ascii="Arial" w:hAnsi="Arial"/>
          <w:b/>
          <w:i/>
          <w:sz w:val="14"/>
        </w:rPr>
      </w:pPr>
      <w:r>
        <w:rPr>
          <w:rFonts w:ascii="Arial" w:hAnsi="Arial"/>
          <w:b/>
          <w:i/>
          <w:sz w:val="14"/>
        </w:rPr>
      </w:r>
    </w:p>
    <w:p>
      <w:pPr>
        <w:pStyle w:val="BodyText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BodyText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BodyText"/>
        <w:spacing w:before="1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ind w:left="285"/>
        <w:rPr>
          <w:rFonts w:ascii="Arial" w:hAnsi="Arial"/>
          <w:b/>
          <w:i/>
          <w:sz w:val="16"/>
        </w:rPr>
      </w:pPr>
      <w:r>
        <w:rPr>
          <w:rFonts w:ascii="Arial" w:hAnsi="Arial"/>
          <w:b/>
          <w:i/>
          <w:sz w:val="16"/>
        </w:rPr>
      </w:r>
    </w:p>
    <w:p>
      <w:pPr>
        <w:pStyle w:val="Normal"/>
        <w:ind w:left="285"/>
        <w:rPr>
          <w:rFonts w:ascii="Arial" w:hAnsi="Arial"/>
          <w:b/>
          <w:i/>
          <w:sz w:val="16"/>
        </w:rPr>
      </w:pPr>
      <w:r>
        <mc:AlternateContent>
          <mc:Choice Requires="wps">
            <w:drawing>
              <wp:anchor distT="0" distB="0" distL="0" distR="0" simplePos="0" relativeHeight="130" behindDoc="0" locked="0" layoutInCell="0" allowOverlap="1" wp14:anchorId="01191722">
                <wp:simplePos x="0" y="0"/>
                <wp:positionH relativeFrom="page">
                  <wp:posOffset>360045</wp:posOffset>
                </wp:positionH>
                <wp:positionV relativeFrom="paragraph">
                  <wp:posOffset>166370</wp:posOffset>
                </wp:positionV>
                <wp:extent cx="6840220" cy="6350"/>
                <wp:effectExtent l="0" t="0" r="0" b="0"/>
                <wp:wrapNone/>
                <wp:docPr id="21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160 w 3877920"/>
                            <a:gd name="textAreaTop" fmla="*/ 0 h 3600"/>
                            <a:gd name="textAreaBottom" fmla="*/ 68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889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889" y="0"/>
                              </a:lnTo>
                              <a:lnTo>
                                <a:pt x="6839889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i/>
          <w:sz w:val="16"/>
        </w:rPr>
        <w:t>OKRES</w:t>
      </w:r>
      <w:r>
        <w:rPr>
          <w:rFonts w:ascii="Arial" w:hAnsi="Arial"/>
          <w:b/>
          <w:i/>
          <w:spacing w:val="-5"/>
          <w:sz w:val="16"/>
        </w:rPr>
        <w:t xml:space="preserve"> </w:t>
      </w:r>
      <w:r>
        <w:rPr>
          <w:rFonts w:ascii="Arial" w:hAnsi="Arial"/>
          <w:b/>
          <w:i/>
          <w:spacing w:val="-2"/>
          <w:sz w:val="16"/>
        </w:rPr>
        <w:t>UBEZPIECZENIA</w:t>
      </w:r>
    </w:p>
    <w:p>
      <w:pPr>
        <w:pStyle w:val="Normal"/>
        <w:tabs>
          <w:tab w:val="clear" w:pos="720"/>
          <w:tab w:val="left" w:pos="1415" w:leader="none"/>
          <w:tab w:val="left" w:pos="2549" w:leader="none"/>
          <w:tab w:val="right" w:pos="4399" w:leader="none"/>
        </w:tabs>
        <w:spacing w:before="247" w:after="0"/>
        <w:ind w:left="282"/>
        <w:rPr>
          <w:rFonts w:ascii="Arial" w:hAnsi="Arial"/>
          <w:b/>
          <w:i/>
          <w:sz w:val="20"/>
          <w:szCs w:val="20"/>
        </w:rPr>
      </w:pPr>
      <w:r>
        <w:rPr/>
        <w:tab/>
      </w:r>
      <w:r>
        <w:rPr>
          <w:rFonts w:ascii="Arial" w:hAnsi="Arial"/>
        </w:rPr>
        <w:tab/>
      </w:r>
    </w:p>
    <w:p>
      <w:pPr>
        <w:pStyle w:val="Normal"/>
        <w:rPr>
          <w:rFonts w:ascii="Arial" w:hAnsi="Arial"/>
          <w:b/>
          <w:i/>
          <w:sz w:val="20"/>
          <w:szCs w:val="20"/>
        </w:rPr>
      </w:pPr>
      <w:r>
        <w:rPr>
          <w:rFonts w:ascii="Arial" w:hAnsi="Arial"/>
          <w:b/>
          <w:i/>
          <w:sz w:val="20"/>
          <w:szCs w:val="20"/>
        </w:rPr>
        <w:t>{{okres_ubezpieczenia}}</w:t>
      </w:r>
    </w:p>
    <w:p>
      <w:pPr>
        <w:pStyle w:val="Normal"/>
        <w:rPr>
          <w:rFonts w:ascii="Arial" w:hAnsi="Arial"/>
          <w:b/>
          <w:i/>
          <w:sz w:val="16"/>
        </w:rPr>
      </w:pPr>
      <w:r>
        <w:rPr>
          <w:rFonts w:ascii="Arial" w:hAnsi="Arial"/>
          <w:b/>
          <w:i/>
          <w:sz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3" w:equalWidth="false" w:sep="false">
            <w:col w:w="2821" w:space="704"/>
            <w:col w:w="3941" w:space="570"/>
            <w:col w:w="3018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256" w:after="0"/>
        <w:rPr/>
      </w:pPr>
      <w:r>
        <w:rPr/>
        <w:t>ZAKRES</w:t>
      </w:r>
      <w:r>
        <w:rPr>
          <w:spacing w:val="-6"/>
        </w:rPr>
        <w:t xml:space="preserve"> </w:t>
      </w:r>
      <w:r>
        <w:rPr>
          <w:spacing w:val="-2"/>
        </w:rPr>
        <w:t>UBEZPIECZENIA</w:t>
      </w:r>
    </w:p>
    <w:p>
      <w:pPr>
        <w:pStyle w:val="BodyText"/>
        <w:spacing w:before="9" w:after="0"/>
        <w:rPr>
          <w:rFonts w:ascii="Arial" w:hAnsi="Arial"/>
          <w:b/>
          <w:i/>
          <w:sz w:val="6"/>
        </w:rPr>
      </w:pPr>
      <w:r>
        <w:rPr>
          <w:rFonts w:ascii="Arial" w:hAnsi="Arial"/>
          <w:b/>
          <w:i/>
          <w:sz w:val="6"/>
        </w:rPr>
      </w:r>
    </w:p>
    <w:tbl>
      <w:tblPr>
        <w:tblStyle w:val="TableNormal"/>
        <w:tblW w:w="10772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632"/>
        <w:gridCol w:w="4300"/>
        <w:gridCol w:w="1074"/>
        <w:gridCol w:w="2777"/>
        <w:gridCol w:w="1989"/>
      </w:tblGrid>
      <w:tr>
        <w:trPr>
          <w:trHeight w:val="67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250" w:after="0"/>
              <w:ind w:left="8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OPCJA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 xml:space="preserve">UBEZPIECZENIA –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shd w:fill="auto" w:val="clear"/>
                <w:lang w:eastAsia="en-US" w:bidi="ar-SA"/>
              </w:rPr>
              <w:t>OCHRONA</w:t>
            </w:r>
          </w:p>
        </w:tc>
      </w:tr>
      <w:tr>
        <w:trPr>
          <w:trHeight w:val="33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94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OCHRONA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WARIANT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–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15</w:t>
            </w:r>
          </w:p>
        </w:tc>
      </w:tr>
      <w:tr>
        <w:trPr>
          <w:trHeight w:val="557" w:hRule="atLeast"/>
        </w:trPr>
        <w:tc>
          <w:tcPr>
            <w:tcW w:w="4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Rodzaj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świadczenia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3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7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oświatowej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>62 5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>62 5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>62 5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>62 5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sepsy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będącego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dzieckiem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>5 0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5 000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Trwałe</w:t>
            </w:r>
            <w:r>
              <w:rPr>
                <w:spacing w:val="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inwalidztwo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częściowe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>62 5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od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Zwrot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wózka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inwalidzkiego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wypadek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inwalidztwa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spowodowanego</w:t>
            </w:r>
            <w:r>
              <w:rPr>
                <w:spacing w:val="1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5 000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Złamania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więcej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kości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, rany oraz urazy narządów ruchu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100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shd w:fill="auto" w:val="clear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2</w:t>
            </w:r>
            <w:r>
              <w:rPr>
                <w:spacing w:val="-3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PDiO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10 000 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9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Pogryzienie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pokąsanie/ukąszenie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1 300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9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pogryzienia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pokąsania/ukąszenia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650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1 300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10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nabycia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wyrobów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medycznych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wydawanych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zlecenie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 lub naprawy okularów korekcyjnych, aparatu słuchowego, aparatu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ortodontycznego lub pompy insulinowej uszkodzonych w wyniku NW na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18 750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62" w:after="0"/>
              <w:ind w:left="129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tym: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okulary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 aparat ortodontyczny, pompa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insulinowa - do 300 zł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hanging="8" w:left="276" w:right="14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18 750 zł w tym: okulary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ortodontyczny,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pompa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insulinowa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opiekuna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rodzica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6 250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6 250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pokarmowe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nagłe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gazami,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bądź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porażenie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prądem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lub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piorunem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1 250</w:t>
            </w: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1 250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chorób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odzwierzęcych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(bąblowica,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toksoplazmoza,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wścieklizna)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3 125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3 125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akcji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poszukiwawczej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6 250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6 250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15</w:t>
            </w:r>
          </w:p>
        </w:tc>
        <w:tc>
          <w:tcPr>
            <w:tcW w:w="4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Wstrząśnienie mózgu</w:t>
            </w:r>
          </w:p>
        </w:tc>
        <w:tc>
          <w:tcPr>
            <w:tcW w:w="1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625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625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</w:tbl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78" w:before="83" w:after="0"/>
        <w:ind w:left="450" w:right="9194"/>
        <w:rPr>
          <w:sz w:val="13"/>
        </w:rPr>
      </w:pPr>
      <w:r>
        <w:drawing>
          <wp:anchor distT="0" distB="0" distL="0" distR="0" simplePos="0" relativeHeight="120" behindDoc="0" locked="0" layoutInCell="0" allowOverlap="1">
            <wp:simplePos x="0" y="0"/>
            <wp:positionH relativeFrom="page">
              <wp:posOffset>5661660</wp:posOffset>
            </wp:positionH>
            <wp:positionV relativeFrom="paragraph">
              <wp:posOffset>54610</wp:posOffset>
            </wp:positionV>
            <wp:extent cx="1533525" cy="578485"/>
            <wp:effectExtent l="0" t="0" r="0" b="0"/>
            <wp:wrapNone/>
            <wp:docPr id="2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1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57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3810" distB="2540" distL="3810" distR="2540" simplePos="0" relativeHeight="121" behindDoc="0" locked="0" layoutInCell="0" allowOverlap="1" wp14:anchorId="6848E6BF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3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6848E6BF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3"/>
        </w:rPr>
        <w:t>InterRisk TU S.A.</w:t>
      </w:r>
      <w:r>
        <w:rPr>
          <w:spacing w:val="40"/>
          <w:sz w:val="13"/>
        </w:rPr>
        <w:t xml:space="preserve"> </w:t>
      </w:r>
      <w:r>
        <w:rPr>
          <w:sz w:val="13"/>
        </w:rPr>
        <w:t>Vienna</w:t>
      </w:r>
      <w:r>
        <w:rPr>
          <w:spacing w:val="-9"/>
          <w:sz w:val="13"/>
        </w:rPr>
        <w:t xml:space="preserve"> </w:t>
      </w:r>
      <w:r>
        <w:rPr>
          <w:sz w:val="13"/>
        </w:rPr>
        <w:t>Insurance</w:t>
      </w:r>
      <w:r>
        <w:rPr>
          <w:spacing w:val="-9"/>
          <w:sz w:val="13"/>
        </w:rPr>
        <w:t xml:space="preserve"> </w:t>
      </w:r>
      <w:r>
        <w:rPr>
          <w:sz w:val="13"/>
        </w:rPr>
        <w:t>Group</w:t>
      </w:r>
      <w:r>
        <w:rPr>
          <w:spacing w:val="40"/>
          <w:sz w:val="13"/>
        </w:rPr>
        <w:t xml:space="preserve"> </w:t>
      </w:r>
      <w:r>
        <w:rPr>
          <w:sz w:val="13"/>
        </w:rPr>
        <w:t>Oddział w Olsztynie</w:t>
      </w:r>
    </w:p>
    <w:p>
      <w:pPr>
        <w:pStyle w:val="Normal"/>
        <w:spacing w:lineRule="auto" w:line="245"/>
        <w:ind w:left="450" w:right="7912"/>
        <w:rPr>
          <w:sz w:val="13"/>
        </w:rPr>
      </w:pPr>
      <w:r>
        <w:rPr>
          <w:sz w:val="13"/>
        </w:rPr>
        <w:t>ul.</w:t>
      </w:r>
      <w:r>
        <w:rPr>
          <w:spacing w:val="-6"/>
          <w:sz w:val="13"/>
        </w:rPr>
        <w:t xml:space="preserve"> </w:t>
      </w:r>
      <w:r>
        <w:rPr>
          <w:sz w:val="13"/>
        </w:rPr>
        <w:t>Dąbrowszczaków</w:t>
      </w:r>
      <w:r>
        <w:rPr>
          <w:spacing w:val="-6"/>
          <w:sz w:val="13"/>
        </w:rPr>
        <w:t xml:space="preserve"> </w:t>
      </w:r>
      <w:r>
        <w:rPr>
          <w:sz w:val="13"/>
        </w:rPr>
        <w:t>21</w:t>
      </w:r>
      <w:r>
        <w:rPr>
          <w:spacing w:val="-6"/>
          <w:sz w:val="13"/>
        </w:rPr>
        <w:t xml:space="preserve"> </w:t>
      </w:r>
      <w:r>
        <w:rPr>
          <w:sz w:val="13"/>
        </w:rPr>
        <w:t>lok.</w:t>
      </w:r>
      <w:r>
        <w:rPr>
          <w:spacing w:val="-6"/>
          <w:sz w:val="13"/>
        </w:rPr>
        <w:t xml:space="preserve"> </w:t>
      </w:r>
      <w:r>
        <w:rPr>
          <w:sz w:val="13"/>
        </w:rPr>
        <w:t>406,</w:t>
      </w:r>
      <w:r>
        <w:rPr>
          <w:spacing w:val="-6"/>
          <w:sz w:val="13"/>
        </w:rPr>
        <w:t xml:space="preserve"> </w:t>
      </w:r>
      <w:r>
        <w:rPr>
          <w:sz w:val="13"/>
        </w:rPr>
        <w:t>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46"/>
        <w:ind w:left="450"/>
        <w:rPr>
          <w:sz w:val="13"/>
        </w:rPr>
      </w:pPr>
      <w:r>
        <w:rPr>
          <w:sz w:val="13"/>
        </w:rPr>
        <w:t>tel.</w:t>
      </w:r>
      <w:r>
        <w:rPr>
          <w:spacing w:val="-1"/>
          <w:sz w:val="13"/>
        </w:rPr>
        <w:t xml:space="preserve"> </w:t>
      </w:r>
      <w:r>
        <w:rPr>
          <w:sz w:val="13"/>
        </w:rPr>
        <w:t>(89)</w:t>
      </w:r>
      <w:r>
        <w:rPr>
          <w:spacing w:val="-1"/>
          <w:sz w:val="13"/>
        </w:rPr>
        <w:t xml:space="preserve"> </w:t>
      </w:r>
      <w:r>
        <w:rPr>
          <w:sz w:val="13"/>
        </w:rPr>
        <w:t>537</w:t>
      </w:r>
      <w:r>
        <w:rPr>
          <w:spacing w:val="-1"/>
          <w:sz w:val="13"/>
        </w:rPr>
        <w:t xml:space="preserve"> </w:t>
      </w:r>
      <w:r>
        <w:rPr>
          <w:sz w:val="13"/>
        </w:rPr>
        <w:t>00</w:t>
      </w:r>
      <w:r>
        <w:rPr>
          <w:spacing w:val="-1"/>
          <w:sz w:val="13"/>
        </w:rPr>
        <w:t xml:space="preserve"> </w:t>
      </w:r>
      <w:r>
        <w:rPr>
          <w:sz w:val="13"/>
        </w:rPr>
        <w:t>88,</w:t>
      </w:r>
      <w:r>
        <w:rPr>
          <w:spacing w:val="-1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BodyText"/>
        <w:spacing w:before="3" w:after="0"/>
        <w:rPr>
          <w:sz w:val="10"/>
        </w:rPr>
      </w:pPr>
      <w:r>
        <w:rPr>
          <w:sz w:val="10"/>
        </w:rPr>
      </w:r>
    </w:p>
    <w:tbl>
      <w:tblPr>
        <w:tblStyle w:val="TableNormal"/>
        <w:tblW w:w="10769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4932"/>
        <w:gridCol w:w="1077"/>
        <w:gridCol w:w="2778"/>
        <w:gridCol w:w="1982"/>
      </w:tblGrid>
      <w:tr>
        <w:trPr>
          <w:trHeight w:val="556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hanging="774" w:left="929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–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UWAGA: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OPCJI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DODATKOWYCH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I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WYBRANEJ POWYŻEJ OPCJI KUMULUJĄ SIĘ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4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10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82" w:right="32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komunikacyjnego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75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75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D2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Oparzenia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odmrożenia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5 0</w:t>
            </w:r>
            <w:r>
              <w:rPr>
                <w:kern w:val="0"/>
                <w:sz w:val="12"/>
                <w:szCs w:val="22"/>
                <w:lang w:eastAsia="en-US" w:bidi="ar-SA"/>
              </w:rPr>
              <w:t>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24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III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IV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500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 1 500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 lub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2 500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D3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18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180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D4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13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130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D5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Poważne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3 00</w:t>
            </w:r>
            <w:r>
              <w:rPr>
                <w:kern w:val="0"/>
                <w:sz w:val="12"/>
                <w:szCs w:val="22"/>
                <w:lang w:eastAsia="en-US" w:bidi="ar-SA"/>
              </w:rPr>
              <w:t>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3 000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679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D8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3 75</w:t>
            </w:r>
            <w:r>
              <w:rPr>
                <w:kern w:val="0"/>
                <w:sz w:val="12"/>
                <w:szCs w:val="22"/>
                <w:lang w:eastAsia="en-US" w:bidi="ar-SA"/>
              </w:rPr>
              <w:t>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 SU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za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wyjątkiem:</w:t>
            </w:r>
          </w:p>
          <w:p>
            <w:pPr>
              <w:pStyle w:val="TableParagraph"/>
              <w:suppressAutoHyphens w:val="true"/>
              <w:spacing w:before="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SU</w:t>
            </w:r>
          </w:p>
          <w:p>
            <w:pPr>
              <w:pStyle w:val="TableParagraph"/>
              <w:suppressAutoHyphens w:val="true"/>
              <w:spacing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200%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59" w:right="3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3 75</w:t>
            </w:r>
            <w:r>
              <w:rPr>
                <w:kern w:val="0"/>
                <w:sz w:val="12"/>
                <w:szCs w:val="22"/>
                <w:lang w:eastAsia="en-US" w:bidi="ar-SA"/>
              </w:rPr>
              <w:t>0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wyjątkiem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kosztów: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1 875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  <w:p>
            <w:pPr>
              <w:pStyle w:val="TableParagraph"/>
              <w:suppressAutoHyphens w:val="true"/>
              <w:spacing w:lineRule="atLeast" w:line="130" w:before="0" w:after="0"/>
              <w:ind w:right="2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7 500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0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D11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Uciążliwe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150,00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D12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Assistance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EDU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PLUS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(indywidualne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korepetycje,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medyczna,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rehabilitacyjna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dla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pracownika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oświatowej)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świadczenia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D16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Pakiet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KLESZCZ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boreliozy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68" w:right="40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100% SU, w tym: a) zdiagnozowanie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boreliozy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b)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wizyta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lekarza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 c) badania diagnostyczne do 150 zł, d)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antybiotykoterapia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200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1 500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Hejt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>Stop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555" w:right="428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Usługi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wsparcia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informatycznego,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psychologicznego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zakresie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mowy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nienawiści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10"/>
                <w:kern w:val="0"/>
                <w:sz w:val="12"/>
                <w:szCs w:val="22"/>
                <w:lang w:eastAsia="en-US" w:bidi="ar-SA"/>
              </w:rPr>
              <w:t>i</w:t>
            </w:r>
          </w:p>
          <w:p>
            <w:pPr>
              <w:pStyle w:val="TableParagraph"/>
              <w:suppressAutoHyphens w:val="true"/>
              <w:spacing w:lineRule="exact" w:line="115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bezpieczeństwa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sieci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Poważne Choroby</w:t>
            </w:r>
            <w:r>
              <w:rPr>
                <w:spacing w:val="-2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Rodzica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4 000,00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4 000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Rozpoznanie</w:t>
            </w:r>
            <w:r>
              <w:rPr>
                <w:color w:val="222222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choroby psychicznej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300,00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300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</w:tbl>
    <w:p>
      <w:pPr>
        <w:pStyle w:val="Normal"/>
        <w:spacing w:before="59" w:after="0"/>
        <w:ind w:left="279"/>
        <w:rPr>
          <w:sz w:val="12"/>
        </w:rPr>
      </w:pPr>
      <w:r>
        <w:rPr>
          <w:spacing w:val="-2"/>
          <w:sz w:val="12"/>
        </w:rPr>
        <w:t>Zakres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ubezpieczenia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obejmuje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rozszerzenie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następstwa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wyczynowego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uprawiania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sportu.</w:t>
      </w:r>
    </w:p>
    <w:p>
      <w:pPr>
        <w:pStyle w:val="BodyText"/>
        <w:spacing w:before="86" w:after="0"/>
        <w:rPr>
          <w:sz w:val="12"/>
        </w:rPr>
      </w:pPr>
      <w:r>
        <w:rPr>
          <w:sz w:val="12"/>
        </w:rPr>
      </w:r>
    </w:p>
    <w:p>
      <w:pPr>
        <w:pStyle w:val="Heading2"/>
        <w:rPr/>
      </w:pPr>
      <w:r>
        <w:rPr>
          <w:spacing w:val="-2"/>
        </w:rPr>
        <w:t xml:space="preserve">SKŁADKA 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7" behindDoc="0" locked="0" layoutInCell="0" allowOverlap="1" wp14:anchorId="6F15A30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4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0800 w 3877920"/>
                            <a:gd name="textAreaTop" fmla="*/ 0 h 3600"/>
                            <a:gd name="textAreaBottom" fmla="*/ 64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1" w:after="0"/>
        <w:rPr>
          <w:rFonts w:ascii="Arial" w:hAnsi="Arial"/>
          <w:b/>
          <w:i/>
          <w:sz w:val="8"/>
        </w:rPr>
      </w:pPr>
      <w:r>
        <w:rPr>
          <w:rFonts w:ascii="Arial" w:hAnsi="Arial"/>
          <w:b/>
          <w:i/>
          <w:sz w:val="8"/>
        </w:rPr>
      </w:r>
    </w:p>
    <w:p>
      <w:pPr>
        <w:pStyle w:val="Normal"/>
        <w:rPr>
          <w:sz w:val="24"/>
          <w:szCs w:val="24"/>
        </w:rPr>
      </w:pPr>
      <w:r>
        <w:rPr>
          <w:rFonts w:cs="Arial Narrow" w:ascii="Arial Narrow" w:hAnsi="Arial Narrow"/>
          <w:sz w:val="24"/>
          <w:szCs w:val="24"/>
        </w:rPr>
        <w:tab/>
      </w:r>
      <w:r>
        <w:rPr>
          <w:rFonts w:cs="Arial Narrow" w:ascii="Arial" w:hAnsi="Arial"/>
          <w:sz w:val="16"/>
          <w:szCs w:val="16"/>
        </w:rPr>
        <w:t>Roczna składka ubezpieczeniowa</w:t>
      </w:r>
      <w:r>
        <w:rPr>
          <w:rFonts w:cs="Arial Narrow" w:ascii="Arial" w:hAnsi="Arial"/>
          <w:b/>
          <w:bCs/>
          <w:sz w:val="16"/>
          <w:szCs w:val="16"/>
        </w:rPr>
        <w:t xml:space="preserve"> wynosi: 170 zł / osoba</w:t>
        <w:br/>
        <w:tab/>
        <w:t>Ostateczna ilość ubezpieczonych, osób w trudnej sytuacji oraz kwota do wpłaty wynika z aneksu rozliczającego daną polisę.</w:t>
      </w:r>
    </w:p>
    <w:p>
      <w:pPr>
        <w:pStyle w:val="Normal"/>
        <w:ind w:left="-567"/>
        <w:rPr>
          <w:rFonts w:ascii="Arial" w:hAnsi="Arial" w:cs="Arial Narrow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" w:hAnsi="Arial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  <w:tab/>
        <w:tab/>
        <w:t>I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rata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płatna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gotówką/</w:t>
      </w:r>
      <w:r>
        <w:rPr>
          <w:rFonts w:cs="Arial Narrow" w:ascii="Arial" w:hAnsi="Arial"/>
          <w:b/>
          <w:i/>
          <w:sz w:val="16"/>
          <w:szCs w:val="16"/>
          <w:u w:val="single"/>
        </w:rPr>
        <w:t>przelewem</w:t>
      </w:r>
      <w:r>
        <w:rPr>
          <w:rFonts w:cs="Arial Narrow" w:ascii="Arial" w:hAnsi="Arial"/>
          <w:b/>
          <w:i/>
          <w:spacing w:val="-7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do</w:t>
      </w:r>
      <w:r>
        <w:rPr>
          <w:rFonts w:cs="Arial Narrow" w:ascii="Arial" w:hAnsi="Arial"/>
          <w:spacing w:val="-5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 xml:space="preserve">dnia  </w:t>
      </w:r>
      <w:r>
        <w:rPr>
          <w:rFonts w:cs="Arial Narrow" w:ascii="Arial" w:hAnsi="Arial"/>
          <w:b/>
          <w:sz w:val="16"/>
          <w:szCs w:val="16"/>
        </w:rPr>
        <w:t>31</w:t>
      </w:r>
      <w:r>
        <w:rPr>
          <w:rFonts w:cs="Arial Narrow" w:ascii="Arial" w:hAnsi="Arial"/>
          <w:b/>
          <w:bCs/>
          <w:sz w:val="16"/>
          <w:szCs w:val="16"/>
        </w:rPr>
        <w:t>/10/2026</w:t>
        <w:tab/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 Narrow" w:hAnsi="Arial Narrow" w:cs="Arial Narrow"/>
          <w:b/>
          <w:bCs/>
          <w:sz w:val="14"/>
          <w:szCs w:val="14"/>
        </w:rPr>
      </w:pPr>
      <w:r>
        <w:rPr>
          <w:rFonts w:cs="Arial Narrow" w:ascii="Arial Narrow" w:hAnsi="Arial Narrow"/>
          <w:b/>
          <w:bCs/>
          <w:sz w:val="14"/>
          <w:szCs w:val="14"/>
        </w:rPr>
        <w:tab/>
        <w:tab/>
      </w:r>
    </w:p>
    <w:tbl>
      <w:tblPr>
        <w:tblStyle w:val="TableNormal"/>
        <w:tblW w:w="5000" w:type="pct"/>
        <w:jc w:val="left"/>
        <w:tblInd w:w="1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5358"/>
        <w:gridCol w:w="5360"/>
      </w:tblGrid>
      <w:tr>
        <w:trPr/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before="0" w:after="20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cs="Arial Narrow" w:ascii="Arial Narrow" w:hAnsi="Arial Narrow"/>
                <w:kern w:val="0"/>
                <w:sz w:val="18"/>
                <w:szCs w:val="18"/>
                <w:lang w:eastAsia="en-US" w:bidi="ar-SA"/>
              </w:rPr>
              <w:t xml:space="preserve">Nr konta bankowego </w:t>
            </w:r>
            <w:r>
              <w:rPr>
                <w:rFonts w:cs="Arial Narrow" w:ascii="Arial Narrow" w:hAnsi="Arial Narrow"/>
                <w:bCs/>
                <w:kern w:val="0"/>
                <w:sz w:val="18"/>
                <w:szCs w:val="18"/>
                <w:lang w:eastAsia="en-US" w:bidi="ar-SA"/>
              </w:rPr>
              <w:t>InterRisk TU S.A. Vienna Insurance Group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{{numer_konta_bankowego}}</w:t>
            </w:r>
          </w:p>
        </w:tc>
      </w:tr>
    </w:tbl>
    <w:p>
      <w:pPr>
        <w:pStyle w:val="Normal"/>
        <w:tabs>
          <w:tab w:val="clear" w:pos="720"/>
          <w:tab w:val="left" w:pos="142" w:leader="none"/>
        </w:tabs>
        <w:spacing w:lineRule="auto" w:line="360"/>
        <w:rPr>
          <w:spacing w:val="-1"/>
          <w:sz w:val="16"/>
        </w:rPr>
      </w:pPr>
      <w:r>
        <w:rPr>
          <w:spacing w:val="-1"/>
          <w:sz w:val="16"/>
        </w:rPr>
      </w:r>
    </w:p>
    <w:p>
      <w:pPr>
        <w:pStyle w:val="BodyText"/>
        <w:spacing w:before="9" w:after="0"/>
        <w:rPr>
          <w:sz w:val="10"/>
        </w:rPr>
      </w:pPr>
      <w:r>
        <w:rPr>
          <w:sz w:val="10"/>
        </w:rPr>
      </w:r>
    </w:p>
    <w:p>
      <w:pPr>
        <w:pStyle w:val="BodyText"/>
        <w:spacing w:before="24" w:after="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49" w:after="0"/>
        <w:rPr>
          <w:sz w:val="16"/>
        </w:rPr>
      </w:pPr>
      <w:r>
        <w:rPr>
          <w:sz w:val="16"/>
        </w:rPr>
      </w:r>
    </w:p>
    <w:p>
      <w:pPr>
        <w:pStyle w:val="Heading2"/>
        <w:rPr/>
      </w:pPr>
      <w:r>
        <w:rPr/>
        <w:t>POSTANOWIENIA</w:t>
      </w:r>
      <w:r>
        <w:rPr>
          <w:spacing w:val="-7"/>
        </w:rPr>
        <w:t xml:space="preserve"> </w:t>
      </w:r>
      <w:r>
        <w:rPr/>
        <w:t>DODATKOWE</w:t>
      </w:r>
      <w:r>
        <w:rPr>
          <w:spacing w:val="-7"/>
        </w:rPr>
        <w:t xml:space="preserve"> </w:t>
      </w:r>
      <w:r>
        <w:rPr/>
        <w:t>I</w:t>
      </w:r>
      <w:r>
        <w:rPr>
          <w:spacing w:val="-7"/>
        </w:rPr>
        <w:t xml:space="preserve"> </w:t>
      </w:r>
      <w:r>
        <w:rPr/>
        <w:t>ODMIENNE</w:t>
      </w:r>
      <w:r>
        <w:rPr>
          <w:spacing w:val="-7"/>
        </w:rPr>
        <w:t xml:space="preserve"> </w:t>
      </w:r>
      <w:r>
        <w:rPr/>
        <w:t>WPROWADZONE</w:t>
      </w:r>
      <w:r>
        <w:rPr>
          <w:spacing w:val="-7"/>
        </w:rPr>
        <w:t xml:space="preserve"> </w:t>
      </w:r>
      <w:r>
        <w:rPr/>
        <w:t>DO</w:t>
      </w:r>
      <w:r>
        <w:rPr>
          <w:spacing w:val="-7"/>
        </w:rPr>
        <w:t xml:space="preserve"> </w:t>
      </w:r>
      <w:r>
        <w:rPr/>
        <w:t>UMOWY</w:t>
      </w:r>
      <w:r>
        <w:rPr>
          <w:spacing w:val="-7"/>
        </w:rPr>
        <w:t xml:space="preserve"> </w:t>
      </w:r>
      <w:r>
        <w:rPr>
          <w:spacing w:val="-2"/>
        </w:rPr>
        <w:t>UBEZPIECZENIA:</w:t>
      </w:r>
    </w:p>
    <w:p>
      <w:pPr>
        <w:pStyle w:val="BodyText"/>
        <w:spacing w:before="9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8" behindDoc="0" locked="0" layoutInCell="0" allowOverlap="1" wp14:anchorId="314BB090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5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0800 w 3877920"/>
                            <a:gd name="textAreaTop" fmla="*/ 0 h 3600"/>
                            <a:gd name="textAreaBottom" fmla="*/ 64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59" w:before="0" w:after="0"/>
        <w:jc w:val="center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POSTANOWIENIA DODATKOWE I ODMIENNE OD OGÓLNYCH WARUNKÓW UBEZPIECZENIA EDU PLUS - </w:t>
      </w:r>
      <w:r>
        <w:rPr>
          <w:rFonts w:cs="Arial" w:ascii="Arial" w:hAnsi="Arial"/>
          <w:b/>
          <w:bCs/>
          <w:iCs/>
          <w:color w:val="EE0000"/>
          <w:sz w:val="14"/>
          <w:szCs w:val="14"/>
        </w:rPr>
        <w:t>OPCJA OCHRONA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EE0000"/>
          <w:sz w:val="14"/>
          <w:szCs w:val="14"/>
        </w:rPr>
        <w:t>Dla programu ogólnopolskiego „Ochrona z Klasą” Dariusz Zaborowski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 xml:space="preserve">Ubezpieczenie pobytu w szpitalu w wyniku NW 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3)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„3) uszkodzeniami ciała powstałymi przed dniem rozpoczęcia ochrony ubezpieczeniowej, za wyjątkiem Opcji Dodatkowej D3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nieszczęśliwego wypadku, gdzie InterRisk odpowiada za pobyt w szpitalu w wyniku nieszczęśliwego wypadku, który miał miejsce w trakcie trwania ochrony ubezpieczeniowej 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a pomiędzy obecną i poprzednią umową ubezpieczenia nie wystąpiła przerwa w okresie ubezpieczenia;”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3) otrzymuje brzmienie</w:t>
      </w:r>
      <w:r>
        <w:rPr>
          <w:rFonts w:cs="Arial" w:ascii="Arial" w:hAnsi="Arial"/>
          <w:iCs/>
          <w:color w:val="000000"/>
          <w:sz w:val="14"/>
          <w:szCs w:val="14"/>
        </w:rPr>
        <w:t>:</w:t>
      </w:r>
    </w:p>
    <w:p>
      <w:pPr>
        <w:pStyle w:val="BodyText"/>
        <w:spacing w:lineRule="auto" w:line="259" w:before="0" w:after="0"/>
        <w:jc w:val="both"/>
        <w:rPr/>
      </w:pPr>
      <w:r>
        <w:rPr>
          <w:rFonts w:cs="Arial" w:ascii="Arial" w:hAnsi="Arial"/>
          <w:b/>
          <w:iCs/>
          <w:color w:val="000000"/>
          <w:sz w:val="14"/>
          <w:szCs w:val="14"/>
        </w:rPr>
        <w:t>„3) Opcja Dodatkowa D3 – pobyt w szpitalu w wyniku nieszczęśliwego wypadku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świadczenie płatne za każdy dzień pobytu w szpitalu, począwszy od 1-go dnia , będącego następstwem nieszczęśliwego wypadku, który miał miejsce w okresie ochrony ubezpieczeniowej pod warunkiem pobytu w szpitalu trwającego minimum 2 dni</w:t>
      </w:r>
      <w:r>
        <w:rPr>
          <w:rStyle w:val="fontstyle21"/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kolejnych, następujących po sobie pobytów w szpitalu w związku z tym samym nieszczęśliwym wypadkiem świadczenie szpitalne przysługuje od pierwszego dnia pobytu w szpitalu pod warunkiem, że pierwszy pobyt w szpitalu w wyniku nieszczęśliwego wypadku trwał minimum 2 dni. Świadczenie z tytułu pobytu w szpitalu w wyniku nieszczęśliwego wypadku przysługuje maksymalnie za 100 dni pobytu w szpitalu. 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Gdy wypis ze szpitala nastąpi po zakończeniu okresu ubezpieczenia pobyt w szpitalu jest objęty odpowiedzialnością Ubezpieczyciela, pod warunkiem, że przyjęcie do szpitala nastąpiło w okresie ochrony ubezpieczeniowej.”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Ubezpieczenie pobytu w szpitalu w wyniku choroby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4)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„4) chorobami, które zostały rozpoznane przed dniem rozpoczęcia ochrony ubezpieczeniowej, za wyjątkiem Opcji Dodatkowej D4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choroby - gdzie InterRisk odpowiada za pobyt w szpitalu w wyniku nowotworu złośliwego rozpoznanego zarówno w trakcie trwania ochrony ubezpieczeniowej, jak i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ubezpieczenia;”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4) otrzymuje brzmienie: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“4) Opcja Dodatkowa D4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pobyt w szpitalu w wyniku choroby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Fonts w:cs="Arial" w:ascii="Arial" w:hAnsi="Arial"/>
          <w:iCs/>
          <w:color w:val="000000"/>
          <w:sz w:val="14"/>
          <w:szCs w:val="14"/>
        </w:rPr>
        <w:t>świadczenie płatne za każdy dzień pobytu w szpitalu, począwszy od 2-go dnia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w związku z chorobą, która została rozpoznana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okresie ochrony ubezpieczeniowej, </w:t>
      </w:r>
      <w:r>
        <w:rPr>
          <w:rFonts w:cs="Arial" w:ascii="Arial" w:hAnsi="Arial"/>
          <w:iCs/>
          <w:color w:val="000000"/>
          <w:sz w:val="14"/>
          <w:szCs w:val="14"/>
        </w:rPr>
        <w:t>oraz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>pod warunkiem pobytu w szpitalu trwającego minimum 3 dni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W przypadku kolejnych, następujących po sobie pobytów w szpitalu w związku z tą samą chorobą świadczenie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szpitalne przysługuje od pierwszego dnia pobytu w szpitalu, pod warunkiem, że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pierwszy pobyt w szpitalu trwał minimum 3 dni. Świadczenie z tytułu pobytu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szpitalu w wyniku choroby przysługuje maksymalnie za 100 dni pobytu w szpitalu.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Gdy wypis ze szpitala nastąpi po zakończeniu okresu ubezpieczenia pobyt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w szpitalu jest objęty odpowiedzialnością Ubezpieczyciela, pod warunkiem że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przyjęcie do szpitala nastąpiło w okresie ochrony ubezpieczeniowej.”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pobytu w szpitalu w związku z nowotworem złośliwym rozpoznanym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ubezpieczenia, przysługuje jednorazowe świadczenie w wysokości 300 zł, pod warunkiem, że pobyt w szpitalu trwał minimum 5 dni.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  <w:highlight w:val="yellow"/>
        </w:rPr>
      </w:pPr>
      <w:r>
        <w:rPr>
          <w:rFonts w:cs="Arial" w:ascii="Arial" w:hAnsi="Arial"/>
          <w:iCs/>
          <w:color w:val="000000"/>
          <w:sz w:val="14"/>
          <w:szCs w:val="14"/>
          <w:highlight w:val="yellow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eastAsia="Times New Roman" w:cs="Arial"/>
          <w:b/>
          <w:bCs/>
          <w:iCs/>
          <w:color w:val="000000"/>
          <w:sz w:val="14"/>
          <w:szCs w:val="14"/>
          <w:u w:val="single"/>
        </w:rPr>
        <w:t>Wypadek podczas wycieczki szkolnej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§22 dodaje się ust. 9 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 gdy nieszczęśliwy wypadek, któremu uległ Ubezpieczony wydarzył się podczas co najmniej dwudniowej wycieczki organizowanej przez placówkę oświatową, do której uczęszczał lub w której zatrudniony był (w przypadku pracowników) Ubezpieczony, świadczenia o których mowa w § 8 pkt 1), 4) oraz Tabeli nr 2 w OWU – zostają podwyższone o 25%, czyli z zastosowaniem mnożnika 1,25 wobec obliczonej wysokości świadczenia zgodnie z postanowieniami w w/w punktach i Tabeli nr 2.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sporty i aktywności wysokiego ryzyka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87)  otrzymuje brzmienie: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„87)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sporty i aktywności wysokiego ryzyka </w:t>
      </w:r>
      <w:r>
        <w:rPr>
          <w:rFonts w:cs="Arial" w:ascii="Arial" w:hAnsi="Arial"/>
          <w:iCs/>
          <w:color w:val="000000"/>
          <w:sz w:val="14"/>
          <w:szCs w:val="14"/>
        </w:rPr>
        <w:t>– highlining, slacklining, boul</w:t>
        <w:softHyphen/>
        <w:t>dering, wspinaczka skalna w terenie naturalnym, wspinaczka lodowa, taternictwo, alpinizm, himalaizm, skialpinizm i trekking, czyli forma turystyki pieszej, uprawiana w trudnych warunkach terenowych i klimatycznych: rzecznych, bagiennych, na wulkanach, pustyniach, terenach tropikalnych, lodowcach, górach powyżej wysokości 2 500 n.p.m. lub poza wyznaczonymi górskimi szlakami turystycznymi, zjazdy ekstremalne na nartach, również freestyle, freeride, snowboarding wysokogórski, snowboarding prędko</w:t>
        <w:softHyphen/>
        <w:t>ściowy, skoki i ewolucje narciarskie i snowboardowe, rafting, canyoning, hydrospeed, kajakarstwo górskie, szybownictwo, spadochroniarstwo, lotniarstwo, paralotniarstwo, motolotniarstwo, baloniarstwo, pilotowanie samolotów lub śmigłowców, zorbing, skoki z/na bungee, nurkowanie po</w:t>
        <w:softHyphen/>
        <w:t>wyżej głębokości 20 m, parkour, freerun, buggykitting, windsurfing, jazda w skate parku, jazda quadem, motorem typu cross, kitesurfing, żegluga poza wodami terytorialnymi w odległości powyżej 12 mil morskich od brzegu, kolarstwo ekstremalne, kolarstwo górskie, speleologia, bobsleje, saneczkarstwo, sporty motocyklowe obejmujące: wyścigi drogowe, rajdy motocyklowe, motocross, torowe wyścigi motocyklowe, do których nale</w:t>
        <w:softHyphen/>
        <w:t>żą: sport żużlowy, wyścigi na lodzie, wyścigi na trawie, wyścigi na torach długich (około 1000 metrów), Gymkhana motocyklowa, karting, wyścigi gokartów; sport samochodowy obejmujący wyścigi samochodowe i rajdy samochodowe, heliskiing, heliboarding, freefall, downhill, b.a.s.e. jumping, dream jumping oraz zjazdy na nartach lub snowboardzie poza wyznaczo</w:t>
        <w:softHyphen/>
        <w:t>nymi trasami, jazda na nartach wodnych oraz sporty, w których wykorzy</w:t>
        <w:softHyphen/>
        <w:t>stywane są pojazdy przeznaczone do poruszania się po śniegu lub lodzie, sporty walki z wyjątkiem: aikido, brazylijskie jiu-jitsu, capoeira, jiu-jitsu, judo, karate, kendo, kung-fu, szermierka, tai chi, taekwondo, zapasy, boks;”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 xml:space="preserve">ŚMIERĆ W WYNIKU NW LUB POWAŻNE CHOROBY RODZICA 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w pkt 75) dodaje się na końcu dodatkowe postanowienie,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„75) (…)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ryzyka rozpoznania Poważnej Choroby lub śmierci opiekuna prawnego lub rodzica w następstwie nieszczęśliwego wypadku za Poważne Choroby uważa się wyłącznie następujące choroby, które zostały rozpoznane po raz pierwszy u rodzica lub opiekuna prawnego Ubezpieczonego w okresie ochrony ubezpieczeniowej: nowotwór złośliwy, paraliż, utrata wzroku, utrata słuchu, zawał serca, udar mózgu.”,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ppkt k)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„k) rozpoznanie Poważnej Choroby lub śmierć opiekuna prawnego lub rodzica Ubezpieczonego w na</w:t>
        <w:softHyphen/>
        <w:t>stępstwie nieszczęśliwego wypadku,”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§8 pkt 11) otrzymuje brzmienie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„11) w przypadku rozpoznania Poważnej Choroby lub śmierci opiekuna prawnego lub rodzica w następstwie nieszczęśliwego wypadku: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 w przypadku rozpoznania Poważnej Choroby u opiekuna prawnego lub rodzica - jednorazowe świadczenie w wysokości 100% sumy ubezpieczenia określonej w umowie ubezpieczenia, ale nie więcej niż 4.000 zł,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w przypadku śmierci opiekuna prawnego lub rodzica w następstwie nieszczęśliwego wypadku – świadczenie w wysokości 100% sumy ubezpieczenia określonej w umowie ubezpieczenia, pod warunkiem, że nieszczęśliwy wypadek wydarzył się w okresie ochrony ubezpieczeniowej oraz śmierć nastąpiła w ciągu 12 miesięcy od daty nieszczęśliwego wypadku. Odpowiedzialność InterRisk ograniczona jest do dwóch zdarzeń w okresie ochrony ubezpieczeniowej;”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KOSZTY LECZENIA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§2 pkt 38),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„38)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>koszty leczenia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poniesione na terytorium krajów Unii Europejskiej (UE) lub na terytorium krajów Europejskiego Stowarzyszenia Wolnego Handlu (EFTA), powstałe w następstwie nieszczęśliwego wypadku oraz niezbędne z medycznego punktu widzenia i udokumentowane koszty z tytułu: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wizyt lekarskich z wyłączeniem wizyt stomatologicznych,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zabiegów ambulatoryjnych,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c) badań zleconych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d)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e) operacji przeprowadzonej podczas co najmniej trzydniowego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f) operacji plastycznej zaleconej przez lekarza jako niezbędna część procesu leczenia następstw nieszczęśliwego wypadku,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g) zakupu środków opatrunkowych przepisanych przez lekarza,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h) rehabilitacji zleconej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i) kosztów leków przepisanych przez lekarza prowadzącego leczenie szpitalne, które skutkowało co najmniej trzydniowym pobytem w szpitalu,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j) leczenia stomatologicznego zębów stałych;”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pkt 1),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„1) Opcji Dodatkowej D3 (pobyt w szpitalu w wyniku nieszczęśliwego wypadku), Opcji Dodatkowej D4 (pobyt w szpitalu w wyniku choroby), Opcji Dodatkowej D6 (operacje w wyniku nieszczęśliwego wypadku), Opcji Dodatkowej D7 (operacje w wyniku choroby), Opcji Dodatkowej D10 (koszty leczenia stomatologicznego w wyniku nieszczęśliwego wypadku), Opcji Dodatkowej D11 (uciążliwe leczenie w wyniku nieszczęśliwego wypadku), Opcji Dodatkowej D12 (Assistance Edu Plus), Opcji Dodatkowej D18 (opieka nad dzieckiem przebywającym w szpitalu), w ramach których ochrona ubezpieczeniowa udzielana jest przez 24 godziny na dobę w Polsce,”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dodaje się pkt 4),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„4) Opcji Dodatkowej D8 (koszty leczenia w wyniku nieszczęśliwego wypadku, w ramach której ochrona ubezpieczeniowa udzielana jest przez 24 godziny na dobę na terytorium krajów Unii Europejskiej (UE) lub na terytorium krajów Europejskiego Stowarzyszenia Wolnego Handlu (EFTA).”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§5 ust. 7,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„7. InterRisk nie odpowiada za koszty leczenia stomatologicznego poniesione poza Polską.”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§11 ust. 1 pkt 8) lit. a),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„a) pod warunkiem, że koszty te powstały w następstwie nieszczęśliwego wypadku, który wydarzył się w okresie ochrony ubezpieczeniowej oraz zostały poniesione na terytorium Unii Europejskiej (UE) lub na terytorium krajów Europejskiego Stowarzyszenia Wolnego Handlu (EFTA) w okresie nie dłuższym niż 12 miesięcy od daty nieszczęśliwego wypadku.”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  <w:t>ROZPOZNANIE CHOROBY PSYCHICZNEJ UBEZPIECZONEGO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dodaje się ppkt o),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„o) rozpoznanie choroby psychicznej,”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2. w §5 ust. 1 pkt 9)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"9) chorobą psychiczną, za wyjątkiem postanowień § 8 pkt 15)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3.  w §8 dodaje się pkt 15),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”15) rozpoznanie choroby psychicznej – jednorazowe świadczenie w wysokości 300 zł w przypadku w przypadku rozpoznania u Ubezpieczonego po raz pierwszy w okresie ochrony ubezpieczeniowej choroby psychicznej, za wyjątkiem chorób zakwalifikowanych w Międzynarodowej Statystycznej Klasyfikacji Chorób i Problemów Zdrowotnych ICD-10 jako kod ICD: F10-F19, F84, F90. Warunkiem wypłaty świadczenia jest co najmniej 10-dniowy pobyt w szpitalu Ubezpieczonego w związku z rozpoznaną chorobą psychiczną.”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4. w §21 ust. 3 dodaje się pkt 22),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„22) w przypadku rozpoznania choroby psychicznej – wystawioną przez lekarza dokumentację medyczną potwierdzającą pierwsze rozpoznanie choroby psychicznej oraz dokumentację medyczną z pobytu w szpitalu w związku z rozpoznaną chorobą psychiczną.”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.</w:t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ZŁAMANIA, RANY, URAZY NARZĄDU RUCHU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6) otrzymuje brzmienie:</w:t>
      </w:r>
    </w:p>
    <w:p>
      <w:pPr>
        <w:pStyle w:val="Normal"/>
        <w:tabs>
          <w:tab w:val="clear" w:pos="720"/>
          <w:tab w:val="left" w:pos="426" w:leader="none"/>
        </w:tabs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„6) </w:t>
      </w:r>
      <w:r>
        <w:rPr>
          <w:rFonts w:cs="Arial" w:ascii="Arial" w:hAnsi="Arial"/>
          <w:iCs/>
          <w:color w:val="000000"/>
          <w:sz w:val="14"/>
          <w:szCs w:val="14"/>
        </w:rPr>
        <w:t>w przypadku złamania jednej lub więcej kości lub ran lub urazu narządu ruchu w wyniku nieszczęśliwego wypadku, który wydarzył się w okresie ochrony ubezpieczeniowej: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26" w:leader="none"/>
        </w:tabs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zależności od rodzaju złamania przysługuje – zgodnie z TABELĄ nr 2 - świadczenie w wysokości stanowiącej procent sumy ubezpieczenia określonej umowie ubezpieczenia dla złamania jednej lub więcej kości w wyniku nieszczęśliwego wypadku: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TABELA nr 2</w:t>
      </w:r>
    </w:p>
    <w:tbl>
      <w:tblPr>
        <w:tblW w:w="8708" w:type="dxa"/>
        <w:jc w:val="left"/>
        <w:tblInd w:w="43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24"/>
        <w:gridCol w:w="3282"/>
        <w:gridCol w:w="21"/>
        <w:gridCol w:w="4981"/>
      </w:tblGrid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Lp.</w:t>
            </w:r>
          </w:p>
        </w:tc>
        <w:tc>
          <w:tcPr>
            <w:tcW w:w="33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Rodzaj złamania jednej lub więcej kości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Wysokość świadczenia wyrażona jako wartość procentowa (%) sumy ubezpieczenia określonej w umowie ubezpieczenia dla złamania jednej lub więcej kości w wyniku nieszczęśliwego wypadku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czaszki (podstawy, sklepienia, twarzoczaszki), złamanie kości miednicy (z wyjątkiem izolowanych złamań kości łonowej lub kulszowej oraz ogonowej), kości w obrębie stawu biodrowego (panewka stawu, nasady bliższej kości udowej, krętarzy, złamania pod- i nad-krętarzowe) oraz kości talerza biodrowego: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10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e)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nosa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udowej, piętowej: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3.</w:t>
            </w:r>
          </w:p>
        </w:tc>
        <w:tc>
          <w:tcPr>
            <w:tcW w:w="8284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podudzia, obojczyka, kostki bocznej i przyśrodkowej, kości ramiennej, przedramienia, kości nadgarstka (w przypadku występowania w ramach jednego nieszczęśliwego wypadku złamania kilku kości nadgarstka, wypłacane jest świadczenie za jedną kość nadgarstka, w której wystąpił najwyższy rodzaj złamania)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dolnej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łopatki, rzepki, mostka, śródręcza, śródstopia, kości stępu: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6.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kręgosłupa (trzonów kręgów):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kompresyjne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kręgosłupa,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inne złamania wyrostków kolczystych i poprzecznych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7.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żebra lub żeber, kości ogonowej, kulszowej, łonowej, górnej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8.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zębów stałych (za każdy ząb):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</w:tc>
      </w:tr>
      <w:tr>
        <w:trPr>
          <w:trHeight w:val="296" w:hRule="atLeast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łącznie nie więcej niż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9.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palca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</w:tc>
      </w:tr>
    </w:tbl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nastąpi więcej niż jedno złamanie, przysługuje – zgodnie z TABELĄ NR 2 – świadczenie będące sumą kwot za każdy rodzaj złamania, ale wysokość świadczenia nie może przekroczyć sumy ubezpieczenia ustalonej w umowie ubezpieczenia za złamanie jednej lub więcej kości w wyniku nieszczęśliwego wypadku,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 wystąpi złamanie jednej lub więcej kości w wyniku nieszczęśliwego wypadku, za które InterRisk wypłacił Ubezpieczonemu świadczenie,  a następnie w związku z tym złamaniem jednej lub więcej kości wystąpi trwałe inwalidztwo częściowe określone w TABELI nr 1, powstałe na skutek tego samego nieszczęśliwego wypadku, który wydarzył się w okresie ochrony ubezpieczeniowej, wówczas świadczenie wypłacone z tytułu złamania zostanie zaliczone na poczet świadczenia przysługującego w przypadku trwałego inwalidztwa częściowego, a Ubezpieczonemu przysługuje prawo do świadczenia w wysokości różnicy pomiędzy świadczeniem przysługującym w przypadku trwałego inwalidztwa częściowego, a wypłaconym świadczeniem w przypadku złamania jednej lub więcej kości w wyniku nieszczęśliwego wypadku;</w:t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oraz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ran będących następstwem nieszczęśliwego wypadku: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w następstwie nieszczęśliwego wypadku i zostanie poddany zabiegowi założenia co najmniej dwóch szwów (szycie rany) – przysługuje jednorazowe świadczenie w wysokości 2% sumy ubezpieczenia określonej w umowie ubezpieczenia, z zastrzeżeniem lit. b),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palca kończyny górnej w następstwie nieszczęśliwego wypadku i zostanie poddany zabiegowi założenia co najmniej dwóch szwów (szycie rany) – przysługuje jednorazowe świadczenie w wysokości 0,4% sumy ubezpieczenia określonej w umowie ubezpieczenia;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urazów narządu ruchu będących następstwem nieszczęśliwego wypadku: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gipsu, gipsu syntetycznego (lekkiego), szyny, gorsetu, powodującego wyłączenie czynności narządu ruchu – przysługuje jednorazowe świadczenie w wysokości 2%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kołnierza ortopedycznego, stabilizatora, ortezy, tutora gipsowego, longety, kamizelki ortopedycznej, powodującego wyłączenie czynności narządu ruchu – przysługuje jednorazowe świadczenie w wysokości 1%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urazu palca lub palców u nóg lub palca lub palców dłoni, w wyniku którego nie nastąpi złamanie kości, ale zgodnie z zaleceniem lekarza palec lub palce zostaną unieruchomione na dłużej niż 7 dni wyłącznie z zastosowaniem następującego środka medycznego: gipsu, gipsu syntetycznego (lekkiego), szyny, powodującego wyłączenie funkcji palca lub palców – przysługuje jednorazowe świadczenie w wysokości 0,5% sumy ubezpieczenia określonej w umowie ubezpieczenia,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dojdzie do urazu narządu ruchu, za które InterRisk wypłacił Ubezpieczonemu świadczenie, a następnie w związku z tym urazem narządu ruchu wystąpi trwałe inwalidztwo częściowe określone w TABELI nr 1, powstałe w skutek tego samego nieszczęśliwego wypadku, wówczas świadczenie wypłacone w przypadku urazu narządu ruchu zostanie zaliczone na poczet świadczenia przysługującego w przypadku trwałego inwalidztwa częściowego, a Ubezpieczonemu przysługuje prawo do świadczenia w wysokości różnicy pomiędzy wysokością świadczenia przysługującego w przypadku trwałego inwalidztwa częściowego, a wypłaconym świadczeniem w przypadku urazu narządu ruchu;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OKULARY KOREKCYJNE USZKODZONE NA LEKCJI WF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10) ppkt b)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„b) zakupu lub naprawy okularów korekcyjnych, aparatu słuchowego, aparatu ortodontycznego lub pompy insulinowej uszkodzonych w wyniku nieszczęśliwego wypadku na terenie placówki oświatowej – do wysokości 300 PLN, pod warunkiem że nieszczęśliwy wypadek, w wyniku którego doszło do uszkodzenia okularów korekcyjnych, aparatu słuchowego, aparatu ortodontycznego lub pompy insulinowej miał miejsce na terenie placówki oświatowej oraz spowodował uszkodzenie ciała wymagające interwencji lekarskiej w placówce medycznej. W przypadku okularów korekcyjnych, jeśli do ich uszkodzenia doszło w wyniku nieszczęśliwego wypadku podczas zajęć wychowania fizycznego na terenie placówki oświatowej świadczenie 300 PLN przysługuje pod warunkiem złożenia przez nauczyciela prowadzącego w/w zajęcia wychowania fizycznego oświadczenia zawierającego opis okoliczności nieszczęśliwego wypadku oraz datę jego zajścia.”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UMOWY DWULETNIE – PODWYŻSZONE ŚWIADCZENIE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6"/>
          <w:numId w:val="8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§22 dodaje się ust.9 w brzmieniu: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przypadku, gdy umowa ubezpieczenia została zawarta na okres 24 m-cy nieszczęśliwy wypadek, wysokość świadczenia, o których mowa w Tabeli nr 2 OWU zostają podwyższone o 10%, czyli z zastosowaniem mnożnika 1,1.”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  <w:u w:val="single"/>
        </w:rPr>
        <w:t>UCIĄŻLIWE LECZENIE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5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110) otrzymuje brzmienie:</w:t>
        <w:br/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„110)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uciążliwe leczenie </w:t>
      </w:r>
      <w:r>
        <w:rPr>
          <w:rFonts w:cs="Arial" w:ascii="Arial" w:hAnsi="Arial"/>
          <w:iCs/>
          <w:color w:val="000000"/>
          <w:sz w:val="14"/>
          <w:szCs w:val="14"/>
        </w:rPr>
        <w:t>– leczenie Ubezpieczonego będące następstwem nieszczęśliwego wypadku, który miał miejsce w okresie ochrony ubezpieczeniowej oraz spowodował uszkodzenia ciała Ubezpieczonego, z tytułu którego: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Ubezpieczonemu nie przysługują świadczenia z żadnej z Opcji, o których mowa §4 ust. 1, oraz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Ubezpieczony wymagał leczenia, w trakcie którego odbył co najmniej jedną wizytę lekarską oraz jedną wizytę kontrolną, z czego wszystkie z nich miały miejsce w placówce medycznej w trybie stacjonarnym (łącznie co najmniej dwie wizyty), lub Ubezpieczony doznał czasowej niezdolności do nauki lub do pracy przez okres nie krótszy niż 12 dni;”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5"/>
        <w:spacing w:before="49" w:after="0"/>
        <w:outlineLvl w:val="9"/>
        <w:rPr/>
      </w:pPr>
      <w:r>
        <mc:AlternateContent>
          <mc:Choice Requires="wps">
            <w:drawing>
              <wp:anchor distT="3810" distB="2540" distL="3810" distR="2540" simplePos="0" relativeHeight="123" behindDoc="0" locked="0" layoutInCell="0" allowOverlap="1" wp14:anchorId="7859EEEE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6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859EEEE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3810" distB="2540" distL="3810" distR="2540" simplePos="0" relativeHeight="126" behindDoc="0" locked="0" layoutInCell="0" allowOverlap="1" wp14:anchorId="44D2977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7" name="Textbox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44D2977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4"/>
          <w:szCs w:val="14"/>
        </w:rPr>
        <w:tab/>
      </w:r>
    </w:p>
    <w:p>
      <w:pPr>
        <w:pStyle w:val="Heading2"/>
        <w:spacing w:before="73" w:after="0"/>
        <w:rPr/>
      </w:pPr>
      <w:r>
        <w:rPr>
          <w:spacing w:val="-2"/>
        </w:rPr>
        <w:t>OŚWIADCZENIA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9" behindDoc="0" locked="0" layoutInCell="0" allowOverlap="1" wp14:anchorId="20C8AA12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8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0800 w 3877920"/>
                            <a:gd name="textAreaTop" fmla="*/ 0 h 3600"/>
                            <a:gd name="textAreaBottom" fmla="*/ 64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40004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40004" y="0"/>
                              </a:lnTo>
                              <a:lnTo>
                                <a:pt x="6840004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BodyText"/>
        <w:rPr/>
      </w:pPr>
      <w:r>
        <w:rPr/>
        <w:t>1. Oświadczam, że otrzymałem(am) i zapoznałem(am) się z warunkami umowy ubezpieczenia, w tym z Ogólnymi Warunkami Ubezpieczenia Edu Plus zatwierdzonymi</w:t>
      </w:r>
    </w:p>
    <w:p>
      <w:pPr>
        <w:pStyle w:val="BodyText"/>
        <w:rPr/>
      </w:pPr>
      <w:r>
        <w:rPr/>
        <w:t>uchwałą nr 01/27/03/2024 Zarządu InterRisk Towarzystwo Ubezpieczeń Spółka Akcyjna Vienna Insurance Group z dnia 27 marca 2024 roku ("Ogólne Warunki</w:t>
      </w:r>
    </w:p>
    <w:p>
      <w:pPr>
        <w:pStyle w:val="BodyText"/>
        <w:rPr/>
      </w:pPr>
      <w:r>
        <w:rPr/>
        <w:t>Ubezpieczenia"), informacją o której mowa w art. 17 ust. 1 ustawy o działalności ubezpieczeniowej i reasekuracyjnej, informacją dotyczącą możliwości i procedury</w:t>
      </w:r>
    </w:p>
    <w:p>
      <w:pPr>
        <w:pStyle w:val="BodyText"/>
        <w:rPr/>
      </w:pPr>
      <w:r>
        <w:rPr/>
        <w:t>złożenia i rozpatrzenia skarg i reklamacji, organu właściwego do ich rozpatrzenia oraz pozasądowego rozpatrywania sporów.</w:t>
      </w:r>
    </w:p>
    <w:p>
      <w:pPr>
        <w:pStyle w:val="BodyText"/>
        <w:rPr/>
      </w:pPr>
      <w:r>
        <w:rPr/>
        <w:t>2. Oświadczam, że otrzymałem(am) ustandaryzowany dokument zawierający informacje o produkcie ubezpieczeniowym. Jestem świadomy(ma), że dokument ten ma</w:t>
      </w:r>
    </w:p>
    <w:p>
      <w:pPr>
        <w:pStyle w:val="BodyText"/>
        <w:rPr/>
      </w:pPr>
      <w:r>
        <w:rPr/>
        <w:t>charakter informacyjny, a pełne informacje o produkcie ubezpieczeniowym zawarte są w Ogólnych Warunkach Ubezpieczenia.</w:t>
      </w:r>
    </w:p>
    <w:p>
      <w:pPr>
        <w:pStyle w:val="BodyText"/>
        <w:rPr/>
      </w:pPr>
      <w:r>
        <w:rPr/>
        <w:t>3. Oświadczam, że zostałem(am) poinformowany(na) o charakterze wynagrodzenia otrzymywanego przez agenta lub osoby wykonujące czynności dystrybucyjne zakładu</w:t>
      </w:r>
    </w:p>
    <w:p>
      <w:pPr>
        <w:pStyle w:val="BodyText"/>
        <w:rPr/>
      </w:pPr>
      <w:r>
        <w:rPr/>
        <w:t>ubezpieczeń w związku z proponowanym zawarciem umowy ubezpieczenia.</w:t>
      </w:r>
    </w:p>
    <w:p>
      <w:pPr>
        <w:pStyle w:val="BodyText"/>
        <w:rPr/>
      </w:pPr>
      <w:r>
        <w:rPr/>
        <w:t>4. Ubezpieczający wyraża zgodę na przekazanie przez InterRisk informacji o ostatecznej liczbie ubezpieczonych oraz ostatecznej wysokości składki w postaci</w:t>
      </w:r>
    </w:p>
    <w:p>
      <w:pPr>
        <w:pStyle w:val="BodyText"/>
        <w:rPr/>
      </w:pPr>
      <w:r>
        <w:rPr/>
        <w:t>elektronicznej, na adres email wskazany w umowie ubezpieczenia.</w:t>
      </w:r>
    </w:p>
    <w:p>
      <w:pPr>
        <w:pStyle w:val="BodyText"/>
        <w:rPr>
          <w:b/>
          <w:bCs/>
          <w:i/>
          <w:iCs/>
        </w:rPr>
      </w:pPr>
      <w:r>
        <w:rPr/>
        <w:t xml:space="preserve">5. </w:t>
      </w:r>
      <w:r>
        <w:rPr>
          <w:b/>
          <w:bCs/>
          <w:i/>
          <w:iCs/>
        </w:rPr>
        <w:t>Informacja zgodna z art. 13 Rozporządzenia Parlamentu Europejskiego i Rady (UE) 2016/679 z dnia 27.04.2016 r. w sprawie ochrony osób fizycznych w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związku z przetwarzaniem danych osobowych i w sprawie swobodnego przepływu takich danych oraz uchylenia dyrektywy 95/46/WE (ogólne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rozporządzenie o ochronie danych), zwanego dalej „RODO”.</w:t>
      </w:r>
    </w:p>
    <w:p>
      <w:pPr>
        <w:pStyle w:val="BodyText"/>
        <w:rPr/>
      </w:pPr>
      <w:r>
        <w:rPr/>
        <w:t>Administrator danych osobowych</w:t>
      </w:r>
    </w:p>
    <w:p>
      <w:pPr>
        <w:pStyle w:val="BodyText"/>
        <w:rPr/>
      </w:pPr>
      <w:r>
        <w:rPr>
          <w:b/>
          <w:bCs/>
          <w:i/>
          <w:iCs/>
        </w:rPr>
        <w:t xml:space="preserve">Administratorem Pani/Pana danych osobowych jest InterRisk TU SA Vienna Insurance Group z siedzibą w Warszawie </w:t>
      </w:r>
      <w:r>
        <w:rPr/>
        <w:t>(00-668), ul. Noakowskiego 22 (dalej jako</w:t>
      </w:r>
    </w:p>
    <w:p>
      <w:pPr>
        <w:pStyle w:val="BodyText"/>
        <w:rPr/>
      </w:pPr>
      <w:r>
        <w:rPr>
          <w:b/>
          <w:bCs/>
          <w:i/>
          <w:iCs/>
        </w:rPr>
        <w:t>„Administrator”</w:t>
      </w:r>
      <w:r>
        <w:rPr/>
        <w:t xml:space="preserve">, </w:t>
      </w:r>
      <w:r>
        <w:rPr>
          <w:b/>
          <w:bCs/>
          <w:i/>
          <w:iCs/>
        </w:rPr>
        <w:t xml:space="preserve">„InterRisk” </w:t>
      </w:r>
      <w:r>
        <w:rPr/>
        <w:t xml:space="preserve">lub </w:t>
      </w:r>
      <w:r>
        <w:rPr>
          <w:b/>
          <w:bCs/>
          <w:i/>
          <w:iCs/>
        </w:rPr>
        <w:t>„My”</w:t>
      </w:r>
      <w:r>
        <w:rPr/>
        <w:t>). Z InterRisk można się skontaktować poprzez adres email: sekretariat@InterRisk.pl, telefonicznie pod numerem 48 22 537 68</w:t>
      </w:r>
    </w:p>
    <w:p>
      <w:pPr>
        <w:pStyle w:val="BodyText"/>
        <w:rPr/>
      </w:pPr>
      <w:r>
        <w:rPr/>
        <w:t>00 lub pisemnie na adres siedziby wskazany wyżej.</w:t>
      </w:r>
    </w:p>
    <w:p>
      <w:pPr>
        <w:pStyle w:val="BodyText"/>
        <w:rPr/>
      </w:pPr>
      <w:r>
        <w:rPr/>
        <w:t>Inspektor ochrony danych</w:t>
      </w:r>
    </w:p>
    <w:p>
      <w:pPr>
        <w:pStyle w:val="BodyText"/>
        <w:rPr/>
      </w:pPr>
      <w:r>
        <w:rPr>
          <w:b/>
          <w:bCs/>
          <w:i/>
          <w:iCs/>
        </w:rPr>
        <w:t>Wyznaczyliśmy inspektora ochrony danych</w:t>
      </w:r>
      <w:r>
        <w:rPr/>
        <w:t>, z którym można się skontaktować we wszystkich sprawach dotyczących przetwarzania danych osobowych oraz</w:t>
      </w:r>
    </w:p>
    <w:p>
      <w:pPr>
        <w:pStyle w:val="BodyText"/>
        <w:rPr/>
      </w:pPr>
      <w:r>
        <w:rPr/>
        <w:t>korzystania z praw związanych z przetwarzaniem danych - poprzez email iod@interrisk.pl lub pisemnie na adres siedziby Administratora.</w:t>
      </w:r>
    </w:p>
    <w:p>
      <w:pPr>
        <w:pStyle w:val="BodyText"/>
        <w:rPr/>
      </w:pPr>
      <w:r>
        <w:rPr/>
        <w:t>Cele przetwarzania oraz podstawa prawna przetwarzania</w:t>
      </w:r>
    </w:p>
    <w:p>
      <w:pPr>
        <w:pStyle w:val="BodyText"/>
        <w:rPr/>
      </w:pPr>
      <w:r>
        <w:rPr/>
        <w:t>Pani/Pana dane mogą być przetwarzane w celach: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zawarcia i wykonania umowy ubezpieczenia, w tym dokonania oceny ryzyka ubezpieczeniowego </w:t>
      </w:r>
      <w:r>
        <w:rPr/>
        <w:t>- podstawą prawną jest niezbędność przetwarzania danych</w:t>
      </w:r>
    </w:p>
    <w:p>
      <w:pPr>
        <w:pStyle w:val="BodyText"/>
        <w:rPr/>
      </w:pPr>
      <w:r>
        <w:rPr/>
        <w:t>do zawarcia i wykonywania umowy (art. 6 ust. 1 lit. b) RODO) oraz ewentualnie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oceny ryzyka ubezpieczeniowego w sposób zautomatyzowany w ramach profilowania klientów przed zawarciem umowy </w:t>
      </w:r>
      <w:r>
        <w:rPr/>
        <w:t>– podstawą prawną jest</w:t>
      </w:r>
    </w:p>
    <w:p>
      <w:pPr>
        <w:pStyle w:val="BodyText"/>
        <w:rPr/>
      </w:pPr>
      <w:r>
        <w:rPr/>
        <w:t>obowiązek prawny ciążący na Administratorze – (art. 6 ust. 1 lit. c) RODO) oraz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 w zw. z art. 22 ust. 2 lit. b)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marketingu bezpośredniego produktów i usług własnych Administratora, w tym w celach analitycznych i profilowania </w:t>
      </w:r>
      <w:r>
        <w:rPr/>
        <w:t>- podstawą prawną w odniesieniu do</w:t>
      </w:r>
    </w:p>
    <w:p>
      <w:pPr>
        <w:pStyle w:val="BodyText"/>
        <w:rPr/>
      </w:pPr>
      <w:r>
        <w:rPr/>
        <w:t>aktualnych klientów InterRisk jest prawnie uzasadniony interes Administratora (art. 6 ust. 1 lit. f) RODO), którym jest prowadzenie marketingu bezpośredniego</w:t>
      </w:r>
    </w:p>
    <w:p>
      <w:pPr>
        <w:pStyle w:val="BodyText"/>
        <w:rPr/>
      </w:pPr>
      <w:r>
        <w:rPr/>
        <w:t>własnych produktów lub usług. W przypadku marketingu kierowanego do potencjalnych lub byłych klientów InterRisk podstawą przetwarzania danych jest zgoda</w:t>
      </w:r>
    </w:p>
    <w:p>
      <w:pPr>
        <w:pStyle w:val="BodyText"/>
        <w:rPr/>
      </w:pPr>
      <w:r>
        <w:rPr/>
        <w:t>(art. 6 ust. 1 lit. a)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dochodzenia roszczeń lub obrony przed roszczeniami </w:t>
      </w:r>
      <w:r>
        <w:rPr/>
        <w:t>w związku z zawartą z Panią/Panem umową ubezpieczenia – podstawą prawną jest</w:t>
      </w:r>
    </w:p>
    <w:p>
      <w:pPr>
        <w:pStyle w:val="BodyText"/>
        <w:rPr/>
      </w:pPr>
      <w:r>
        <w:rPr/>
        <w:t>prawnie uzasadniony interes Administratora (art. 6 ust. 1 lit. f) RODO); prawnie uzasadnionym interesem Administratora jest możliwość dochodzenia lub obrony</w:t>
      </w:r>
    </w:p>
    <w:p>
      <w:pPr>
        <w:pStyle w:val="BodyText"/>
        <w:rPr/>
      </w:pPr>
      <w:r>
        <w:rPr/>
        <w:t>przed roszczeniami oraz niezbędność przetwarzania do ustalenia, dochodzenia lub obrony roszczeń lub w ramach sprawowania wymiaru sprawiedliwości przez</w:t>
      </w:r>
    </w:p>
    <w:p>
      <w:pPr>
        <w:pStyle w:val="BodyText"/>
        <w:rPr/>
      </w:pPr>
      <w:r>
        <w:rPr/>
        <w:t>sądy (art. 9 ust. 2 lit. f)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podejmowania czynności w związku z przeciwdziałaniem przestępstwom ubezpieczeniowym, w tym wypłatom nienależnych świadczeń </w:t>
      </w:r>
      <w:r>
        <w:rPr/>
        <w:t>-</w:t>
      </w:r>
    </w:p>
    <w:p>
      <w:pPr>
        <w:pStyle w:val="BodyText"/>
        <w:rPr/>
      </w:pPr>
      <w:r>
        <w:rPr/>
        <w:t>podstawą prawną jest prawnie uzasadniony interes Administratora, (art. 6 ust. 1 lit. f) RODO), wynikający wprost z przepisów prawa, jakim jest zapobieganie i</w:t>
      </w:r>
    </w:p>
    <w:p>
      <w:pPr>
        <w:pStyle w:val="BodyText"/>
        <w:rPr/>
      </w:pPr>
      <w:r>
        <w:rPr/>
        <w:t>ściganie przestępstw popełnianych na jego szkodę oraz niezbędność przetwarzania ze względów związanych z ważnym interesem publicznym, na podstawie</w:t>
      </w:r>
    </w:p>
    <w:p>
      <w:pPr>
        <w:pStyle w:val="BodyText"/>
        <w:rPr/>
      </w:pPr>
      <w:r>
        <w:rPr/>
        <w:t>przepisów prawa (art. 9 ust. 2 lit. g) RODO w zw. z art. 22 ust. 2 lit. b)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nałożonych na Administratora danych przez przepisy prawa (takie jak przepisy podatkowe lub przepisy o rachunkowości) </w:t>
      </w:r>
      <w:r>
        <w:rPr/>
        <w:t>-</w:t>
      </w:r>
    </w:p>
    <w:p>
      <w:pPr>
        <w:pStyle w:val="BodyText"/>
        <w:rPr/>
      </w:pPr>
      <w:r>
        <w:rPr/>
        <w:t>podstawą prawną jest obowiązek prawny ciążący na Administratorze –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reasekuracji ryzyk </w:t>
      </w:r>
      <w:r>
        <w:rPr/>
        <w:t>- podstawą prawną jest prawnie uzasadniony interes Administratora (art. 6 ust. 1 lit. f) RODO), którym jest zmniejszenie ryzyka</w:t>
      </w:r>
    </w:p>
    <w:p>
      <w:pPr>
        <w:pStyle w:val="BodyText"/>
        <w:rPr/>
      </w:pPr>
      <w:r>
        <w:rPr/>
        <w:t>ubezpieczeniowego związanego z umową zawartą z Panią/Panem;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związanych z przeciwdziałaniem praniu pieniędzy oraz finansowaniu terroryzmu </w:t>
      </w:r>
      <w:r>
        <w:rPr/>
        <w:t>- podstawą prawną jest obowiązek prawny ciążący</w:t>
      </w:r>
    </w:p>
    <w:p>
      <w:pPr>
        <w:pStyle w:val="BodyText"/>
        <w:rPr/>
      </w:pPr>
      <w:r>
        <w:rPr/>
        <w:t>na Administratorze (art. 6 ust.1 lit. c) RODO);</w:t>
      </w:r>
    </w:p>
    <w:p>
      <w:pPr>
        <w:pStyle w:val="BodyText"/>
        <w:rPr>
          <w:b/>
          <w:bCs/>
          <w:i/>
          <w:iCs/>
        </w:rPr>
      </w:pPr>
      <w:r>
        <w:rPr/>
        <w:t xml:space="preserve">- </w:t>
      </w:r>
      <w:r>
        <w:rPr>
          <w:b/>
          <w:bCs/>
          <w:i/>
          <w:iCs/>
        </w:rPr>
        <w:t>komunikacji i rozwiązania sprawy, której dotyczy korespondencja, kierowana do Administratora za pośrednictwem poczty e-mail lub tradycyjnej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korespondencji bądź rozmowy telefonicznej, niezwiązanej z usługami świadczonymi na rzecz nadawcy wiadomości e-mail bądź listu czy też</w:t>
      </w:r>
    </w:p>
    <w:p>
      <w:pPr>
        <w:pStyle w:val="BodyText"/>
        <w:rPr/>
      </w:pPr>
      <w:r>
        <w:rPr>
          <w:b/>
          <w:bCs/>
          <w:i/>
          <w:iCs/>
        </w:rPr>
        <w:t xml:space="preserve">telefonującego, lub inną zawartą z nim umową </w:t>
      </w:r>
      <w:r>
        <w:rPr/>
        <w:t>- podstawą prawną przetwarzania jest uzasadniony interes Administratora (art. 6 ust. 1 lit. f) RODO) polegający</w:t>
      </w:r>
    </w:p>
    <w:p>
      <w:pPr>
        <w:pStyle w:val="BodyText"/>
        <w:rPr/>
      </w:pPr>
      <w:r>
        <w:rPr/>
        <w:t>na prowadzeniu korespondencji kierowanej do niego w związku z jego działalnością gospodarczą i rozwiązania zgłoszonej sprawy związanej z prowadzoną przez</w:t>
      </w:r>
    </w:p>
    <w:p>
      <w:pPr>
        <w:pStyle w:val="BodyText"/>
        <w:rPr/>
      </w:pPr>
      <w:r>
        <w:rPr/>
        <w:t>niego działalnością gospodarczą;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zgłoszonego roszczenia, w tym wypłaty świadczenia oraz likwidacja szkody z umowy ubezpieczenia </w:t>
      </w:r>
      <w:r>
        <w:rPr/>
        <w:t>- podstawą prawną jest obowiązek prawny</w:t>
      </w:r>
    </w:p>
    <w:p>
      <w:pPr>
        <w:pStyle w:val="BodyText"/>
        <w:rPr/>
      </w:pPr>
      <w:r>
        <w:rPr/>
        <w:t>ciążący na Administratorze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klientów i interesantów za pośrednictwem infolinii </w:t>
      </w:r>
      <w:r>
        <w:rPr/>
        <w:t>– podstawą prawną przetwarzania jest niezbędność przetwarzania do świadczenia usługi (art. 6 ust.</w:t>
      </w:r>
    </w:p>
    <w:p>
      <w:pPr>
        <w:pStyle w:val="BodyText"/>
        <w:rPr/>
      </w:pPr>
      <w:r>
        <w:rPr/>
        <w:t>1 lit. b) RODO).</w:t>
      </w:r>
    </w:p>
    <w:p>
      <w:pPr>
        <w:pStyle w:val="BodyText"/>
        <w:rPr/>
      </w:pPr>
      <w:r>
        <w:rPr/>
        <w:t>Informacja o zautomatyzowanym podejmowaniu decyzji, w tym profilowaniu</w:t>
      </w:r>
    </w:p>
    <w:p>
      <w:pPr>
        <w:pStyle w:val="BodyText"/>
        <w:rPr>
          <w:b/>
          <w:bCs/>
          <w:i/>
          <w:iCs/>
        </w:rPr>
      </w:pPr>
      <w:r>
        <w:rPr/>
        <w:t xml:space="preserve">W niektórych przypadkach </w:t>
      </w:r>
      <w:r>
        <w:rPr>
          <w:b/>
          <w:bCs/>
          <w:i/>
          <w:iCs/>
        </w:rPr>
        <w:t>decyzje dotyczące Pani/Pana mogą być podejmowane w sposób zautomatyzowany (tj. bez wpływu człowieka). Decyzje te będą</w:t>
      </w:r>
    </w:p>
    <w:p>
      <w:pPr>
        <w:pStyle w:val="BodyText"/>
        <w:rPr/>
      </w:pPr>
      <w:r>
        <w:rPr>
          <w:b/>
          <w:bCs/>
          <w:i/>
          <w:iCs/>
        </w:rPr>
        <w:t xml:space="preserve">dotyczyły oceny ryzyka ubezpieczeniowego </w:t>
      </w:r>
      <w:r>
        <w:rPr/>
        <w:t>(dla celów możliwości przedstawienia konkretnej oferty, ustalenia wysokości składki ubezpieczeniowej i zawarcia umowy</w:t>
      </w:r>
    </w:p>
    <w:p>
      <w:pPr>
        <w:pStyle w:val="BodyText"/>
        <w:rPr/>
      </w:pPr>
      <w:r>
        <w:rPr/>
        <w:t>ubezpieczenia) i będą podejmowane na podstawie Pani/Pana danych takich jak: data urodzenia, miejsce zamieszkania, wykonywany zawód, rok uzyskania prawa</w:t>
      </w:r>
    </w:p>
    <w:p>
      <w:pPr>
        <w:pStyle w:val="BodyText"/>
        <w:rPr/>
      </w:pPr>
      <w:r>
        <w:rPr/>
        <w:t>jazdy, dane dotyczące typu pojazdu i jego parametry techniczne, liczba szkód w ostatnich latach, informacje o stanie zdrowia, wartość i lokalizacja nieruchomości (w</w:t>
      </w:r>
    </w:p>
    <w:p>
      <w:pPr>
        <w:pStyle w:val="BodyText"/>
        <w:rPr/>
      </w:pPr>
      <w:r>
        <w:rPr/>
        <w:t>zależności od rodzaju ubezpieczenia dla potrzeb oceny ryzyka ubezpieczeniowego różne kategorie danych mogą być uznane za istotne);</w:t>
      </w:r>
    </w:p>
    <w:p>
      <w:pPr>
        <w:pStyle w:val="BodyText"/>
        <w:rPr/>
      </w:pPr>
      <w:r>
        <w:rPr/>
        <w:t>Powyższe decyzje będą oparte o profilowanie, tj. automatyczną ocenę ryzyka ubezpieczeniowego zawarcia z Panią/Panem umowy ubezpieczenia. W wyniku</w:t>
      </w:r>
    </w:p>
    <w:p>
      <w:pPr>
        <w:pStyle w:val="BodyText"/>
        <w:rPr/>
      </w:pPr>
      <w:r>
        <w:rPr/>
        <w:t>profilowania Administrator oceni w szczególności prawdopodobieństwo wystąpienia danego zdarzenia. Na podstawie tak dokonanej oceny Administrator podejmie</w:t>
      </w:r>
    </w:p>
    <w:p>
      <w:pPr>
        <w:pStyle w:val="BodyText"/>
        <w:rPr/>
      </w:pPr>
      <w:r>
        <w:rPr/>
        <w:t>decyzję o możliwości zawarcia z Panem/Panią umowy ubezpieczenia oraz o wysokości składki ubezpieczeniowej. Przykładowo: im więcej szkód miało miejsce w</w:t>
      </w:r>
    </w:p>
    <w:p>
      <w:pPr>
        <w:pStyle w:val="BodyText"/>
        <w:rPr/>
      </w:pPr>
      <w:r>
        <w:rPr/>
        <w:t>minionym okresie, tym większe może być ryzyko ubezpieczeniowe i w związku z tym wyliczona na podstawie automatycznej oceny ryzyka składka ubezpieczeniowa</w:t>
      </w:r>
    </w:p>
    <w:p>
      <w:pPr>
        <w:pStyle w:val="BodyText"/>
        <w:rPr/>
      </w:pPr>
      <w:r>
        <w:rPr/>
        <w:t>może być wyższa.</w:t>
      </w:r>
    </w:p>
    <w:p>
      <w:pPr>
        <w:pStyle w:val="BodyText"/>
        <w:rPr/>
      </w:pPr>
      <w:r>
        <w:rPr/>
        <w:t>W związku ze zautomatyzowanym podejmowaniem decyzji ma Pani/Pan prawo do otrzymania stosownych wyjaśnień, co do podstaw podjętej decyzji, prawo do</w:t>
      </w:r>
    </w:p>
    <w:p>
      <w:pPr>
        <w:pStyle w:val="BodyText"/>
        <w:rPr/>
      </w:pPr>
      <w:r>
        <w:rPr/>
        <w:t>zakwestionowania tej decyzji, do wyrażenia własnego stanowiska lub do uzyskania interwencji człowieka (tj. przeanalizowania danych i podjęcia decyzji przez</w:t>
      </w:r>
    </w:p>
    <w:p>
      <w:pPr>
        <w:pStyle w:val="BodyText"/>
        <w:rPr/>
      </w:pPr>
      <w:r>
        <w:rPr/>
        <w:t>człowieka).</w:t>
      </w:r>
    </w:p>
    <w:p>
      <w:pPr>
        <w:pStyle w:val="BodyText"/>
        <w:rPr/>
      </w:pPr>
      <w:r>
        <w:rPr/>
        <w:t>Okres przechowywania danych</w:t>
      </w:r>
    </w:p>
    <w:p>
      <w:pPr>
        <w:pStyle w:val="BodyText"/>
        <w:rPr/>
      </w:pPr>
      <w:r>
        <w:rPr/>
        <w:t>Pani/Pana dane osobowe będą przechowywane do momentu przedawnienia roszczeń z tytułu zawartej umowy ubezpieczenia lub do momentu wygaśnięcia obowiązku</w:t>
      </w:r>
    </w:p>
    <w:p>
      <w:pPr>
        <w:pStyle w:val="BodyText"/>
        <w:rPr/>
      </w:pPr>
      <w:r>
        <w:rPr/>
        <w:t>przechowywania danych wynikającego z przepisów prawa, w szczególności obowiązku przechowywania dokumentów księgowych dotyczących umowy ubezpieczenia i</w:t>
      </w:r>
    </w:p>
    <w:p>
      <w:pPr>
        <w:pStyle w:val="BodyText"/>
        <w:rPr/>
      </w:pPr>
      <w:r>
        <w:rPr/>
        <w:t>przepisów o przeciwdziałaniu praniu pieniędzy oraz finansowaniu terroryzmu.</w:t>
      </w:r>
    </w:p>
    <w:p>
      <w:pPr>
        <w:pStyle w:val="BodyText"/>
        <w:rPr/>
      </w:pPr>
      <w:r>
        <w:rPr/>
        <w:t>Administrator przestanie wcześniej przetwarzać dane na podstawie udzielonej zgody, jeśli wycofa Pani/Pan udzieloną wcześniej zgodę, jak również przestanie</w:t>
      </w:r>
    </w:p>
    <w:p>
      <w:pPr>
        <w:pStyle w:val="BodyText"/>
        <w:rPr/>
      </w:pPr>
      <w:r>
        <w:rPr/>
        <w:t>przetwarzać dane na podstawie prawnie uzasadnionego interesu Administratora (np. dane wykorzystywane do celów marketingu bezpośredniego, w tym profilowania i</w:t>
      </w:r>
    </w:p>
    <w:p>
      <w:pPr>
        <w:pStyle w:val="BodyText"/>
        <w:rPr/>
      </w:pPr>
      <w:r>
        <w:rPr/>
        <w:t>celów analitycznych) jeżeli zgłosi Pani/Pan sprzeciw wobec przetwarzania Pani/Pana danych w tych celach, chyba że wykaże on istnienie ważnych prawnie</w:t>
      </w:r>
    </w:p>
    <w:p>
      <w:pPr>
        <w:pStyle w:val="BodyText"/>
        <w:rPr/>
      </w:pPr>
      <w:r>
        <w:rPr/>
        <w:t>uzasadnionych podstaw do przetwarzania, nadrzędnych wobec Pana/Pani interesów, praw i wolności, lub podstaw do ustalenia, dochodzenia lub obrony roszczeń.</w:t>
      </w:r>
    </w:p>
    <w:p>
      <w:pPr>
        <w:pStyle w:val="BodyText"/>
        <w:rPr/>
      </w:pPr>
      <w:r>
        <w:rPr/>
        <w:t>Wycofanie zgody lub zgłoszenie sprzeciwu nie oznacza jednak, że Administrator usunie wszystkie dane – w szczególności dalsze przechowywanie danych może mieć</w:t>
      </w:r>
    </w:p>
    <w:p>
      <w:pPr>
        <w:pStyle w:val="BodyText"/>
        <w:rPr>
          <w:szCs w:val="22"/>
        </w:rPr>
      </w:pPr>
      <w:r>
        <w:rPr>
          <w:szCs w:val="22"/>
        </w:rPr>
        <w:t>jeszcze miejsce przez okres przedawnienia roszczeń i dla potrzeb wykazania rozliczalności.</w:t>
      </w:r>
    </w:p>
    <w:p>
      <w:pPr>
        <w:pStyle w:val="BodyText"/>
        <w:rPr/>
      </w:pPr>
      <w:r>
        <w:rPr/>
        <w:t>Odbiorcy danych</w:t>
      </w:r>
    </w:p>
    <w:p>
      <w:pPr>
        <w:pStyle w:val="BodyText"/>
        <w:rPr/>
      </w:pPr>
      <w:r>
        <w:rPr/>
        <w:t>Pani/Pana dane osobowe z uwagi na charakter przetwarzania mogą być w niezbędnym zakresie przekazywane zakładom reasekuracji, a także innym podmiotom takim</w:t>
      </w:r>
    </w:p>
    <w:p>
      <w:pPr>
        <w:pStyle w:val="BodyText"/>
        <w:rPr/>
      </w:pPr>
      <w:r>
        <w:rPr/>
        <w:t>jak operatorzy pocztowi, operatorzy wybranych przez Panią/Pana sposobów płatności czy podmioty świadczące usługi w zakresie likwidacji szkód.</w:t>
      </w:r>
    </w:p>
    <w:p>
      <w:pPr>
        <w:pStyle w:val="BodyText"/>
        <w:rPr/>
      </w:pPr>
      <w:r>
        <w:rPr/>
        <w:t>Ponadto Pani/Pana dane mogą być przekazywane podmiotom przetwarzającym dane osobowe na zlecenie Administratora, m.in. dostawcom usług IT, przetwarzającym</w:t>
      </w:r>
    </w:p>
    <w:p>
      <w:pPr>
        <w:pStyle w:val="BodyText"/>
        <w:rPr/>
      </w:pPr>
      <w:r>
        <w:rPr/>
        <w:t>dane w celu dochodzenia lub obrony przed roszczeniami, agencjom marketingowym, agentom ubezpieczeniowym, podmiotom przetwarzającym dane w celu windykacji</w:t>
      </w:r>
    </w:p>
    <w:p>
      <w:pPr>
        <w:pStyle w:val="BodyText"/>
        <w:rPr/>
      </w:pPr>
      <w:r>
        <w:rPr/>
        <w:t>należności oraz podmiotom archiwizującym lub usuwającym dane – przy czym takie podmioty przetwarzają dane na podstawie umowy z Administratorem i wyłącznie</w:t>
      </w:r>
    </w:p>
    <w:p>
      <w:pPr>
        <w:pStyle w:val="BodyText"/>
        <w:rPr/>
      </w:pPr>
      <w:r>
        <w:rPr/>
        <w:t>zgodnie z poleceniami Administratora.</w:t>
      </w:r>
    </w:p>
    <w:p>
      <w:pPr>
        <w:pStyle w:val="BodyText"/>
        <w:rPr/>
      </w:pPr>
      <w:r>
        <w:rPr/>
        <w:t>Przekazywanie danych poza EOG</w:t>
      </w:r>
    </w:p>
    <w:p>
      <w:pPr>
        <w:pStyle w:val="BodyText"/>
        <w:rPr/>
      </w:pPr>
      <w:r>
        <w:rPr/>
        <w:t>Pani/Pana dane osobowe nie będą przekazywane odbiorcom znajdującym się w państwach poza Europejskim Obszarem Gospodarczym.</w:t>
      </w:r>
    </w:p>
    <w:p>
      <w:pPr>
        <w:pStyle w:val="BodyText"/>
        <w:rPr/>
      </w:pPr>
      <w:r>
        <w:rPr/>
        <w:t>Prawa osoby, której dane dotyczą</w:t>
      </w:r>
    </w:p>
    <w:p>
      <w:pPr>
        <w:pStyle w:val="BodyText"/>
        <w:rPr/>
      </w:pPr>
      <w:r>
        <w:rPr/>
        <w:t>Przysługuje Pani/Panu prawo do:</w:t>
      </w:r>
    </w:p>
    <w:p>
      <w:pPr>
        <w:pStyle w:val="BodyText"/>
        <w:rPr/>
      </w:pPr>
      <w:r>
        <w:rPr/>
        <w:t>- dostępu do Pani/Pana danych, w tym otrzymania ich kopii;</w:t>
      </w:r>
    </w:p>
    <w:p>
      <w:pPr>
        <w:pStyle w:val="BodyText"/>
        <w:rPr/>
      </w:pPr>
      <w:r>
        <w:rPr/>
        <w:t>- żądania sprostowania, usunięcia lub ograniczenia przetwarzania danych,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wniesienia sprzeciwu wobec przetwarzania Pani/Pana danych osobowych </w:t>
      </w:r>
      <w:r>
        <w:rPr/>
        <w:t>(w zakresie, w jakim podstawą przetwarzania danych jest przesłanka prawnie</w:t>
      </w:r>
    </w:p>
    <w:p>
      <w:pPr>
        <w:pStyle w:val="BodyText"/>
        <w:rPr>
          <w:b/>
          <w:bCs/>
          <w:i/>
          <w:iCs/>
        </w:rPr>
      </w:pPr>
      <w:r>
        <w:rPr/>
        <w:t xml:space="preserve">uzasadnionego interesu Administratora) – </w:t>
      </w:r>
      <w:r>
        <w:rPr>
          <w:b/>
          <w:bCs/>
          <w:i/>
          <w:iCs/>
        </w:rPr>
        <w:t>w szczególności prawo sprzeciwu przysługuje wobec przetwarzania danych na potrzeby marketingu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bezpośredniego oraz profilowania,</w:t>
      </w:r>
    </w:p>
    <w:p>
      <w:pPr>
        <w:pStyle w:val="BodyText"/>
        <w:rPr/>
      </w:pPr>
      <w:r>
        <w:rPr/>
        <w:t>- wycofania zgody na przetwarzanie Pani/Pana danych osobowych (w zakresie w jakim zgoda stanowi podstawę tego przetwarzania); wycofanie zgody nie ma</w:t>
      </w:r>
    </w:p>
    <w:p>
      <w:pPr>
        <w:pStyle w:val="BodyText"/>
        <w:rPr/>
      </w:pPr>
      <w:r>
        <w:rPr/>
        <w:t>wpływu na zgodność z prawem przetwarzania, którego dokonano na podstawie zgody przed jej wycofaniem;</w:t>
      </w:r>
    </w:p>
    <w:p>
      <w:pPr>
        <w:pStyle w:val="BodyText"/>
        <w:rPr/>
      </w:pPr>
      <w:r>
        <w:rPr/>
        <w:t>- przenoszenia danych osobowych (w zakresie, w jakim Pani/Pana dane są przetwarzane w sposób zautomatyzowany i przetwarzanie to odbywa się na podstawie</w:t>
      </w:r>
    </w:p>
    <w:p>
      <w:pPr>
        <w:pStyle w:val="BodyText"/>
        <w:rPr/>
      </w:pPr>
      <w:r>
        <w:rPr/>
        <w:t>zgody lub na podstawie zawartej z Administratorem umowy), tj. do otrzymania od Administratora Pani/Pana danych osobowych, w ustrukturyzowanym,</w:t>
      </w:r>
    </w:p>
    <w:p>
      <w:pPr>
        <w:pStyle w:val="BodyText"/>
        <w:rPr/>
      </w:pPr>
      <w:r>
        <w:rPr/>
        <w:t>powszechnie używanym formacie nadającym się do odczytu maszynowego); może Pani/Pan przesłać te dane innemu administratorowi danych,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W celu skorzystania z powyższych praw należy skontaktować się z Administratorem lub z inspektorem ochrony danych. Dane kontaktowe wskazane są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powyżej.</w:t>
      </w:r>
    </w:p>
    <w:p>
      <w:pPr>
        <w:pStyle w:val="BodyText"/>
        <w:rPr/>
      </w:pPr>
      <w:r>
        <w:rPr/>
        <w:t>Ponadto przysługuje Pani/Panu prawo wniesienia skargi do organu nadzorczego zajmującego się ochroną danych osobowych, tzn. do Urzędu Ochrony Danych</w:t>
      </w:r>
    </w:p>
    <w:p>
      <w:pPr>
        <w:pStyle w:val="BodyText"/>
        <w:rPr/>
      </w:pPr>
      <w:r>
        <w:rPr/>
        <w:t>Osobowych.</w:t>
      </w:r>
    </w:p>
    <w:p>
      <w:pPr>
        <w:pStyle w:val="BodyText"/>
        <w:rPr/>
      </w:pPr>
      <w:r>
        <w:rPr/>
        <w:t>Informacja o wymogu podania danych</w:t>
      </w:r>
    </w:p>
    <w:p>
      <w:pPr>
        <w:pStyle w:val="BodyText"/>
        <w:rPr/>
      </w:pPr>
      <w:r>
        <w:rPr/>
        <w:t>Podanie danych osobowych w związku z zawieraną umową jest dobrowolne ale konieczne do zawarcia i wykonywania umowy – bez podania danych osobowych nie</w:t>
      </w:r>
    </w:p>
    <w:p>
      <w:pPr>
        <w:pStyle w:val="BodyText"/>
        <w:rPr/>
      </w:pPr>
      <w:r>
        <w:rPr/>
        <w:t>jest możliwe zawarcie umowy ubezpieczenia. Podanie danych osobowych w celach marketingowych jest dobrowolne.</w:t>
      </w:r>
    </w:p>
    <w:p>
      <w:pPr>
        <w:pStyle w:val="BodyText"/>
        <w:rPr/>
      </w:pPr>
      <w:r>
        <w:rPr/>
        <w:t>6. Niniejsze oświadczenia składam dobrowolnie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distT="0" distB="0" distL="0" distR="0" simplePos="0" relativeHeight="133" behindDoc="0" locked="0" layoutInCell="0" allowOverlap="1">
            <wp:simplePos x="0" y="0"/>
            <wp:positionH relativeFrom="column">
              <wp:posOffset>2720975</wp:posOffset>
            </wp:positionH>
            <wp:positionV relativeFrom="paragraph">
              <wp:posOffset>61595</wp:posOffset>
            </wp:positionV>
            <wp:extent cx="1313815" cy="833120"/>
            <wp:effectExtent l="0" t="0" r="0" b="0"/>
            <wp:wrapSquare wrapText="largest"/>
            <wp:docPr id="29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815" cy="83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8" w:after="0"/>
        <w:rPr/>
      </w:pPr>
      <w:r>
        <w:rPr/>
      </w:r>
    </w:p>
    <w:p>
      <w:pPr>
        <w:pStyle w:val="Heading3"/>
        <w:tabs>
          <w:tab w:val="clear" w:pos="720"/>
          <w:tab w:val="left" w:pos="4321" w:leader="none"/>
        </w:tabs>
        <w:rPr/>
      </w:pPr>
      <w:r>
        <mc:AlternateContent>
          <mc:Choice Requires="wps">
            <w:drawing>
              <wp:anchor distT="0" distB="1270" distL="1270" distR="0" simplePos="0" relativeHeight="125" behindDoc="0" locked="0" layoutInCell="0" allowOverlap="1" wp14:anchorId="72600D0B">
                <wp:simplePos x="0" y="0"/>
                <wp:positionH relativeFrom="page">
                  <wp:posOffset>360045</wp:posOffset>
                </wp:positionH>
                <wp:positionV relativeFrom="paragraph">
                  <wp:posOffset>138430</wp:posOffset>
                </wp:positionV>
                <wp:extent cx="1800225" cy="6350"/>
                <wp:effectExtent l="1270" t="0" r="0" b="1270"/>
                <wp:wrapNone/>
                <wp:docPr id="30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360" cy="6480"/>
                        </a:xfrm>
                        <a:custGeom>
                          <a:avLst/>
                          <a:gdLst>
                            <a:gd name="textAreaLeft" fmla="*/ 0 w 1020600"/>
                            <a:gd name="textAreaRight" fmla="*/ 1023480 w 1020600"/>
                            <a:gd name="textAreaTop" fmla="*/ 0 h 3600"/>
                            <a:gd name="textAreaBottom" fmla="*/ 64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00225" h="6350">
                              <a:moveTo>
                                <a:pt x="179997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1799970" y="0"/>
                              </a:lnTo>
                              <a:lnTo>
                                <a:pt x="179997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OLSZTYN,</w:t>
      </w:r>
      <w:r>
        <w:rPr>
          <w:spacing w:val="16"/>
        </w:rPr>
        <w:t xml:space="preserve">{{data_wystawienia}}</w:t>
      </w:r>
      <w:r>
        <w:rPr/>
        <w:tab/>
        <w:t>DARIUSZ</w:t>
      </w:r>
      <w:r>
        <w:rPr>
          <w:spacing w:val="-11"/>
        </w:rPr>
        <w:t xml:space="preserve"> </w:t>
      </w:r>
      <w:r>
        <w:rPr/>
        <w:t>ZABOROWSKI,</w:t>
      </w:r>
      <w:r>
        <w:rPr>
          <w:spacing w:val="-9"/>
        </w:rPr>
        <w:t xml:space="preserve"> </w:t>
      </w:r>
      <w:r>
        <w:rPr>
          <w:spacing w:val="-2"/>
        </w:rPr>
        <w:t>33/655/001</w:t>
      </w:r>
    </w:p>
    <w:p>
      <w:pPr>
        <w:sectPr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647" w:right="541" w:gutter="0" w:header="0" w:top="180" w:footer="859" w:bottom="11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6" w:after="0"/>
        <w:ind w:hanging="0" w:left="0"/>
        <w:rPr/>
      </w:pPr>
      <w:r>
        <w:rPr>
          <w:spacing w:val="-2"/>
        </w:rPr>
        <w:t xml:space="preserve">               Miejscowość,</w:t>
      </w:r>
      <w:r>
        <w:rPr>
          <w:spacing w:val="5"/>
        </w:rPr>
        <w:t xml:space="preserve"> </w:t>
      </w:r>
      <w:r>
        <w:rPr>
          <w:spacing w:val="-4"/>
        </w:rPr>
        <w:t>data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888" w:right="-116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05B4DD36">
                <wp:extent cx="1800225" cy="6350"/>
                <wp:effectExtent l="0" t="0" r="0" b="0"/>
                <wp:docPr id="47" name="Group 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48" name="Graphic 29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3480 w 1020600"/>
                              <a:gd name="textAreaTop" fmla="*/ 0 h 3600"/>
                              <a:gd name="textAreaBottom" fmla="*/ 648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8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lineRule="auto" w:line="245" w:before="39" w:after="0"/>
        <w:ind w:firstLine="307" w:left="987"/>
        <w:rPr/>
      </w:pPr>
      <w:r>
        <w:rPr/>
        <w:t>Podpis i pieczęć Przedstawiciela</w:t>
      </w:r>
      <w:r>
        <w:rPr>
          <w:spacing w:val="40"/>
        </w:rPr>
        <w:t xml:space="preserve"> </w:t>
      </w:r>
      <w:r>
        <w:rPr/>
        <w:t>InterRisk</w:t>
      </w:r>
      <w:r>
        <w:rPr>
          <w:spacing w:val="-7"/>
        </w:rPr>
        <w:t xml:space="preserve"> </w:t>
      </w:r>
      <w:r>
        <w:rPr/>
        <w:t>TU</w:t>
      </w:r>
      <w:r>
        <w:rPr>
          <w:spacing w:val="-7"/>
        </w:rPr>
        <w:t xml:space="preserve"> </w:t>
      </w:r>
      <w:r>
        <w:rPr/>
        <w:t>S.A.</w:t>
      </w:r>
      <w:r>
        <w:rPr>
          <w:spacing w:val="-7"/>
        </w:rPr>
        <w:t xml:space="preserve"> </w:t>
      </w:r>
      <w:r>
        <w:rPr/>
        <w:t>Vienna</w:t>
      </w:r>
      <w:r>
        <w:rPr>
          <w:spacing w:val="-7"/>
        </w:rPr>
        <w:t xml:space="preserve"> </w:t>
      </w:r>
      <w:r>
        <w:rPr/>
        <w:t>Insurance</w:t>
      </w:r>
      <w:r>
        <w:rPr>
          <w:spacing w:val="-7"/>
        </w:rPr>
        <w:t xml:space="preserve"> </w:t>
      </w:r>
      <w:r>
        <w:rPr/>
        <w:t>Group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655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6EBF394F">
                <wp:extent cx="1800225" cy="6350"/>
                <wp:effectExtent l="0" t="0" r="0" b="0"/>
                <wp:docPr id="49" name="Group 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50" name="Graphic 31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3480 w 1020600"/>
                              <a:gd name="textAreaTop" fmla="*/ 0 h 3600"/>
                              <a:gd name="textAreaBottom" fmla="*/ 648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0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before="39" w:after="0"/>
        <w:ind w:left="987"/>
        <w:rPr/>
      </w:pPr>
      <w:r>
        <w:rPr/>
        <w:t>Czytelny</w:t>
      </w:r>
      <w:r>
        <w:rPr>
          <w:spacing w:val="-4"/>
        </w:rPr>
        <w:t xml:space="preserve"> </w:t>
      </w:r>
      <w:r>
        <w:rPr/>
        <w:t>podpis</w:t>
      </w:r>
      <w:r>
        <w:rPr>
          <w:spacing w:val="-4"/>
        </w:rPr>
        <w:t xml:space="preserve"> </w:t>
      </w:r>
      <w:r>
        <w:rPr>
          <w:spacing w:val="-2"/>
        </w:rPr>
        <w:t>Ubezpieczającego</w:t>
      </w:r>
    </w:p>
    <w:p>
      <w:pPr>
        <w:sectPr>
          <w:type w:val="continuous"/>
          <w:pgSz w:w="11906" w:h="16838"/>
          <w:pgMar w:left="647" w:right="541" w:gutter="0" w:header="0" w:top="180" w:footer="859" w:bottom="1120"/>
          <w:cols w:num="3" w:equalWidth="false" w:sep="false">
            <w:col w:w="2086" w:space="1052"/>
            <w:col w:w="3524" w:space="536"/>
            <w:col w:w="3519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" w:after="0"/>
        <w:rPr>
          <w:sz w:val="12"/>
        </w:rPr>
      </w:pPr>
      <w:r>
        <w:rPr>
          <w:sz w:val="12"/>
        </w:rPr>
      </w:r>
    </w:p>
    <w:p>
      <w:pPr>
        <w:pStyle w:val="Normal"/>
        <w:spacing w:lineRule="auto" w:line="300"/>
        <w:ind w:left="278" w:right="7334"/>
        <w:rPr>
          <w:sz w:val="12"/>
        </w:rPr>
      </w:pPr>
      <w:r>
        <w:rPr>
          <w:spacing w:val="-2"/>
          <w:w w:val="105"/>
          <w:sz w:val="12"/>
        </w:rPr>
        <w:t>Numery telefonów niezbędne do realizacji świadczeń:</w:t>
      </w:r>
      <w:r>
        <w:rPr>
          <w:spacing w:val="40"/>
          <w:w w:val="105"/>
          <w:sz w:val="12"/>
        </w:rPr>
        <w:t xml:space="preserve"> </w:t>
      </w:r>
      <w:r>
        <w:rPr>
          <w:sz w:val="12"/>
        </w:rPr>
        <w:t>Assistance EDU PLUS – InterRisk Kontakt (22) 575 25 25</w:t>
      </w:r>
    </w:p>
    <w:p>
      <w:pPr>
        <w:pStyle w:val="BodyText"/>
        <w:spacing w:before="8" w:after="0"/>
        <w:rPr>
          <w:sz w:val="6"/>
        </w:rPr>
      </w:pPr>
      <w:r>
        <w:rPr>
          <w:sz w:val="6"/>
        </w:rPr>
      </w:r>
    </w:p>
    <w:sectPr>
      <w:type w:val="continuous"/>
      <w:pgSz w:w="11906" w:h="16838"/>
      <w:pgMar w:left="647" w:right="541" w:gutter="0" w:header="0" w:top="180" w:footer="859" w:bottom="112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Microsoft Sans Serif">
    <w:charset w:val="ee"/>
    <w:family w:val="swiss"/>
    <w:pitch w:val="variable"/>
  </w:font>
  <w:font w:name="Arial">
    <w:charset w:val="ee"/>
    <w:family w:val="swiss"/>
    <w:pitch w:val="variable"/>
  </w:font>
  <w:font w:name="Cambria">
    <w:charset w:val="ee"/>
    <w:family w:val="roman"/>
    <w:pitch w:val="variable"/>
  </w:font>
  <w:font w:name="MyriadPro-Regular">
    <w:charset w:val="ee"/>
    <w:family w:val="roman"/>
    <w:pitch w:val="variable"/>
  </w:font>
  <w:font w:name="MyriadPro-Bold">
    <w:charset w:val="ee"/>
    <w:family w:val="roman"/>
    <w:pitch w:val="variable"/>
  </w:font>
  <w:font w:name="Times New Roman">
    <w:charset w:val="ee"/>
    <w:family w:val="roman"/>
    <w:pitch w:val="variable"/>
  </w:font>
  <w:font w:name="Aptos Display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Arial">
    <w:altName w:val="BoldItalic"/>
    <w:charset w:val="ee"/>
    <w:family w:val="swiss"/>
    <w:pitch w:val="variable"/>
  </w:font>
  <w:font w:name="Arial Narrow">
    <w:charset w:val="ee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4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5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6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0800 w 3877920"/>
                          <a:gd name="textAreaTop" fmla="*/ 0 h 3600"/>
                          <a:gd name="textAreaBottom" fmla="*/ 648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7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9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0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1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12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3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14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0800 w 3877920"/>
                          <a:gd name="textAreaTop" fmla="*/ 0 h 3600"/>
                          <a:gd name="textAreaBottom" fmla="*/ 648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15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16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17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8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1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32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3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34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0800 w 3877920"/>
                          <a:gd name="textAreaTop" fmla="*/ 0 h 3600"/>
                          <a:gd name="textAreaBottom" fmla="*/ 648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8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3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83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3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8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3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13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38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9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40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41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42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0800 w 3877920"/>
                          <a:gd name="textAreaTop" fmla="*/ 0 h 3600"/>
                          <a:gd name="textAreaBottom" fmla="*/ 648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8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4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83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4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8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4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13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46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63" w:hanging="284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100"/>
        <w:sz w:val="14"/>
        <w:szCs w:val="14"/>
        <w:lang w:val="pl-PL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19" w:hanging="284"/>
      </w:pPr>
      <w:rPr>
        <w:rFonts w:ascii="Symbol" w:hAnsi="Symbol" w:cs="Symbol" w:hint="default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79" w:hanging="284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38" w:hanging="284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98" w:hanging="284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57" w:hanging="284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17" w:hanging="284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76" w:hanging="284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936" w:hanging="284"/>
      </w:pPr>
      <w:rPr>
        <w:rFonts w:ascii="Symbol" w:hAnsi="Symbol" w:cs="Symbol" w:hint="default"/>
        <w:lang w:val="pl-PL" w:eastAsia="en-US" w:bidi="ar-SA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407" w:hanging="126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9"/>
        <w:sz w:val="12"/>
        <w:szCs w:val="12"/>
        <w:lang w:val="pl-PL" w:eastAsia="en-US" w:bidi="ar-SA"/>
      </w:rPr>
    </w:lvl>
    <w:lvl w:ilvl="1">
      <w:start w:val="9"/>
      <w:numFmt w:val="lowerLetter"/>
      <w:lvlText w:val="%2)"/>
      <w:lvlJc w:val="left"/>
      <w:pPr>
        <w:tabs>
          <w:tab w:val="num" w:pos="0"/>
        </w:tabs>
        <w:ind w:left="360" w:hanging="79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4"/>
        <w:sz w:val="12"/>
        <w:szCs w:val="12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83" w:hanging="79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67" w:hanging="79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51" w:hanging="79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35" w:hanging="79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19" w:hanging="79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03" w:hanging="79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87" w:hanging="79"/>
      </w:pPr>
      <w:rPr>
        <w:rFonts w:ascii="Symbol" w:hAnsi="Symbol" w:cs="Symbol" w:hint="default"/>
        <w:lang w:val="pl-PL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cs="Arial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lowerRoman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ptos" w:cs="Arial"/>
        <w:b w:val="false"/>
        <w:bCs w:val="false"/>
        <w:i w:val="false"/>
        <w:iCs w:val="false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/>
        <w:b w:val="false"/>
        <w:bCs w:val="false"/>
        <w:i w:val="false"/>
        <w:iCs w:val="false"/>
        <w:spacing w:val="0"/>
        <w:w w:val="85"/>
        <w:sz w:val="20"/>
        <w:szCs w:val="1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lowerRoman"/>
      <w:lvlText w:val="%1."/>
      <w:lvlJc w:val="right"/>
      <w:pPr>
        <w:tabs>
          <w:tab w:val="num" w:pos="0"/>
        </w:tabs>
        <w:ind w:left="720" w:hanging="360"/>
      </w:pPr>
      <w:rPr>
        <w:b w:val="false"/>
        <w:i w:val="false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48"/>
  <w:defaultTabStop w:val="720"/>
  <w:autoHyphenation w:val="true"/>
  <w:hyphenationZone w:val="0"/>
  <w:updateFields w:val="true"/>
  <w:compat>
    <w:doNotBreakWrappedTables/>
    <w:ulTrailSpac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uiPriority w:val="9"/>
    <w:qFormat/>
    <w:pPr>
      <w:ind w:left="450"/>
      <w:outlineLvl w:val="0"/>
    </w:pPr>
    <w:rPr>
      <w:rFonts w:ascii="Arial" w:hAnsi="Arial" w:eastAsia="Arial" w:cs="Arial"/>
      <w:b/>
      <w:bCs/>
      <w:i/>
      <w:i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5"/>
      <w:outlineLvl w:val="1"/>
    </w:pPr>
    <w:rPr>
      <w:rFonts w:ascii="Arial" w:hAnsi="Arial" w:eastAsia="Arial" w:cs="Arial"/>
      <w:b/>
      <w:bCs/>
      <w:i/>
      <w:iCs/>
      <w:sz w:val="16"/>
      <w:szCs w:val="16"/>
    </w:rPr>
  </w:style>
  <w:style w:type="paragraph" w:styleId="Heading3">
    <w:name w:val="heading 3"/>
    <w:basedOn w:val="Normal"/>
    <w:uiPriority w:val="9"/>
    <w:unhideWhenUsed/>
    <w:qFormat/>
    <w:pPr>
      <w:ind w:left="835"/>
      <w:outlineLvl w:val="2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4">
    <w:name w:val="heading 4"/>
    <w:basedOn w:val="Normal"/>
    <w:uiPriority w:val="9"/>
    <w:unhideWhenUsed/>
    <w:qFormat/>
    <w:pPr>
      <w:spacing w:before="123" w:after="0"/>
      <w:ind w:left="282"/>
      <w:outlineLvl w:val="3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5">
    <w:name w:val="heading 5"/>
    <w:basedOn w:val="Normal"/>
    <w:uiPriority w:val="9"/>
    <w:unhideWhenUsed/>
    <w:qFormat/>
    <w:pPr>
      <w:ind w:left="282"/>
      <w:outlineLvl w:val="4"/>
    </w:pPr>
    <w:rPr>
      <w:sz w:val="14"/>
      <w:szCs w:val="1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f725c"/>
    <w:rPr>
      <w:sz w:val="16"/>
      <w:szCs w:val="16"/>
    </w:rPr>
  </w:style>
  <w:style w:type="character" w:styleId="TekstkomentarzaZnak" w:customStyle="1">
    <w:name w:val="Tekst komentarza Znak"/>
    <w:basedOn w:val="DefaultParagraphFont"/>
    <w:link w:val="CommentText"/>
    <w:uiPriority w:val="99"/>
    <w:semiHidden/>
    <w:qFormat/>
    <w:rsid w:val="00af725c"/>
    <w:rPr>
      <w:rFonts w:ascii="Microsoft Sans Serif" w:hAnsi="Microsoft Sans Serif" w:eastAsia="Microsoft Sans Serif" w:cs="Microsoft Sans Serif"/>
      <w:sz w:val="20"/>
      <w:szCs w:val="20"/>
      <w:lang w:val="pl-PL"/>
    </w:rPr>
  </w:style>
  <w:style w:type="character" w:styleId="TematkomentarzaZnak" w:customStyle="1">
    <w:name w:val="Temat komentarza Znak"/>
    <w:basedOn w:val="TekstkomentarzaZnak"/>
    <w:link w:val="annotationsubject"/>
    <w:uiPriority w:val="99"/>
    <w:semiHidden/>
    <w:qFormat/>
    <w:rsid w:val="00af725c"/>
    <w:rPr>
      <w:rFonts w:ascii="Microsoft Sans Serif" w:hAnsi="Microsoft Sans Serif" w:eastAsia="Microsoft Sans Serif" w:cs="Microsoft Sans Serif"/>
      <w:b/>
      <w:bCs/>
      <w:sz w:val="20"/>
      <w:szCs w:val="20"/>
      <w:lang w:val="pl-PL"/>
    </w:rPr>
  </w:style>
  <w:style w:type="character" w:styleId="SubtleReference">
    <w:name w:val="Subtle Reference"/>
    <w:qFormat/>
    <w:rPr>
      <w:rFonts w:ascii="Calibri" w:hAnsi="Calibri" w:eastAsia="Times New Roman" w:cs="Times New Roman"/>
      <w:i/>
      <w:iCs/>
      <w:color w:val="622423"/>
    </w:rPr>
  </w:style>
  <w:style w:type="character" w:styleId="TekstprzypisudolnegoZnak">
    <w:name w:val="Tekst przypisu dolnego Znak"/>
    <w:qFormat/>
    <w:rPr>
      <w:rFonts w:ascii="Cambria" w:hAnsi="Cambria" w:eastAsia="Times New Roman" w:cs="Times New Roman"/>
      <w:kern w:val="0"/>
      <w:sz w:val="20"/>
      <w:szCs w:val="20"/>
      <w:lang w:bidi="en-US"/>
    </w:rPr>
  </w:style>
  <w:style w:type="character" w:styleId="Znakiprzypiswdolnychuser">
    <w:name w:val="Znaki przypisów dolnych (user)"/>
    <w:qFormat/>
    <w:rPr>
      <w:vertAlign w:val="superscript"/>
    </w:rPr>
  </w:style>
  <w:style w:type="character" w:styleId="A7">
    <w:name w:val="A7"/>
    <w:qFormat/>
    <w:rPr>
      <w:rFonts w:cs="Myriad Pro"/>
      <w:color w:val="000000"/>
    </w:rPr>
  </w:style>
  <w:style w:type="character" w:styleId="AkapitzlistZnak">
    <w:name w:val="Akapit z listą Znak"/>
    <w:qFormat/>
    <w:rPr/>
  </w:style>
  <w:style w:type="character" w:styleId="fontstyle21">
    <w:name w:val="fontstyle21"/>
    <w:qFormat/>
    <w:rPr>
      <w:rFonts w:ascii="MyriadPro-Regular" w:hAnsi="MyriadPro-Regular"/>
      <w:color w:val="242021"/>
      <w:sz w:val="14"/>
    </w:rPr>
  </w:style>
  <w:style w:type="character" w:styleId="fontstyle01">
    <w:name w:val="fontstyle01"/>
    <w:qFormat/>
    <w:rPr>
      <w:rFonts w:ascii="MyriadPro-Bold" w:hAnsi="MyriadPro-Bold"/>
      <w:b/>
      <w:color w:val="242021"/>
      <w:sz w:val="14"/>
    </w:rPr>
  </w:style>
  <w:style w:type="character" w:styleId="TekstpodstawowywcityZnak">
    <w:name w:val="Tekst podstawowy wcięty Znak"/>
    <w:qFormat/>
    <w:rPr>
      <w:rFonts w:ascii="Calibri" w:hAnsi="Calibri" w:eastAsia="Times New Roman" w:cs="Times New Roman"/>
      <w:kern w:val="0"/>
      <w:sz w:val="20"/>
      <w:szCs w:val="20"/>
      <w:lang w:val="en-US" w:bidi="en-US"/>
    </w:rPr>
  </w:style>
  <w:style w:type="character" w:styleId="TekstpodstawowyZnak">
    <w:name w:val="Tekst podstawowy Znak"/>
    <w:qFormat/>
    <w:rPr>
      <w:rFonts w:ascii="Times New Roman" w:hAnsi="Times New Roman" w:cs="Times New Roman"/>
      <w:kern w:val="0"/>
      <w:sz w:val="24"/>
      <w:szCs w:val="24"/>
      <w:lang w:eastAsia="pl-PL"/>
    </w:rPr>
  </w:style>
  <w:style w:type="character" w:styleId="IntenseReference">
    <w:name w:val="Intense Reference"/>
    <w:qFormat/>
    <w:rPr>
      <w:b/>
      <w:bCs/>
      <w:smallCaps/>
      <w:color w:val="0F4761"/>
      <w:spacing w:val="5"/>
    </w:rPr>
  </w:style>
  <w:style w:type="character" w:styleId="CytatintensywnyZnak">
    <w:name w:val="Cytat intensywny Znak"/>
    <w:qFormat/>
    <w:rPr>
      <w:i/>
      <w:iCs/>
      <w:color w:val="0F4761"/>
    </w:rPr>
  </w:style>
  <w:style w:type="character" w:styleId="IntenseEmphasis">
    <w:name w:val="Intense Emphasis"/>
    <w:qFormat/>
    <w:rPr>
      <w:i/>
      <w:iCs/>
      <w:color w:val="0F4761"/>
    </w:rPr>
  </w:style>
  <w:style w:type="character" w:styleId="CytatZnak">
    <w:name w:val="Cytat Znak"/>
    <w:qFormat/>
    <w:rPr>
      <w:i/>
      <w:iCs/>
      <w:color w:val="404040"/>
    </w:rPr>
  </w:style>
  <w:style w:type="character" w:styleId="PodtytuZnak">
    <w:name w:val="Podtytuł Znak"/>
    <w:qFormat/>
    <w:rPr>
      <w:rFonts w:eastAsia="0" w:cs="0"/>
      <w:color w:val="595959"/>
      <w:spacing w:val="15"/>
      <w:sz w:val="28"/>
      <w:szCs w:val="28"/>
    </w:rPr>
  </w:style>
  <w:style w:type="character" w:styleId="TytuZnak">
    <w:name w:val="Tytuł Znak"/>
    <w:qFormat/>
    <w:rPr>
      <w:rFonts w:ascii="Aptos Display" w:hAnsi="Aptos Display" w:eastAsia="0" w:cs="0"/>
      <w:spacing w:val="-10"/>
      <w:kern w:val="2"/>
      <w:sz w:val="56"/>
      <w:szCs w:val="56"/>
    </w:rPr>
  </w:style>
  <w:style w:type="character" w:styleId="Nagwek9Znak">
    <w:name w:val="Nagłówek 9 Znak"/>
    <w:qFormat/>
    <w:rPr>
      <w:rFonts w:eastAsia="0" w:cs="0"/>
      <w:color w:val="272727"/>
    </w:rPr>
  </w:style>
  <w:style w:type="character" w:styleId="Nagwek8Znak">
    <w:name w:val="Nagłówek 8 Znak"/>
    <w:qFormat/>
    <w:rPr>
      <w:rFonts w:eastAsia="0" w:cs="0"/>
      <w:i/>
      <w:iCs/>
      <w:color w:val="272727"/>
    </w:rPr>
  </w:style>
  <w:style w:type="character" w:styleId="Nagwek7Znak">
    <w:name w:val="Nagłówek 7 Znak"/>
    <w:qFormat/>
    <w:rPr>
      <w:rFonts w:eastAsia="0" w:cs="0"/>
      <w:color w:val="595959"/>
    </w:rPr>
  </w:style>
  <w:style w:type="character" w:styleId="Nagwek6Znak">
    <w:name w:val="Nagłówek 6 Znak"/>
    <w:qFormat/>
    <w:rPr>
      <w:rFonts w:eastAsia="0" w:cs="0"/>
      <w:i/>
      <w:iCs/>
      <w:color w:val="595959"/>
    </w:rPr>
  </w:style>
  <w:style w:type="character" w:styleId="Nagwek5Znak">
    <w:name w:val="Nagłówek 5 Znak"/>
    <w:qFormat/>
    <w:rPr>
      <w:rFonts w:eastAsia="0" w:cs="0"/>
      <w:color w:val="0F4761"/>
    </w:rPr>
  </w:style>
  <w:style w:type="character" w:styleId="Nagwek4Znak">
    <w:name w:val="Nagłówek 4 Znak"/>
    <w:qFormat/>
    <w:rPr>
      <w:rFonts w:eastAsia="0" w:cs="0"/>
      <w:i/>
      <w:iCs/>
      <w:color w:val="0F4761"/>
    </w:rPr>
  </w:style>
  <w:style w:type="character" w:styleId="Nagwek3Znak">
    <w:name w:val="Nagłówek 3 Znak"/>
    <w:qFormat/>
    <w:rPr>
      <w:rFonts w:eastAsia="0" w:cs="0"/>
      <w:color w:val="0F4761"/>
      <w:sz w:val="28"/>
      <w:szCs w:val="28"/>
    </w:rPr>
  </w:style>
  <w:style w:type="character" w:styleId="Nagwek2Znak">
    <w:name w:val="Nagłówek 2 Znak"/>
    <w:qFormat/>
    <w:rPr>
      <w:rFonts w:ascii="Aptos Display" w:hAnsi="Aptos Display" w:eastAsia="0" w:cs="0"/>
      <w:color w:val="0F4761"/>
      <w:sz w:val="32"/>
      <w:szCs w:val="32"/>
    </w:rPr>
  </w:style>
  <w:style w:type="character" w:styleId="Nagwek1Znak">
    <w:name w:val="Nagłówek 1 Znak"/>
    <w:qFormat/>
    <w:rPr>
      <w:rFonts w:ascii="Aptos Display" w:hAnsi="Aptos Display" w:eastAsia="0" w:cs="0"/>
      <w:color w:val="0F4761"/>
      <w:sz w:val="40"/>
      <w:szCs w:val="40"/>
    </w:rPr>
  </w:style>
  <w:style w:type="paragraph" w:styleId="Nagwek" w:customStyle="1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14"/>
      <w:szCs w:val="1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 w:customStyle="1">
    <w:name w:val="Indeks"/>
    <w:basedOn w:val="Normal"/>
    <w:qFormat/>
    <w:pPr>
      <w:suppressLineNumbers/>
    </w:pPr>
    <w:rPr>
      <w:rFonts w:cs="Lucida Sans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 w:customStyle="1">
    <w:name w:val="Indeks (user)"/>
    <w:basedOn w:val="Normal"/>
    <w:qFormat/>
    <w:pPr>
      <w:suppressLineNumbers/>
    </w:pPr>
    <w:rPr>
      <w:rFonts w:cs="Lucida Sans"/>
    </w:rPr>
  </w:style>
  <w:style w:type="paragraph" w:styleId="Gwkaistopka" w:customStyle="1">
    <w:name w:val="Główka i stopka"/>
    <w:basedOn w:val="Normal"/>
    <w:qFormat/>
    <w:pPr/>
    <w:rPr/>
  </w:style>
  <w:style w:type="paragraph" w:styleId="Gwkaistopkauser" w:customStyle="1">
    <w:name w:val="Główka i stopka (user)"/>
    <w:basedOn w:val="Normal"/>
    <w:qFormat/>
    <w:pPr/>
    <w:rPr/>
  </w:style>
  <w:style w:type="paragraph" w:styleId="Header">
    <w:name w:val="heade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hanging="284" w:left="404"/>
    </w:pPr>
    <w:rPr/>
  </w:style>
  <w:style w:type="paragraph" w:styleId="TableParagraph" w:customStyle="1">
    <w:name w:val="Table Paragraph"/>
    <w:basedOn w:val="Normal"/>
    <w:uiPriority w:val="1"/>
    <w:qFormat/>
    <w:pPr>
      <w:spacing w:before="65" w:after="0"/>
      <w:jc w:val="center"/>
    </w:pPr>
    <w:rPr/>
  </w:style>
  <w:style w:type="paragraph" w:styleId="Zawartoramkiuser" w:customStyle="1">
    <w:name w:val="Zawartość ramki (user)"/>
    <w:basedOn w:val="Normal"/>
    <w:qFormat/>
    <w:pPr/>
    <w:rPr/>
  </w:style>
  <w:style w:type="paragraph" w:styleId="Footer">
    <w:name w:val="footer"/>
    <w:basedOn w:val="Gwkaistopkauser"/>
    <w:pPr/>
    <w:rPr/>
  </w:style>
  <w:style w:type="paragraph" w:styleId="Zawartoramki" w:customStyle="1">
    <w:name w:val="Zawartość ramki"/>
    <w:basedOn w:val="Normal"/>
    <w:qFormat/>
    <w:pPr/>
    <w:rPr/>
  </w:style>
  <w:style w:type="paragraph" w:styleId="Zawartotabeliuser" w:customStyle="1">
    <w:name w:val="Zawartość tabeli (user)"/>
    <w:basedOn w:val="Normal"/>
    <w:qFormat/>
    <w:pPr>
      <w:suppressLineNumbers/>
    </w:pPr>
    <w:rPr/>
  </w:style>
  <w:style w:type="paragraph" w:styleId="CommentText">
    <w:name w:val="annotation text"/>
    <w:basedOn w:val="Normal"/>
    <w:link w:val="TekstkomentarzaZnak"/>
    <w:uiPriority w:val="99"/>
    <w:semiHidden/>
    <w:unhideWhenUsed/>
    <w:rsid w:val="00af725c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TematkomentarzaZnak"/>
    <w:uiPriority w:val="99"/>
    <w:semiHidden/>
    <w:unhideWhenUsed/>
    <w:qFormat/>
    <w:rsid w:val="00af725c"/>
    <w:pPr/>
    <w:rPr>
      <w:b/>
      <w:bCs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ptos" w:cs="Arial"/>
      <w:color w:val="000000"/>
      <w:kern w:val="0"/>
      <w:sz w:val="24"/>
      <w:szCs w:val="24"/>
      <w:lang w:val="pl-PL" w:eastAsia="en-US" w:bidi="pl-PL"/>
    </w:rPr>
  </w:style>
  <w:style w:type="paragraph" w:styleId="wordsection1">
    <w:name w:val="wordsection1"/>
    <w:basedOn w:val="Normal"/>
    <w:qFormat/>
    <w:pPr>
      <w:spacing w:lineRule="auto" w:line="240" w:beforeAutospacing="1" w:afterAutospacing="1"/>
    </w:pPr>
    <w:rPr>
      <w:rFonts w:ascii="Times New Roman" w:hAnsi="Times New Roman" w:cs="Times New Roman"/>
      <w:sz w:val="24"/>
      <w:szCs w:val="24"/>
      <w:lang w:eastAsia="pl-PL"/>
    </w:rPr>
  </w:style>
  <w:style w:type="paragraph" w:styleId="BodyTextIndent">
    <w:name w:val="Body Text Indent"/>
    <w:basedOn w:val="BodyText"/>
    <w:pPr>
      <w:ind w:hanging="0" w:left="283"/>
    </w:pPr>
    <w:rPr/>
  </w:style>
  <w:style w:type="paragraph" w:styleId="Komentarz">
    <w:name w:val="Komentarz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Application>LibreOffice/25.8.6.2$Windows_X86_64 LibreOffice_project/b4b39682cd9868fa725bc664aff94278d315bd04</Application>
  <AppVersion>15.0000</AppVersion>
  <Pages>8</Pages>
  <Words>6216</Words>
  <Characters>39334</Characters>
  <CharactersWithSpaces>45042</CharactersWithSpaces>
  <Paragraphs>582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2026-05-19T07:35:00Z</dcterms:created>
  <dc:creator>Lena MIckiewicz</dc:creator>
  <dc:description/>
  <dc:language>pl-PL</dc:language>
  <cp:lastModifiedBy/>
  <cp:lastPrinted>2026-06-15T12:13:33Z</cp:lastPrinted>
  <dcterms:modified xsi:type="dcterms:W3CDTF">2026-06-15T12:37:44Z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2025-09-11T00:00:00Z</vt:filetime>
  </property>
  <property fmtid="{D5CDD505-2E9C-101B-9397-08002B2CF9AE}" pid="4" name="Creator">
    <vt:lpwstr>Telerik Reporting 5.3.12.119 (http://www.telerik.com/products/reporting.aspx)</vt:lpwstr>
  </property>
  <property fmtid="{D5CDD505-2E9C-101B-9397-08002B2CF9AE}" pid="5" name="LastSaved">
    <vt:filetime>2026-05-08T00:00:00Z</vt:filetime>
  </property>
  <property fmtid="{D5CDD505-2E9C-101B-9397-08002B2CF9AE}" pid="6" name="Producer">
    <vt:lpwstr>Telerik Reporting 5.3.12.119 (http://www.telerik.com/products/reporting.aspx)</vt:lpwstr>
  </property>
</Properties>
</file>