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uto" w:line="269" w:before="80" w:after="0"/>
        <w:ind w:left="450" w:right="961"/>
        <w:rPr>
          <w:sz w:val="13"/>
        </w:rPr>
      </w:pPr>
      <w:r>
        <mc:AlternateContent>
          <mc:Choice Requires="wps">
            <w:drawing>
              <wp:anchor distT="3810" distB="2540" distL="3810" distR="2540" simplePos="0" relativeHeight="101" behindDoc="0" locked="0" layoutInCell="0" allowOverlap="1">
                <wp:simplePos x="0" y="0"/>
                <wp:positionH relativeFrom="page">
                  <wp:posOffset>360045</wp:posOffset>
                </wp:positionH>
                <wp:positionV relativeFrom="paragraph">
                  <wp:posOffset>90170</wp:posOffset>
                </wp:positionV>
                <wp:extent cx="144145" cy="540385"/>
                <wp:effectExtent l="3810" t="3810" r="2540" b="2540"/>
                <wp:wrapNone/>
                <wp:docPr id="1" name="Textbox 9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4000" cy="540360"/>
                        </a:xfrm>
                        <a:prstGeom prst="rect">
                          <a:avLst/>
                        </a:prstGeom>
                        <a:noFill/>
                        <a:ln w="6480">
                          <a:solidFill>
                            <a:srgbClr val="a9a9a9"/>
                          </a:solidFill>
                          <a:prstDash val="sysDash"/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Zawartoramkiuser"/>
                              <w:spacing w:before="58" w:after="0"/>
                              <w:ind w:left="142"/>
                              <w:rPr>
                                <w:sz w:val="8"/>
                              </w:rPr>
                            </w:pPr>
                            <w:r>
                              <w:rPr>
                                <w:color w:val="A9A9A9"/>
                                <w:sz w:val="8"/>
                              </w:rPr>
                              <w:t>Tu</w:t>
                            </w:r>
                            <w:r>
                              <w:rPr>
                                <w:color w:val="A9A9A9"/>
                                <w:spacing w:val="1"/>
                                <w:sz w:val="8"/>
                              </w:rPr>
                              <w:t xml:space="preserve"> </w:t>
                            </w:r>
                            <w:r>
                              <w:rPr>
                                <w:color w:val="A9A9A9"/>
                                <w:sz w:val="8"/>
                              </w:rPr>
                              <w:t>zepnij</w:t>
                            </w:r>
                            <w:r>
                              <w:rPr>
                                <w:color w:val="A9A9A9"/>
                                <w:spacing w:val="1"/>
                                <w:sz w:val="8"/>
                              </w:rPr>
                              <w:t xml:space="preserve"> </w:t>
                            </w:r>
                            <w:r>
                              <w:rPr>
                                <w:color w:val="A9A9A9"/>
                                <w:spacing w:val="-2"/>
                                <w:sz w:val="8"/>
                              </w:rPr>
                              <w:t>polisę</w:t>
                            </w:r>
                          </w:p>
                        </w:txbxContent>
                      </wps:txbx>
                      <wps:bodyPr lIns="0" rIns="0" tIns="0" bIns="0" anchor="t" vert="vert27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stroked="t" o:allowincell="f" style="position:absolute;margin-left:28.35pt;margin-top:7.1pt;width:11.3pt;height:42.5pt;mso-wrap-style:square;v-text-anchor:top;mso-position-horizontal-relative:page">
                <v:fill o:detectmouseclick="t" on="false"/>
                <v:stroke color="#a9a9a9" weight="6480" dashstyle="shortdash" joinstyle="round" endcap="flat"/>
                <v:textbox style="mso-layout-flow-alt:bottom-to-top">
                  <w:txbxContent>
                    <w:p>
                      <w:pPr>
                        <w:pStyle w:val="Zawartoramkiuser"/>
                        <w:spacing w:before="58" w:after="0"/>
                        <w:ind w:left="142"/>
                        <w:rPr>
                          <w:sz w:val="8"/>
                        </w:rPr>
                      </w:pPr>
                      <w:r>
                        <w:rPr>
                          <w:color w:val="A9A9A9"/>
                          <w:sz w:val="8"/>
                        </w:rPr>
                        <w:t>Tu</w:t>
                      </w:r>
                      <w:r>
                        <w:rPr>
                          <w:color w:val="A9A9A9"/>
                          <w:spacing w:val="1"/>
                          <w:sz w:val="8"/>
                        </w:rPr>
                        <w:t xml:space="preserve"> </w:t>
                      </w:r>
                      <w:r>
                        <w:rPr>
                          <w:color w:val="A9A9A9"/>
                          <w:sz w:val="8"/>
                        </w:rPr>
                        <w:t>zepnij</w:t>
                      </w:r>
                      <w:r>
                        <w:rPr>
                          <w:color w:val="A9A9A9"/>
                          <w:spacing w:val="1"/>
                          <w:sz w:val="8"/>
                        </w:rPr>
                        <w:t xml:space="preserve"> </w:t>
                      </w:r>
                      <w:r>
                        <w:rPr>
                          <w:color w:val="A9A9A9"/>
                          <w:spacing w:val="-2"/>
                          <w:sz w:val="8"/>
                        </w:rPr>
                        <w:t>polisę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>
          <w:w w:val="105"/>
          <w:sz w:val="13"/>
        </w:rPr>
        <w:t>InterRisk TU S.A.</w:t>
      </w:r>
      <w:r>
        <w:rPr>
          <w:spacing w:val="40"/>
          <w:w w:val="105"/>
          <w:sz w:val="13"/>
        </w:rPr>
        <w:t xml:space="preserve"> </w:t>
      </w:r>
      <w:r>
        <w:rPr>
          <w:w w:val="105"/>
          <w:sz w:val="13"/>
        </w:rPr>
        <w:t>Vienna</w:t>
      </w:r>
      <w:r>
        <w:rPr>
          <w:spacing w:val="-7"/>
          <w:w w:val="105"/>
          <w:sz w:val="13"/>
        </w:rPr>
        <w:t xml:space="preserve"> </w:t>
      </w:r>
      <w:r>
        <w:rPr>
          <w:w w:val="105"/>
          <w:sz w:val="13"/>
        </w:rPr>
        <w:t>Insurance</w:t>
      </w:r>
      <w:r>
        <w:rPr>
          <w:spacing w:val="-7"/>
          <w:w w:val="105"/>
          <w:sz w:val="13"/>
        </w:rPr>
        <w:t xml:space="preserve"> </w:t>
      </w:r>
      <w:r>
        <w:rPr>
          <w:w w:val="105"/>
          <w:sz w:val="13"/>
        </w:rPr>
        <w:t>Group</w:t>
      </w:r>
      <w:r>
        <w:rPr>
          <w:spacing w:val="40"/>
          <w:w w:val="105"/>
          <w:sz w:val="13"/>
        </w:rPr>
        <w:t xml:space="preserve"> </w:t>
      </w:r>
      <w:r>
        <w:rPr>
          <w:w w:val="105"/>
          <w:sz w:val="13"/>
        </w:rPr>
        <w:t>Oddział w Olsztynie</w:t>
      </w:r>
    </w:p>
    <w:p>
      <w:pPr>
        <w:pStyle w:val="Normal"/>
        <w:spacing w:lineRule="auto" w:line="235" w:before="1" w:after="0"/>
        <w:ind w:left="450"/>
        <w:rPr>
          <w:sz w:val="13"/>
        </w:rPr>
      </w:pPr>
      <w:r>
        <w:rPr>
          <w:sz w:val="13"/>
        </w:rPr>
        <w:t>ul. Dąbrowszczaków 21 lok. 406, 10-540</w:t>
      </w:r>
      <w:r>
        <w:rPr>
          <w:spacing w:val="40"/>
          <w:sz w:val="13"/>
        </w:rPr>
        <w:t xml:space="preserve"> </w:t>
      </w:r>
      <w:r>
        <w:rPr>
          <w:spacing w:val="-2"/>
          <w:sz w:val="13"/>
        </w:rPr>
        <w:t>Olsztyn</w:t>
      </w:r>
    </w:p>
    <w:p>
      <w:pPr>
        <w:pStyle w:val="Normal"/>
        <w:spacing w:lineRule="exact" w:line="150"/>
        <w:ind w:left="450"/>
        <w:rPr>
          <w:sz w:val="13"/>
        </w:rPr>
      </w:pPr>
      <w:r>
        <w:rPr>
          <w:sz w:val="13"/>
        </w:rPr>
        <w:t>tel.</w:t>
      </w:r>
      <w:r>
        <w:rPr>
          <w:spacing w:val="5"/>
          <w:sz w:val="13"/>
        </w:rPr>
        <w:t xml:space="preserve"> </w:t>
      </w:r>
      <w:r>
        <w:rPr>
          <w:sz w:val="13"/>
        </w:rPr>
        <w:t>(89)</w:t>
      </w:r>
      <w:r>
        <w:rPr>
          <w:spacing w:val="5"/>
          <w:sz w:val="13"/>
        </w:rPr>
        <w:t xml:space="preserve"> </w:t>
      </w:r>
      <w:r>
        <w:rPr>
          <w:sz w:val="13"/>
        </w:rPr>
        <w:t>537</w:t>
      </w:r>
      <w:r>
        <w:rPr>
          <w:spacing w:val="6"/>
          <w:sz w:val="13"/>
        </w:rPr>
        <w:t xml:space="preserve"> </w:t>
      </w:r>
      <w:r>
        <w:rPr>
          <w:sz w:val="13"/>
        </w:rPr>
        <w:t>00</w:t>
      </w:r>
      <w:r>
        <w:rPr>
          <w:spacing w:val="5"/>
          <w:sz w:val="13"/>
        </w:rPr>
        <w:t xml:space="preserve"> </w:t>
      </w:r>
      <w:r>
        <w:rPr>
          <w:sz w:val="13"/>
        </w:rPr>
        <w:t>88,</w:t>
      </w:r>
      <w:r>
        <w:rPr>
          <w:spacing w:val="5"/>
          <w:sz w:val="13"/>
        </w:rPr>
        <w:t xml:space="preserve"> </w:t>
      </w:r>
      <w:r>
        <w:rPr>
          <w:spacing w:val="-4"/>
          <w:sz w:val="13"/>
        </w:rPr>
        <w:t>fax.</w:t>
      </w:r>
    </w:p>
    <w:p>
      <w:pPr>
        <w:pStyle w:val="Normal"/>
        <w:spacing w:before="0" w:after="0"/>
        <w:rPr>
          <w:sz w:val="24"/>
        </w:rPr>
      </w:pPr>
      <w:r>
        <w:br w:type="column"/>
      </w:r>
      <w:r>
        <w:rPr>
          <w:sz w:val="24"/>
        </w:rPr>
      </w:r>
    </w:p>
    <w:p>
      <w:pPr>
        <w:pStyle w:val="BodyText"/>
        <w:rPr>
          <w:sz w:val="24"/>
        </w:rPr>
      </w:pPr>
      <w:r>
        <w:rPr>
          <w:sz w:val="24"/>
        </w:rPr>
      </w:r>
    </w:p>
    <w:p>
      <w:pPr>
        <w:pStyle w:val="BodyText"/>
        <w:rPr>
          <w:sz w:val="24"/>
        </w:rPr>
      </w:pPr>
      <w:r>
        <w:rPr>
          <w:sz w:val="24"/>
        </w:rPr>
      </w:r>
    </w:p>
    <w:p>
      <w:pPr>
        <w:pStyle w:val="BodyText"/>
        <w:spacing w:before="29" w:after="0"/>
        <w:rPr>
          <w:sz w:val="24"/>
        </w:rPr>
      </w:pPr>
      <w:r>
        <w:rPr>
          <w:sz w:val="24"/>
        </w:rPr>
      </w:r>
    </w:p>
    <w:p>
      <w:pPr>
        <w:pStyle w:val="Heading1"/>
        <w:outlineLvl w:val="9"/>
        <w:rPr>
          <w:spacing w:val="-4"/>
        </w:rPr>
      </w:pPr>
      <w:r>
        <w:rPr>
          <w:spacing w:val="-4"/>
        </w:rPr>
        <w:t xml:space="preserve"> </w:t>
      </w:r>
    </w:p>
    <w:p>
      <w:pPr>
        <w:pStyle w:val="Normal"/>
        <w:spacing w:before="0" w:after="25"/>
        <w:rPr>
          <w:rFonts w:ascii="Arial" w:hAnsi="Arial"/>
          <w:b/>
          <w:i/>
          <w:sz w:val="5"/>
        </w:rPr>
      </w:pPr>
      <w:r>
        <w:br w:type="column"/>
      </w:r>
      <w:r>
        <w:rPr>
          <w:rFonts w:ascii="Arial" w:hAnsi="Arial"/>
          <w:b/>
          <w:i/>
          <w:sz w:val="5"/>
        </w:rPr>
      </w:r>
    </w:p>
    <w:p>
      <w:pPr>
        <w:pStyle w:val="BodyText"/>
        <w:ind w:left="450"/>
        <w:rPr>
          <w:rFonts w:ascii="Arial" w:hAnsi="Arial"/>
          <w:sz w:val="20"/>
        </w:rPr>
      </w:pPr>
      <w:r>
        <w:rPr/>
        <w:drawing>
          <wp:inline distT="0" distB="0" distL="0" distR="0">
            <wp:extent cx="1534795" cy="579120"/>
            <wp:effectExtent l="0" t="0" r="0" b="0"/>
            <wp:docPr id="2" name="Imag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 7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34795" cy="5791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BodyText"/>
        <w:spacing w:before="8" w:after="0"/>
        <w:rPr>
          <w:rFonts w:ascii="Arial" w:hAnsi="Arial"/>
          <w:b/>
          <w:i/>
          <w:sz w:val="13"/>
        </w:rPr>
      </w:pPr>
      <w:r>
        <w:rPr>
          <w:rFonts w:ascii="Arial" w:hAnsi="Arial"/>
          <w:b/>
          <w:i/>
          <w:sz w:val="13"/>
        </w:rPr>
      </w:r>
    </w:p>
    <w:p>
      <w:pPr>
        <w:sectPr>
          <w:footerReference w:type="default" r:id="rId3"/>
          <w:type w:val="nextPage"/>
          <w:pgSz w:w="11906" w:h="16838"/>
          <w:pgMar w:left="425" w:right="425" w:gutter="0" w:header="0" w:top="180" w:footer="859" w:bottom="1040"/>
          <w:pgNumType w:fmt="decimal"/>
          <w:cols w:num="3" w:equalWidth="false" w:sep="false">
            <w:col w:w="2821" w:space="704"/>
            <w:col w:w="3941" w:space="570"/>
            <w:col w:w="3018"/>
          </w:cols>
          <w:formProt w:val="false"/>
          <w:textDirection w:val="lrTb"/>
          <w:docGrid w:type="default" w:linePitch="312" w:charSpace="4294965247"/>
        </w:sectPr>
      </w:pPr>
    </w:p>
    <w:p>
      <w:pPr>
        <w:pStyle w:val="Normal"/>
        <w:tabs>
          <w:tab w:val="clear" w:pos="720"/>
          <w:tab w:val="left" w:pos="3671" w:leader="none"/>
        </w:tabs>
        <w:spacing w:lineRule="exact" w:line="272"/>
        <w:ind w:right="70"/>
        <w:jc w:val="center"/>
        <w:rPr>
          <w:rFonts w:ascii="Arial" w:hAnsi="Arial"/>
          <w:b/>
          <w:i/>
          <w:sz w:val="32"/>
          <w:szCs w:val="32"/>
        </w:rPr>
      </w:pPr>
      <w:r>
        <w:rPr>
          <w:rFonts w:ascii="Arial" w:hAnsi="Arial"/>
          <w:b/>
          <w:i/>
          <w:sz w:val="32"/>
          <w:szCs w:val="32"/>
        </w:rPr>
      </w:r>
    </w:p>
    <w:p>
      <w:pPr>
        <w:pStyle w:val="Normal"/>
        <w:tabs>
          <w:tab w:val="clear" w:pos="720"/>
          <w:tab w:val="left" w:pos="3671" w:leader="none"/>
        </w:tabs>
        <w:spacing w:lineRule="exact" w:line="272"/>
        <w:ind w:right="70"/>
        <w:jc w:val="center"/>
        <w:rPr>
          <w:rFonts w:ascii="Arial" w:hAnsi="Arial"/>
          <w:b/>
          <w:bCs/>
          <w:i/>
          <w:iCs/>
          <w:sz w:val="28"/>
          <w:szCs w:val="28"/>
        </w:rPr>
      </w:pPr>
      <w:r>
        <w:rPr>
          <w:rFonts w:ascii="Arial" w:hAnsi="Arial"/>
          <w:b/>
          <w:bCs/>
          <w:i/>
          <w:iCs/>
          <w:sz w:val="28"/>
          <w:szCs w:val="28"/>
        </w:rPr>
        <w:t>InterRisk Kontakt 22 575 25 25</w:t>
      </w:r>
    </w:p>
    <w:p>
      <w:pPr>
        <w:pStyle w:val="Normal"/>
        <w:tabs>
          <w:tab w:val="clear" w:pos="720"/>
          <w:tab w:val="left" w:pos="3671" w:leader="none"/>
        </w:tabs>
        <w:spacing w:lineRule="exact" w:line="272"/>
        <w:ind w:right="70"/>
        <w:jc w:val="center"/>
        <w:rPr>
          <w:rFonts w:ascii="Arial" w:hAnsi="Arial"/>
          <w:b/>
          <w:bCs/>
          <w:i/>
          <w:iCs/>
          <w:sz w:val="28"/>
          <w:szCs w:val="28"/>
        </w:rPr>
      </w:pPr>
      <w:r>
        <w:rPr>
          <w:rFonts w:ascii="Arial" w:hAnsi="Arial"/>
          <w:b/>
          <w:bCs/>
          <w:i/>
          <w:iCs/>
          <w:sz w:val="28"/>
          <w:szCs w:val="28"/>
        </w:rPr>
      </w:r>
    </w:p>
    <w:p>
      <w:pPr>
        <w:pStyle w:val="Normal"/>
        <w:tabs>
          <w:tab w:val="clear" w:pos="720"/>
          <w:tab w:val="left" w:pos="3671" w:leader="none"/>
        </w:tabs>
        <w:spacing w:lineRule="exact" w:line="272"/>
        <w:ind w:right="70"/>
        <w:jc w:val="center"/>
        <w:rPr>
          <w:sz w:val="28"/>
          <w:szCs w:val="28"/>
        </w:rPr>
      </w:pPr>
      <w:r>
        <w:rPr>
          <w:rFonts w:ascii="Arial" w:hAnsi="Arial"/>
          <w:b/>
          <w:bCs/>
          <w:i/>
          <w:iCs/>
          <w:sz w:val="28"/>
          <w:szCs w:val="28"/>
        </w:rPr>
        <w:t xml:space="preserve">Wniosek/Polisa </w:t>
      </w:r>
      <w:r>
        <w:rPr>
          <w:rFonts w:ascii="Arial" w:hAnsi="Arial"/>
          <w:b/>
          <w:i/>
          <w:sz w:val="28"/>
          <w:szCs w:val="28"/>
        </w:rPr>
        <w:t xml:space="preserve"> </w:t>
      </w:r>
      <w:r>
        <w:rPr>
          <w:rFonts w:ascii="Arial" w:hAnsi="Arial"/>
          <w:b/>
          <w:i/>
          <w:position w:val="3"/>
          <w:sz w:val="28"/>
          <w:szCs w:val="28"/>
        </w:rPr>
        <w:t>A-A {{numer_polisy}}</w:t>
      </w:r>
    </w:p>
    <w:p>
      <w:pPr>
        <w:pStyle w:val="Normal"/>
        <w:tabs>
          <w:tab w:val="clear" w:pos="720"/>
          <w:tab w:val="left" w:pos="3671" w:leader="none"/>
        </w:tabs>
        <w:spacing w:lineRule="exact" w:line="272"/>
        <w:ind w:right="70"/>
        <w:jc w:val="center"/>
        <w:rPr>
          <w:rFonts w:ascii="Arial" w:hAnsi="Arial"/>
          <w:b/>
          <w:i/>
          <w:sz w:val="28"/>
          <w:szCs w:val="28"/>
        </w:rPr>
      </w:pPr>
      <w:r>
        <w:rPr>
          <w:rFonts w:ascii="Arial" w:hAnsi="Arial"/>
          <w:b/>
          <w:i/>
          <w:sz w:val="28"/>
          <w:szCs w:val="28"/>
        </w:rPr>
      </w:r>
    </w:p>
    <w:p>
      <w:pPr>
        <w:pStyle w:val="Normal"/>
        <w:spacing w:lineRule="auto" w:line="235"/>
        <w:ind w:hanging="2766" w:left="3109"/>
        <w:rPr>
          <w:sz w:val="12"/>
        </w:rPr>
      </w:pPr>
      <w:r>
        <w:rPr>
          <w:sz w:val="12"/>
        </w:rPr>
        <w:t>potwierdzająca</w:t>
      </w:r>
      <w:r>
        <w:rPr>
          <w:spacing w:val="18"/>
          <w:sz w:val="12"/>
        </w:rPr>
        <w:t xml:space="preserve"> </w:t>
      </w:r>
      <w:r>
        <w:rPr>
          <w:sz w:val="12"/>
        </w:rPr>
        <w:t>zawarcie</w:t>
      </w:r>
      <w:r>
        <w:rPr>
          <w:spacing w:val="18"/>
          <w:sz w:val="12"/>
        </w:rPr>
        <w:t xml:space="preserve"> </w:t>
      </w:r>
      <w:r>
        <w:rPr>
          <w:sz w:val="12"/>
        </w:rPr>
        <w:t>umowy</w:t>
      </w:r>
      <w:r>
        <w:rPr>
          <w:spacing w:val="18"/>
          <w:sz w:val="12"/>
        </w:rPr>
        <w:t xml:space="preserve"> </w:t>
      </w:r>
      <w:r>
        <w:rPr>
          <w:sz w:val="12"/>
        </w:rPr>
        <w:t>ubezpieczenia</w:t>
      </w:r>
      <w:r>
        <w:rPr>
          <w:spacing w:val="18"/>
          <w:sz w:val="12"/>
        </w:rPr>
        <w:t xml:space="preserve"> </w:t>
      </w:r>
      <w:r>
        <w:rPr>
          <w:sz w:val="12"/>
        </w:rPr>
        <w:t>grupowego</w:t>
      </w:r>
      <w:r>
        <w:rPr>
          <w:spacing w:val="18"/>
          <w:sz w:val="12"/>
        </w:rPr>
        <w:t xml:space="preserve"> </w:t>
      </w:r>
      <w:r>
        <w:rPr>
          <w:sz w:val="12"/>
        </w:rPr>
        <w:t>EDU</w:t>
      </w:r>
      <w:r>
        <w:rPr>
          <w:spacing w:val="18"/>
          <w:sz w:val="12"/>
        </w:rPr>
        <w:t xml:space="preserve"> </w:t>
      </w:r>
      <w:r>
        <w:rPr>
          <w:sz w:val="12"/>
        </w:rPr>
        <w:t>PLUS</w:t>
      </w:r>
      <w:r>
        <w:rPr>
          <w:spacing w:val="18"/>
          <w:sz w:val="12"/>
        </w:rPr>
        <w:t xml:space="preserve"> </w:t>
      </w:r>
      <w:r>
        <w:rPr>
          <w:sz w:val="12"/>
        </w:rPr>
        <w:t>na</w:t>
      </w:r>
      <w:r>
        <w:rPr>
          <w:spacing w:val="18"/>
          <w:sz w:val="12"/>
        </w:rPr>
        <w:t xml:space="preserve"> </w:t>
      </w:r>
      <w:r>
        <w:rPr>
          <w:sz w:val="12"/>
        </w:rPr>
        <w:t>podstawie</w:t>
      </w:r>
      <w:r>
        <w:rPr>
          <w:spacing w:val="18"/>
          <w:sz w:val="12"/>
        </w:rPr>
        <w:t xml:space="preserve"> </w:t>
      </w:r>
      <w:r>
        <w:rPr>
          <w:sz w:val="12"/>
        </w:rPr>
        <w:t>Ogólnych</w:t>
      </w:r>
      <w:r>
        <w:rPr>
          <w:spacing w:val="18"/>
          <w:sz w:val="12"/>
        </w:rPr>
        <w:t xml:space="preserve"> </w:t>
      </w:r>
      <w:r>
        <w:rPr>
          <w:sz w:val="12"/>
        </w:rPr>
        <w:t>Warunków</w:t>
      </w:r>
      <w:r>
        <w:rPr>
          <w:spacing w:val="18"/>
          <w:sz w:val="12"/>
        </w:rPr>
        <w:t xml:space="preserve"> </w:t>
      </w:r>
      <w:r>
        <w:rPr>
          <w:sz w:val="12"/>
        </w:rPr>
        <w:t>Ubezpieczenia</w:t>
      </w:r>
      <w:r>
        <w:rPr>
          <w:spacing w:val="18"/>
          <w:sz w:val="12"/>
        </w:rPr>
        <w:t xml:space="preserve"> </w:t>
      </w:r>
      <w:r>
        <w:rPr>
          <w:sz w:val="12"/>
        </w:rPr>
        <w:t>EDU</w:t>
      </w:r>
      <w:r>
        <w:rPr>
          <w:spacing w:val="18"/>
          <w:sz w:val="12"/>
        </w:rPr>
        <w:t xml:space="preserve"> </w:t>
      </w:r>
      <w:r>
        <w:rPr>
          <w:sz w:val="12"/>
        </w:rPr>
        <w:t>PLUS</w:t>
      </w:r>
      <w:r>
        <w:rPr>
          <w:spacing w:val="18"/>
          <w:sz w:val="12"/>
        </w:rPr>
        <w:t xml:space="preserve"> </w:t>
      </w:r>
      <w:r>
        <w:rPr>
          <w:sz w:val="12"/>
        </w:rPr>
        <w:t>zatwierdzonych</w:t>
      </w:r>
      <w:r>
        <w:rPr>
          <w:spacing w:val="18"/>
          <w:sz w:val="12"/>
        </w:rPr>
        <w:t xml:space="preserve"> </w:t>
      </w:r>
      <w:r>
        <w:rPr>
          <w:sz w:val="12"/>
        </w:rPr>
        <w:t>uchwałą</w:t>
      </w:r>
      <w:r>
        <w:rPr>
          <w:spacing w:val="18"/>
          <w:sz w:val="12"/>
        </w:rPr>
        <w:t xml:space="preserve"> </w:t>
      </w:r>
      <w:r>
        <w:rPr>
          <w:sz w:val="12"/>
        </w:rPr>
        <w:t>nr</w:t>
      </w:r>
      <w:r>
        <w:rPr>
          <w:spacing w:val="18"/>
          <w:sz w:val="12"/>
        </w:rPr>
        <w:t xml:space="preserve"> </w:t>
      </w:r>
      <w:r>
        <w:rPr>
          <w:sz w:val="12"/>
        </w:rPr>
        <w:t>01/24/03/2026</w:t>
      </w:r>
      <w:r>
        <w:rPr>
          <w:spacing w:val="18"/>
          <w:sz w:val="12"/>
        </w:rPr>
        <w:t xml:space="preserve"> </w:t>
        <w:br/>
      </w:r>
      <w:r>
        <w:rPr>
          <w:sz w:val="12"/>
        </w:rPr>
        <w:t>Zarządu</w:t>
      </w:r>
      <w:r>
        <w:rPr>
          <w:spacing w:val="18"/>
          <w:sz w:val="12"/>
        </w:rPr>
        <w:t xml:space="preserve"> </w:t>
      </w:r>
      <w:r>
        <w:rPr>
          <w:sz w:val="12"/>
        </w:rPr>
        <w:t>InterRisk</w:t>
      </w:r>
      <w:r>
        <w:rPr>
          <w:spacing w:val="40"/>
          <w:sz w:val="12"/>
        </w:rPr>
        <w:t xml:space="preserve"> </w:t>
      </w:r>
      <w:r>
        <w:rPr>
          <w:sz w:val="12"/>
        </w:rPr>
        <w:t>Towarzystwo</w:t>
      </w:r>
      <w:r>
        <w:rPr>
          <w:spacing w:val="23"/>
          <w:sz w:val="12"/>
        </w:rPr>
        <w:t xml:space="preserve"> </w:t>
      </w:r>
      <w:r>
        <w:rPr>
          <w:sz w:val="12"/>
        </w:rPr>
        <w:t>Ubezpieczeń</w:t>
      </w:r>
      <w:r>
        <w:rPr>
          <w:spacing w:val="23"/>
          <w:sz w:val="12"/>
        </w:rPr>
        <w:t xml:space="preserve"> </w:t>
      </w:r>
      <w:r>
        <w:rPr>
          <w:sz w:val="12"/>
        </w:rPr>
        <w:t>Spółka</w:t>
      </w:r>
      <w:r>
        <w:rPr>
          <w:spacing w:val="23"/>
          <w:sz w:val="12"/>
        </w:rPr>
        <w:t xml:space="preserve"> </w:t>
      </w:r>
      <w:r>
        <w:rPr>
          <w:sz w:val="12"/>
        </w:rPr>
        <w:t>Akcyjna</w:t>
      </w:r>
      <w:r>
        <w:rPr>
          <w:spacing w:val="23"/>
          <w:sz w:val="12"/>
        </w:rPr>
        <w:t xml:space="preserve"> </w:t>
      </w:r>
      <w:r>
        <w:rPr>
          <w:sz w:val="12"/>
        </w:rPr>
        <w:t>Vienna</w:t>
      </w:r>
      <w:r>
        <w:rPr>
          <w:spacing w:val="23"/>
          <w:sz w:val="12"/>
        </w:rPr>
        <w:t xml:space="preserve"> </w:t>
      </w:r>
      <w:r>
        <w:rPr>
          <w:sz w:val="12"/>
        </w:rPr>
        <w:t>Insurance</w:t>
      </w:r>
      <w:r>
        <w:rPr>
          <w:spacing w:val="23"/>
          <w:sz w:val="12"/>
        </w:rPr>
        <w:t xml:space="preserve"> </w:t>
      </w:r>
      <w:r>
        <w:rPr>
          <w:sz w:val="12"/>
        </w:rPr>
        <w:t>Group</w:t>
      </w:r>
      <w:r>
        <w:rPr>
          <w:spacing w:val="23"/>
          <w:sz w:val="12"/>
        </w:rPr>
        <w:t xml:space="preserve"> </w:t>
      </w:r>
      <w:r>
        <w:rPr>
          <w:sz w:val="12"/>
        </w:rPr>
        <w:t>z</w:t>
      </w:r>
      <w:r>
        <w:rPr>
          <w:spacing w:val="23"/>
          <w:sz w:val="12"/>
        </w:rPr>
        <w:t xml:space="preserve"> </w:t>
      </w:r>
      <w:r>
        <w:rPr>
          <w:sz w:val="12"/>
        </w:rPr>
        <w:t>dnia</w:t>
      </w:r>
      <w:r>
        <w:rPr>
          <w:spacing w:val="23"/>
          <w:sz w:val="12"/>
        </w:rPr>
        <w:t xml:space="preserve"> </w:t>
      </w:r>
      <w:r>
        <w:rPr>
          <w:sz w:val="12"/>
        </w:rPr>
        <w:t>24</w:t>
      </w:r>
      <w:r>
        <w:rPr>
          <w:spacing w:val="23"/>
          <w:sz w:val="12"/>
        </w:rPr>
        <w:t xml:space="preserve"> </w:t>
      </w:r>
      <w:r>
        <w:rPr>
          <w:sz w:val="12"/>
        </w:rPr>
        <w:t>marca</w:t>
      </w:r>
      <w:r>
        <w:rPr>
          <w:spacing w:val="23"/>
          <w:sz w:val="12"/>
        </w:rPr>
        <w:t xml:space="preserve"> </w:t>
      </w:r>
      <w:r>
        <w:rPr>
          <w:sz w:val="12"/>
        </w:rPr>
        <w:t>2026.</w:t>
      </w:r>
    </w:p>
    <w:p>
      <w:pPr>
        <w:pStyle w:val="BodyText"/>
        <w:spacing w:before="66" w:after="0"/>
        <w:rPr>
          <w:sz w:val="16"/>
        </w:rPr>
      </w:pPr>
      <w:r>
        <w:rPr>
          <w:sz w:val="16"/>
        </w:rPr>
      </w:r>
    </w:p>
    <w:p>
      <w:pPr>
        <w:pStyle w:val="Heading2"/>
        <w:outlineLvl w:val="9"/>
        <w:rPr>
          <w:spacing w:val="-2"/>
        </w:rPr>
      </w:pPr>
      <w:r>
        <w:rPr>
          <w:spacing w:val="-2"/>
        </w:rPr>
      </w:r>
    </w:p>
    <w:p>
      <w:pPr>
        <w:pStyle w:val="Heading2"/>
        <w:rPr>
          <w:spacing w:val="-2"/>
        </w:rPr>
      </w:pPr>
      <w:r>
        <w:rPr>
          <w:spacing w:val="-2"/>
        </w:rPr>
        <w:t>UBEZPIECZAJĄCY</w:t>
      </w:r>
    </w:p>
    <w:p>
      <w:pPr>
        <w:pStyle w:val="BodyText"/>
        <w:spacing w:before="9" w:after="0"/>
        <w:rPr>
          <w:rFonts w:ascii="Arial" w:hAnsi="Arial"/>
          <w:b/>
          <w:i/>
          <w:sz w:val="4"/>
        </w:rPr>
      </w:pPr>
      <w:r>
        <w:rPr>
          <w:rFonts w:ascii="Arial" w:hAnsi="Arial"/>
          <w:b/>
          <w:i/>
          <w:sz w:val="4"/>
        </w:rPr>
        <mc:AlternateContent>
          <mc:Choice Requires="wps">
            <w:drawing>
              <wp:anchor distT="0" distB="0" distL="0" distR="0" simplePos="0" relativeHeight="104" behindDoc="0" locked="0" layoutInCell="0" allowOverlap="1">
                <wp:simplePos x="0" y="0"/>
                <wp:positionH relativeFrom="page">
                  <wp:posOffset>360045</wp:posOffset>
                </wp:positionH>
                <wp:positionV relativeFrom="paragraph">
                  <wp:posOffset>50165</wp:posOffset>
                </wp:positionV>
                <wp:extent cx="6840220" cy="6350"/>
                <wp:effectExtent l="0" t="635" r="0" b="635"/>
                <wp:wrapTopAndBottom/>
                <wp:docPr id="11" name="Graphic 1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840360" cy="6480"/>
                        </a:xfrm>
                        <a:custGeom>
                          <a:avLst/>
                          <a:gdLst>
                            <a:gd name="textAreaLeft" fmla="*/ 0 w 3877920"/>
                            <a:gd name="textAreaRight" fmla="*/ 3880800 w 3877920"/>
                            <a:gd name="textAreaTop" fmla="*/ 0 h 3600"/>
                            <a:gd name="textAreaBottom" fmla="*/ 6480 h 3600"/>
                          </a:gdLst>
                          <a:ahLst/>
                          <a:cxnLst/>
                          <a:rect l="textAreaLeft" t="textAreaTop" r="textAreaRight" b="textAreaBottom"/>
                          <a:pathLst>
                            <a:path w="6840220" h="6350">
                              <a:moveTo>
                                <a:pt x="6839927" y="6350"/>
                              </a:moveTo>
                              <a:lnTo>
                                <a:pt x="0" y="6350"/>
                              </a:lnTo>
                              <a:lnTo>
                                <a:pt x="0" y="0"/>
                              </a:lnTo>
                              <a:lnTo>
                                <a:pt x="6839927" y="0"/>
                              </a:lnTo>
                              <a:lnTo>
                                <a:pt x="6839927" y="635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/>
          </mc:Fallback>
        </mc:AlternateContent>
      </w:r>
    </w:p>
    <w:p>
      <w:pPr>
        <w:pStyle w:val="Normal"/>
        <w:tabs>
          <w:tab w:val="clear" w:pos="720"/>
          <w:tab w:val="left" w:pos="2266" w:leader="none"/>
        </w:tabs>
        <w:spacing w:before="119" w:after="0"/>
        <w:ind w:left="282"/>
        <w:rPr>
          <w:rFonts w:ascii="Arial" w:hAnsi="Arial"/>
          <w:b/>
          <w:i/>
          <w:sz w:val="14"/>
        </w:rPr>
      </w:pPr>
      <w:r>
        <w:rPr>
          <w:sz w:val="14"/>
        </w:rPr>
        <w:t>Nazwa</w:t>
      </w:r>
      <w:r>
        <w:rPr>
          <w:spacing w:val="-2"/>
          <w:sz w:val="14"/>
        </w:rPr>
        <w:t>: {{ubezpieczajacy_nazwa}}</w:t>
      </w:r>
      <w:r>
        <w:rPr>
          <w:sz w:val="14"/>
        </w:rPr>
        <w:tab/>
      </w:r>
    </w:p>
    <w:p>
      <w:pPr>
        <w:pStyle w:val="Heading4"/>
        <w:tabs>
          <w:tab w:val="clear" w:pos="720"/>
          <w:tab w:val="left" w:pos="2266" w:leader="none"/>
        </w:tabs>
        <w:spacing w:before="120" w:after="0"/>
        <w:rPr/>
      </w:pPr>
      <w:r>
        <w:rPr>
          <w:rFonts w:ascii="Cambria" w:hAnsi="Cambria"/>
          <w:b w:val="false"/>
          <w:i w:val="false"/>
          <w:spacing w:val="-2"/>
        </w:rPr>
        <w:t>Adres: {{ubezpieczajacy_adres}}</w:t>
      </w:r>
      <w:r>
        <w:rPr>
          <w:rFonts w:ascii="Cambria" w:hAnsi="Cambria"/>
          <w:b w:val="false"/>
          <w:i w:val="false"/>
        </w:rPr>
        <w:tab/>
      </w:r>
    </w:p>
    <w:p>
      <w:pPr>
        <w:sectPr>
          <w:type w:val="continuous"/>
          <w:pgSz w:w="11906" w:h="16838"/>
          <w:pgMar w:left="425" w:right="425" w:gutter="0" w:header="0" w:top="180" w:footer="859" w:bottom="1040"/>
          <w:formProt w:val="false"/>
          <w:textDirection w:val="lrTb"/>
          <w:docGrid w:type="default" w:linePitch="312" w:charSpace="4294965247"/>
        </w:sectPr>
      </w:pPr>
    </w:p>
    <w:p>
      <w:pPr>
        <w:pStyle w:val="Normal"/>
        <w:tabs>
          <w:tab w:val="clear" w:pos="720"/>
          <w:tab w:val="left" w:pos="2266" w:leader="none"/>
        </w:tabs>
        <w:spacing w:before="120" w:after="0"/>
        <w:ind w:left="282"/>
        <w:rPr>
          <w:spacing w:val="-2"/>
          <w:w w:val="110"/>
          <w:sz w:val="14"/>
        </w:rPr>
      </w:pPr>
      <w:r>
        <w:rPr>
          <w:spacing w:val="-2"/>
          <w:w w:val="110"/>
          <w:sz w:val="14"/>
        </w:rPr>
        <w:t>REGON/ PESEL: {{ubezpieczajacy_regon_pesel}}</w:t>
      </w:r>
    </w:p>
    <w:p>
      <w:pPr>
        <w:pStyle w:val="Normal"/>
        <w:tabs>
          <w:tab w:val="clear" w:pos="720"/>
          <w:tab w:val="left" w:pos="2266" w:leader="none"/>
        </w:tabs>
        <w:spacing w:before="120" w:after="0"/>
        <w:ind w:left="282"/>
        <w:rPr>
          <w:spacing w:val="-2"/>
          <w:w w:val="110"/>
          <w:sz w:val="14"/>
        </w:rPr>
      </w:pPr>
      <w:r>
        <w:rPr>
          <w:spacing w:val="-2"/>
          <w:w w:val="110"/>
          <w:sz w:val="14"/>
        </w:rPr>
        <w:t>Telefon : {{ubezpieczajacy_telefon}}</w:t>
      </w:r>
    </w:p>
    <w:p>
      <w:pPr>
        <w:pStyle w:val="Normal"/>
        <w:tabs>
          <w:tab w:val="clear" w:pos="720"/>
          <w:tab w:val="left" w:pos="2266" w:leader="none"/>
        </w:tabs>
        <w:spacing w:before="120" w:after="0"/>
        <w:ind w:left="282"/>
        <w:rPr>
          <w:spacing w:val="-2"/>
          <w:w w:val="110"/>
          <w:sz w:val="14"/>
        </w:rPr>
      </w:pPr>
      <w:r>
        <w:rPr>
          <w:spacing w:val="-2"/>
          <w:w w:val="110"/>
          <w:sz w:val="14"/>
        </w:rPr>
        <w:t>E-mail: {{ubezpieczajacy_email}}</w:t>
      </w:r>
    </w:p>
    <w:p>
      <w:pPr>
        <w:pStyle w:val="Normal"/>
        <w:tabs>
          <w:tab w:val="clear" w:pos="720"/>
          <w:tab w:val="left" w:pos="2266" w:leader="none"/>
        </w:tabs>
        <w:spacing w:before="120" w:after="0"/>
        <w:ind w:left="282"/>
        <w:rPr>
          <w:rFonts w:ascii="Arial" w:hAnsi="Arial"/>
          <w:b/>
          <w:i/>
          <w:sz w:val="14"/>
        </w:rPr>
      </w:pPr>
      <w:r>
        <w:rPr>
          <w:rFonts w:ascii="Times New Roman" w:hAnsi="Times New Roman"/>
          <w:sz w:val="14"/>
        </w:rPr>
        <w:tab/>
      </w:r>
    </w:p>
    <w:p>
      <w:pPr>
        <w:sectPr>
          <w:type w:val="continuous"/>
          <w:pgSz w:w="11906" w:h="16838"/>
          <w:pgMar w:left="425" w:right="425" w:gutter="0" w:header="0" w:top="180" w:footer="859" w:bottom="1040"/>
          <w:cols w:num="2" w:equalWidth="false" w:sep="false">
            <w:col w:w="4406" w:space="976"/>
            <w:col w:w="5673"/>
          </w:cols>
          <w:formProt w:val="false"/>
          <w:textDirection w:val="lrTb"/>
          <w:docGrid w:type="default" w:linePitch="312" w:charSpace="4294965247"/>
        </w:sectPr>
      </w:pPr>
    </w:p>
    <w:p>
      <w:pPr>
        <w:pStyle w:val="BodyText"/>
        <w:spacing w:before="66" w:after="0"/>
        <w:rPr>
          <w:sz w:val="16"/>
        </w:rPr>
      </w:pPr>
      <w:r>
        <w:rPr>
          <w:sz w:val="16"/>
        </w:rPr>
      </w:r>
    </w:p>
    <w:p>
      <w:pPr>
        <w:pStyle w:val="Heading2"/>
        <w:spacing w:before="1" w:after="0"/>
        <w:rPr/>
      </w:pPr>
      <w:r>
        <w:rPr/>
        <w:t>UBEZPIECZAJĄCY</w:t>
      </w:r>
      <w:r>
        <w:rPr>
          <w:spacing w:val="-6"/>
        </w:rPr>
        <w:t xml:space="preserve"> </w:t>
      </w:r>
      <w:r>
        <w:rPr/>
        <w:t>-</w:t>
      </w:r>
      <w:r>
        <w:rPr>
          <w:spacing w:val="-5"/>
        </w:rPr>
        <w:t xml:space="preserve"> </w:t>
      </w:r>
      <w:r>
        <w:rPr/>
        <w:t>OSOBA</w:t>
      </w:r>
      <w:r>
        <w:rPr>
          <w:spacing w:val="-6"/>
        </w:rPr>
        <w:t xml:space="preserve"> </w:t>
      </w:r>
      <w:r>
        <w:rPr/>
        <w:t>DO</w:t>
      </w:r>
      <w:r>
        <w:rPr>
          <w:spacing w:val="-5"/>
        </w:rPr>
        <w:t xml:space="preserve"> </w:t>
      </w:r>
      <w:r>
        <w:rPr>
          <w:spacing w:val="-2"/>
        </w:rPr>
        <w:t>KONTAKTU</w:t>
      </w:r>
    </w:p>
    <w:p>
      <w:pPr>
        <w:pStyle w:val="BodyText"/>
        <w:spacing w:before="8" w:after="0"/>
        <w:rPr>
          <w:rFonts w:ascii="Arial" w:hAnsi="Arial"/>
          <w:b/>
          <w:i/>
          <w:sz w:val="4"/>
        </w:rPr>
      </w:pPr>
      <w:r>
        <w:rPr>
          <w:rFonts w:ascii="Arial" w:hAnsi="Arial"/>
          <w:b/>
          <w:i/>
          <w:sz w:val="4"/>
        </w:rPr>
        <mc:AlternateContent>
          <mc:Choice Requires="wps">
            <w:drawing>
              <wp:anchor distT="0" distB="0" distL="0" distR="0" simplePos="0" relativeHeight="115" behindDoc="0" locked="0" layoutInCell="0" allowOverlap="1">
                <wp:simplePos x="0" y="0"/>
                <wp:positionH relativeFrom="page">
                  <wp:posOffset>360045</wp:posOffset>
                </wp:positionH>
                <wp:positionV relativeFrom="paragraph">
                  <wp:posOffset>49530</wp:posOffset>
                </wp:positionV>
                <wp:extent cx="6840220" cy="6350"/>
                <wp:effectExtent l="0" t="0" r="0" b="0"/>
                <wp:wrapTopAndBottom/>
                <wp:docPr id="12" name="Graphic 13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840360" cy="6480"/>
                        </a:xfrm>
                        <a:custGeom>
                          <a:avLst/>
                          <a:gdLst>
                            <a:gd name="textAreaLeft" fmla="*/ 0 w 3877920"/>
                            <a:gd name="textAreaRight" fmla="*/ 3880800 w 3877920"/>
                            <a:gd name="textAreaTop" fmla="*/ 0 h 3600"/>
                            <a:gd name="textAreaBottom" fmla="*/ 6480 h 3600"/>
                          </a:gdLst>
                          <a:ahLst/>
                          <a:cxnLst/>
                          <a:rect l="textAreaLeft" t="textAreaTop" r="textAreaRight" b="textAreaBottom"/>
                          <a:pathLst>
                            <a:path w="6840220" h="6350">
                              <a:moveTo>
                                <a:pt x="6839927" y="6349"/>
                              </a:moveTo>
                              <a:lnTo>
                                <a:pt x="0" y="6349"/>
                              </a:lnTo>
                              <a:lnTo>
                                <a:pt x="0" y="0"/>
                              </a:lnTo>
                              <a:lnTo>
                                <a:pt x="6839927" y="0"/>
                              </a:lnTo>
                              <a:lnTo>
                                <a:pt x="6839927" y="6349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/>
          </mc:Fallback>
        </mc:AlternateContent>
      </w:r>
    </w:p>
    <w:p>
      <w:pPr>
        <w:pStyle w:val="BodyText"/>
        <w:spacing w:before="1" w:after="0"/>
        <w:rPr>
          <w:rFonts w:ascii="Arial" w:hAnsi="Arial"/>
          <w:b/>
          <w:i/>
          <w:sz w:val="6"/>
        </w:rPr>
      </w:pPr>
      <w:r>
        <w:rPr>
          <w:rFonts w:ascii="Arial" w:hAnsi="Arial"/>
          <w:b/>
          <w:i/>
          <w:sz w:val="6"/>
        </w:rPr>
      </w:r>
    </w:p>
    <w:p>
      <w:pPr>
        <w:sectPr>
          <w:type w:val="continuous"/>
          <w:pgSz w:w="11906" w:h="16838"/>
          <w:pgMar w:left="425" w:right="425" w:gutter="0" w:header="0" w:top="180" w:footer="859" w:bottom="1040"/>
          <w:formProt w:val="false"/>
          <w:textDirection w:val="lrTb"/>
          <w:docGrid w:type="default" w:linePitch="312" w:charSpace="4294965247"/>
        </w:sectPr>
      </w:pPr>
    </w:p>
    <w:p>
      <w:pPr>
        <w:pStyle w:val="Normal"/>
        <w:tabs>
          <w:tab w:val="clear" w:pos="720"/>
          <w:tab w:val="left" w:pos="2266" w:leader="none"/>
        </w:tabs>
        <w:spacing w:before="89" w:after="0"/>
        <w:ind w:left="282"/>
        <w:rPr>
          <w:rFonts w:ascii="Arial" w:hAnsi="Arial"/>
          <w:b/>
          <w:i/>
          <w:sz w:val="14"/>
        </w:rPr>
      </w:pPr>
      <w:r>
        <w:rPr>
          <w:sz w:val="14"/>
        </w:rPr>
        <w:t>Imię</w:t>
      </w:r>
      <w:r>
        <w:rPr>
          <w:spacing w:val="-2"/>
          <w:sz w:val="14"/>
        </w:rPr>
        <w:t xml:space="preserve"> </w:t>
      </w:r>
      <w:r>
        <w:rPr>
          <w:sz w:val="14"/>
        </w:rPr>
        <w:t>i</w:t>
      </w:r>
      <w:r>
        <w:rPr>
          <w:spacing w:val="-1"/>
          <w:sz w:val="14"/>
        </w:rPr>
        <w:t xml:space="preserve"> </w:t>
      </w:r>
      <w:r>
        <w:rPr>
          <w:spacing w:val="-2"/>
          <w:sz w:val="14"/>
        </w:rPr>
        <w:t>nazwisko: {{kontakt_nazwa}}</w:t>
      </w:r>
      <w:r>
        <w:rPr>
          <w:sz w:val="14"/>
        </w:rPr>
        <w:tab/>
      </w:r>
    </w:p>
    <w:p>
      <w:pPr>
        <w:pStyle w:val="Normal"/>
        <w:tabs>
          <w:tab w:val="clear" w:pos="720"/>
          <w:tab w:val="left" w:pos="2266" w:leader="none"/>
        </w:tabs>
        <w:spacing w:before="119" w:after="0"/>
        <w:ind w:left="282"/>
        <w:rPr>
          <w:rFonts w:ascii="Arial" w:hAnsi="Arial"/>
          <w:b/>
          <w:i/>
          <w:sz w:val="14"/>
        </w:rPr>
      </w:pPr>
      <w:r>
        <w:rPr>
          <w:sz w:val="14"/>
        </w:rPr>
        <w:t>E-</w:t>
      </w:r>
      <w:r>
        <w:rPr>
          <w:spacing w:val="-2"/>
          <w:sz w:val="14"/>
        </w:rPr>
        <w:t>mail: {{kontakt_email}}</w:t>
      </w:r>
      <w:r>
        <w:rPr>
          <w:sz w:val="14"/>
        </w:rPr>
        <w:tab/>
      </w:r>
    </w:p>
    <w:p>
      <w:pPr>
        <w:pStyle w:val="Normal"/>
        <w:tabs>
          <w:tab w:val="clear" w:pos="720"/>
          <w:tab w:val="left" w:pos="2266" w:leader="none"/>
        </w:tabs>
        <w:spacing w:before="118" w:after="0"/>
        <w:ind w:left="282"/>
        <w:rPr>
          <w:rFonts w:ascii="Arial" w:hAnsi="Arial"/>
          <w:b/>
          <w:i/>
          <w:sz w:val="14"/>
        </w:rPr>
      </w:pPr>
      <w:r>
        <w:rPr>
          <w:sz w:val="14"/>
        </w:rPr>
        <w:t>Telefon</w:t>
      </w:r>
      <w:r>
        <w:rPr>
          <w:spacing w:val="-2"/>
          <w:sz w:val="14"/>
        </w:rPr>
        <w:t>: {{kontakt_telefon}}</w:t>
      </w:r>
    </w:p>
    <w:p>
      <w:pPr>
        <w:pStyle w:val="Normal"/>
        <w:spacing w:before="0" w:after="0"/>
        <w:rPr>
          <w:rFonts w:ascii="Arial" w:hAnsi="Arial"/>
          <w:b/>
          <w:i/>
          <w:sz w:val="14"/>
        </w:rPr>
      </w:pPr>
      <w:r>
        <w:br w:type="column"/>
      </w:r>
      <w:r>
        <w:rPr>
          <w:rFonts w:ascii="Arial" w:hAnsi="Arial"/>
          <w:b/>
          <w:i/>
          <w:sz w:val="14"/>
        </w:rPr>
      </w:r>
    </w:p>
    <w:p>
      <w:pPr>
        <w:pStyle w:val="BodyText"/>
        <w:rPr>
          <w:rFonts w:ascii="Arial" w:hAnsi="Arial"/>
          <w:b/>
          <w:i/>
        </w:rPr>
      </w:pPr>
      <w:r>
        <w:rPr>
          <w:rFonts w:ascii="Arial" w:hAnsi="Arial"/>
          <w:b/>
          <w:i/>
        </w:rPr>
      </w:r>
    </w:p>
    <w:p>
      <w:pPr>
        <w:pStyle w:val="BodyText"/>
        <w:rPr>
          <w:rFonts w:ascii="Arial" w:hAnsi="Arial"/>
          <w:b/>
          <w:i/>
        </w:rPr>
      </w:pPr>
      <w:r>
        <w:rPr>
          <w:rFonts w:ascii="Arial" w:hAnsi="Arial"/>
          <w:b/>
          <w:i/>
        </w:rPr>
      </w:r>
    </w:p>
    <w:p>
      <w:pPr>
        <w:pStyle w:val="BodyText"/>
        <w:spacing w:before="10" w:after="0"/>
        <w:rPr>
          <w:rFonts w:ascii="Arial" w:hAnsi="Arial"/>
          <w:b/>
          <w:i/>
        </w:rPr>
      </w:pPr>
      <w:r>
        <w:rPr>
          <w:rFonts w:ascii="Arial" w:hAnsi="Arial"/>
          <w:b/>
          <w:i/>
        </w:rPr>
      </w:r>
    </w:p>
    <w:p>
      <w:pPr>
        <w:sectPr>
          <w:type w:val="continuous"/>
          <w:pgSz w:w="11906" w:h="16838"/>
          <w:pgMar w:left="425" w:right="425" w:gutter="0" w:header="0" w:top="180" w:footer="859" w:bottom="1040"/>
          <w:cols w:num="2" w:equalWidth="false" w:sep="false">
            <w:col w:w="4406" w:space="976"/>
            <w:col w:w="5673"/>
          </w:cols>
          <w:formProt w:val="false"/>
          <w:textDirection w:val="lrTb"/>
          <w:docGrid w:type="default" w:linePitch="312" w:charSpace="4294965247"/>
        </w:sectPr>
      </w:pPr>
    </w:p>
    <w:p>
      <w:pPr>
        <w:pStyle w:val="Normal"/>
        <w:ind w:left="285"/>
        <w:rPr>
          <w:rFonts w:ascii="Arial" w:hAnsi="Arial"/>
          <w:b/>
          <w:i/>
          <w:sz w:val="16"/>
        </w:rPr>
      </w:pPr>
      <w:r>
        <w:rPr>
          <w:rFonts w:ascii="Arial" w:hAnsi="Arial"/>
          <w:b/>
          <w:i/>
          <w:sz w:val="16"/>
        </w:rPr>
      </w:r>
    </w:p>
    <w:p>
      <w:pPr>
        <w:pStyle w:val="Normal"/>
        <w:ind w:left="285"/>
        <w:rPr>
          <w:rFonts w:ascii="Arial" w:hAnsi="Arial"/>
          <w:b/>
          <w:i/>
          <w:sz w:val="16"/>
        </w:rPr>
      </w:pPr>
      <w:r>
        <mc:AlternateContent>
          <mc:Choice Requires="wps">
            <w:drawing>
              <wp:anchor distT="0" distB="0" distL="0" distR="0" simplePos="0" relativeHeight="2" behindDoc="0" locked="0" layoutInCell="0" allowOverlap="1">
                <wp:simplePos x="0" y="0"/>
                <wp:positionH relativeFrom="page">
                  <wp:posOffset>360045</wp:posOffset>
                </wp:positionH>
                <wp:positionV relativeFrom="paragraph">
                  <wp:posOffset>166370</wp:posOffset>
                </wp:positionV>
                <wp:extent cx="6840220" cy="6350"/>
                <wp:effectExtent l="0" t="0" r="0" b="635"/>
                <wp:wrapNone/>
                <wp:docPr id="13" name="Graphic 14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840360" cy="6480"/>
                        </a:xfrm>
                        <a:custGeom>
                          <a:avLst/>
                          <a:gdLst>
                            <a:gd name="textAreaLeft" fmla="*/ 0 w 3877920"/>
                            <a:gd name="textAreaRight" fmla="*/ 3880800 w 3877920"/>
                            <a:gd name="textAreaTop" fmla="*/ 0 h 3600"/>
                            <a:gd name="textAreaBottom" fmla="*/ 6480 h 3600"/>
                          </a:gdLst>
                          <a:ahLst/>
                          <a:cxnLst/>
                          <a:rect l="textAreaLeft" t="textAreaTop" r="textAreaRight" b="textAreaBottom"/>
                          <a:pathLst>
                            <a:path w="6840220" h="6350">
                              <a:moveTo>
                                <a:pt x="6839889" y="6350"/>
                              </a:moveTo>
                              <a:lnTo>
                                <a:pt x="0" y="6350"/>
                              </a:lnTo>
                              <a:lnTo>
                                <a:pt x="0" y="0"/>
                              </a:lnTo>
                              <a:lnTo>
                                <a:pt x="6839889" y="0"/>
                              </a:lnTo>
                              <a:lnTo>
                                <a:pt x="6839889" y="635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/>
          </mc:Fallback>
        </mc:AlternateContent>
      </w:r>
      <w:r>
        <w:rPr>
          <w:rFonts w:ascii="Arial" w:hAnsi="Arial"/>
          <w:b/>
          <w:i/>
          <w:sz w:val="16"/>
        </w:rPr>
        <w:t>OKRES</w:t>
      </w:r>
      <w:r>
        <w:rPr>
          <w:rFonts w:ascii="Arial" w:hAnsi="Arial"/>
          <w:b/>
          <w:i/>
          <w:spacing w:val="-5"/>
          <w:sz w:val="16"/>
        </w:rPr>
        <w:t xml:space="preserve"> </w:t>
      </w:r>
      <w:r>
        <w:rPr>
          <w:rFonts w:ascii="Arial" w:hAnsi="Arial"/>
          <w:b/>
          <w:i/>
          <w:spacing w:val="-2"/>
          <w:sz w:val="16"/>
        </w:rPr>
        <w:t>UBEZPIECZENIA</w:t>
      </w:r>
    </w:p>
    <w:p>
      <w:pPr>
        <w:pStyle w:val="Normal"/>
        <w:tabs>
          <w:tab w:val="clear" w:pos="720"/>
          <w:tab w:val="left" w:pos="1415" w:leader="none"/>
          <w:tab w:val="left" w:pos="2549" w:leader="none"/>
          <w:tab w:val="right" w:pos="4399" w:leader="none"/>
        </w:tabs>
        <w:spacing w:before="247" w:after="0"/>
        <w:ind w:left="282"/>
        <w:rPr>
          <w:rFonts w:ascii="Arial" w:hAnsi="Arial"/>
          <w:b/>
          <w:i/>
          <w:sz w:val="20"/>
          <w:szCs w:val="20"/>
        </w:rPr>
      </w:pPr>
      <w:r>
        <w:rPr/>
        <w:tab/>
      </w:r>
      <w:r>
        <w:rPr>
          <w:rFonts w:ascii="Arial" w:hAnsi="Arial"/>
        </w:rPr>
        <w:tab/>
      </w:r>
    </w:p>
    <w:p>
      <w:pPr>
        <w:pStyle w:val="Normal"/>
        <w:rPr>
          <w:rFonts w:ascii="Arial" w:hAnsi="Arial"/>
          <w:b/>
          <w:i/>
          <w:sz w:val="20"/>
          <w:szCs w:val="20"/>
        </w:rPr>
      </w:pPr>
      <w:r>
        <w:rPr>
          <w:rFonts w:ascii="Arial" w:hAnsi="Arial"/>
          <w:b/>
          <w:i/>
          <w:sz w:val="20"/>
          <w:szCs w:val="20"/>
        </w:rPr>
        <w:t>{{okres_ubezpieczenia}}</w:t>
      </w:r>
    </w:p>
    <w:p>
      <w:pPr>
        <w:pStyle w:val="Normal"/>
        <w:rPr>
          <w:rFonts w:ascii="Arial" w:hAnsi="Arial"/>
          <w:b/>
          <w:i/>
          <w:sz w:val="16"/>
        </w:rPr>
      </w:pPr>
      <w:r>
        <w:rPr>
          <w:rFonts w:ascii="Arial" w:hAnsi="Arial"/>
          <w:b/>
          <w:i/>
          <w:sz w:val="16"/>
        </w:rPr>
      </w:r>
    </w:p>
    <w:p>
      <w:pPr>
        <w:sectPr>
          <w:type w:val="continuous"/>
          <w:pgSz w:w="11906" w:h="16838"/>
          <w:pgMar w:left="425" w:right="425" w:gutter="0" w:header="0" w:top="180" w:footer="859" w:bottom="1040"/>
          <w:cols w:num="3" w:equalWidth="false" w:sep="false">
            <w:col w:w="2821" w:space="704"/>
            <w:col w:w="3941" w:space="570"/>
            <w:col w:w="3018"/>
          </w:cols>
          <w:formProt w:val="false"/>
          <w:textDirection w:val="lrTb"/>
          <w:docGrid w:type="default" w:linePitch="312" w:charSpace="4294965247"/>
        </w:sectPr>
      </w:pPr>
    </w:p>
    <w:p>
      <w:pPr>
        <w:pStyle w:val="Heading2"/>
        <w:spacing w:before="256" w:after="0"/>
        <w:rPr/>
      </w:pPr>
      <w:r>
        <w:rPr/>
        <w:t>ZAKRES</w:t>
      </w:r>
      <w:r>
        <w:rPr>
          <w:spacing w:val="-6"/>
        </w:rPr>
        <w:t xml:space="preserve"> </w:t>
      </w:r>
      <w:r>
        <w:rPr>
          <w:spacing w:val="-2"/>
        </w:rPr>
        <w:t>UBEZPIECZENIA</w:t>
      </w:r>
    </w:p>
    <w:p>
      <w:pPr>
        <w:pStyle w:val="BodyText"/>
        <w:spacing w:before="9" w:after="0"/>
        <w:rPr>
          <w:rFonts w:ascii="Arial" w:hAnsi="Arial"/>
          <w:b/>
          <w:i/>
          <w:sz w:val="6"/>
        </w:rPr>
      </w:pPr>
      <w:r>
        <w:rPr>
          <w:rFonts w:ascii="Arial" w:hAnsi="Arial"/>
          <w:b/>
          <w:i/>
          <w:sz w:val="6"/>
        </w:rPr>
      </w:r>
    </w:p>
    <w:tbl>
      <w:tblPr>
        <w:tblW w:w="10772" w:type="dxa"/>
        <w:jc w:val="left"/>
        <w:tblInd w:w="157" w:type="dxa"/>
        <w:tblLayout w:type="fixed"/>
        <w:tblCellMar>
          <w:top w:w="0" w:type="dxa"/>
          <w:left w:w="5" w:type="dxa"/>
          <w:bottom w:w="0" w:type="dxa"/>
          <w:right w:w="5" w:type="dxa"/>
        </w:tblCellMar>
      </w:tblPr>
      <w:tblGrid>
        <w:gridCol w:w="632"/>
        <w:gridCol w:w="4300"/>
        <w:gridCol w:w="1074"/>
        <w:gridCol w:w="2777"/>
        <w:gridCol w:w="1989"/>
      </w:tblGrid>
      <w:tr>
        <w:trPr>
          <w:trHeight w:val="670" w:hRule="atLeast"/>
        </w:trPr>
        <w:tc>
          <w:tcPr>
            <w:tcW w:w="10772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250" w:after="0"/>
              <w:ind w:left="8"/>
              <w:rPr>
                <w:rFonts w:ascii="Arial" w:hAnsi="Arial"/>
                <w:b/>
                <w:i/>
                <w:sz w:val="14"/>
              </w:rPr>
            </w:pPr>
            <w:r>
              <w:rPr>
                <w:rFonts w:ascii="Arial" w:hAnsi="Arial"/>
                <w:b/>
                <w:i/>
                <w:kern w:val="0"/>
                <w:sz w:val="14"/>
                <w:szCs w:val="22"/>
                <w:lang w:eastAsia="en-US" w:bidi="ar-SA"/>
              </w:rPr>
              <w:t>OPCJA</w:t>
            </w:r>
            <w:r>
              <w:rPr>
                <w:rFonts w:ascii="Arial" w:hAnsi="Arial"/>
                <w:b/>
                <w:i/>
                <w:spacing w:val="-5"/>
                <w:kern w:val="0"/>
                <w:sz w:val="14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spacing w:val="-2"/>
                <w:kern w:val="0"/>
                <w:sz w:val="14"/>
                <w:szCs w:val="22"/>
                <w:lang w:eastAsia="en-US" w:bidi="ar-SA"/>
              </w:rPr>
              <w:t xml:space="preserve">UBEZPIECZENIA – </w:t>
            </w:r>
            <w:r>
              <w:rPr>
                <w:rFonts w:ascii="Arial" w:hAnsi="Arial"/>
                <w:b/>
                <w:i/>
                <w:spacing w:val="-2"/>
                <w:kern w:val="0"/>
                <w:sz w:val="14"/>
                <w:szCs w:val="22"/>
                <w:shd w:fill="auto" w:val="clear"/>
                <w:lang w:eastAsia="en-US" w:bidi="ar-SA"/>
              </w:rPr>
              <w:t>OCHRONA</w:t>
            </w:r>
          </w:p>
        </w:tc>
      </w:tr>
      <w:tr>
        <w:trPr>
          <w:trHeight w:val="330" w:hRule="atLeast"/>
        </w:trPr>
        <w:tc>
          <w:tcPr>
            <w:tcW w:w="10772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94" w:after="0"/>
              <w:ind w:left="135"/>
              <w:jc w:val="left"/>
              <w:rPr>
                <w:kern w:val="0"/>
                <w:sz w:val="22"/>
                <w:szCs w:val="22"/>
                <w:shd w:fill="auto" w:val="clear"/>
                <w:lang w:eastAsia="en-US" w:bidi="ar-SA"/>
              </w:rPr>
            </w:pP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OPCJA</w:t>
            </w:r>
            <w:r>
              <w:rPr>
                <w:spacing w:val="-5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OCHRONA</w:t>
            </w:r>
            <w:r>
              <w:rPr>
                <w:spacing w:val="-2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WARIANT</w:t>
            </w:r>
            <w:r>
              <w:rPr>
                <w:spacing w:val="-2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0</w:t>
            </w:r>
            <w:r>
              <w:rPr>
                <w:spacing w:val="-2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– </w:t>
            </w:r>
            <w:r>
              <w:rPr>
                <w:spacing w:val="-5"/>
                <w:kern w:val="0"/>
                <w:sz w:val="12"/>
                <w:szCs w:val="22"/>
                <w:shd w:fill="auto" w:val="clear"/>
                <w:lang w:eastAsia="en-US" w:bidi="ar-SA"/>
              </w:rPr>
              <w:t>15</w:t>
            </w:r>
          </w:p>
        </w:tc>
      </w:tr>
      <w:tr>
        <w:trPr>
          <w:trHeight w:val="557" w:hRule="atLeast"/>
        </w:trPr>
        <w:tc>
          <w:tcPr>
            <w:tcW w:w="493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32" w:after="0"/>
              <w:jc w:val="left"/>
              <w:rPr>
                <w:rFonts w:ascii="Arial" w:hAnsi="Arial"/>
                <w:b/>
                <w:i/>
                <w:sz w:val="14"/>
              </w:rPr>
            </w:pPr>
            <w:r>
              <w:rPr>
                <w:rFonts w:ascii="Arial" w:hAnsi="Arial"/>
                <w:b/>
                <w:i/>
                <w:sz w:val="14"/>
              </w:rPr>
            </w:r>
          </w:p>
          <w:p>
            <w:pPr>
              <w:pStyle w:val="TableParagraph"/>
              <w:suppressAutoHyphens w:val="true"/>
              <w:spacing w:before="0" w:after="0"/>
              <w:ind w:left="46"/>
              <w:rPr>
                <w:rFonts w:ascii="Arial" w:hAnsi="Arial"/>
                <w:b/>
                <w:i/>
                <w:sz w:val="14"/>
              </w:rPr>
            </w:pPr>
            <w:r>
              <w:rPr>
                <w:rFonts w:ascii="Arial" w:hAnsi="Arial"/>
                <w:b/>
                <w:i/>
                <w:kern w:val="0"/>
                <w:sz w:val="14"/>
                <w:szCs w:val="22"/>
                <w:lang w:eastAsia="en-US" w:bidi="ar-SA"/>
              </w:rPr>
              <w:t>Rodzaj</w:t>
            </w:r>
            <w:r>
              <w:rPr>
                <w:rFonts w:ascii="Arial" w:hAnsi="Arial"/>
                <w:b/>
                <w:i/>
                <w:spacing w:val="-6"/>
                <w:kern w:val="0"/>
                <w:sz w:val="14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spacing w:val="-2"/>
                <w:kern w:val="0"/>
                <w:sz w:val="14"/>
                <w:szCs w:val="22"/>
                <w:lang w:eastAsia="en-US" w:bidi="ar-SA"/>
              </w:rPr>
              <w:t>świadczenia</w:t>
            </w:r>
          </w:p>
        </w:tc>
        <w:tc>
          <w:tcPr>
            <w:tcW w:w="10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113" w:after="0"/>
              <w:ind w:firstLine="283" w:left="63"/>
              <w:jc w:val="left"/>
              <w:rPr>
                <w:rFonts w:ascii="Arial" w:hAnsi="Arial"/>
                <w:b/>
                <w:i/>
                <w:sz w:val="14"/>
              </w:rPr>
            </w:pPr>
            <w:r>
              <w:rPr>
                <w:rFonts w:ascii="Arial" w:hAnsi="Arial"/>
                <w:b/>
                <w:i/>
                <w:spacing w:val="-4"/>
                <w:kern w:val="0"/>
                <w:sz w:val="14"/>
                <w:szCs w:val="22"/>
                <w:lang w:eastAsia="en-US" w:bidi="ar-SA"/>
              </w:rPr>
              <w:t>Suma</w:t>
            </w:r>
            <w:r>
              <w:rPr>
                <w:rFonts w:ascii="Arial" w:hAnsi="Arial"/>
                <w:b/>
                <w:i/>
                <w:spacing w:val="40"/>
                <w:kern w:val="0"/>
                <w:sz w:val="14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spacing w:val="-2"/>
                <w:kern w:val="0"/>
                <w:sz w:val="14"/>
                <w:szCs w:val="22"/>
                <w:lang w:eastAsia="en-US" w:bidi="ar-SA"/>
              </w:rPr>
              <w:t>ubezpieczenia</w:t>
            </w:r>
          </w:p>
        </w:tc>
        <w:tc>
          <w:tcPr>
            <w:tcW w:w="2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32" w:after="0"/>
              <w:jc w:val="left"/>
              <w:rPr>
                <w:rFonts w:ascii="Arial" w:hAnsi="Arial"/>
                <w:b/>
                <w:i/>
                <w:sz w:val="14"/>
              </w:rPr>
            </w:pPr>
            <w:r>
              <w:rPr>
                <w:rFonts w:ascii="Arial" w:hAnsi="Arial"/>
                <w:b/>
                <w:i/>
                <w:sz w:val="14"/>
              </w:rPr>
            </w:r>
          </w:p>
          <w:p>
            <w:pPr>
              <w:pStyle w:val="TableParagraph"/>
              <w:suppressAutoHyphens w:val="true"/>
              <w:spacing w:before="0" w:after="0"/>
              <w:ind w:left="7"/>
              <w:rPr>
                <w:rFonts w:ascii="Arial" w:hAnsi="Arial"/>
                <w:b/>
                <w:i/>
                <w:sz w:val="14"/>
              </w:rPr>
            </w:pPr>
            <w:r>
              <w:rPr>
                <w:rFonts w:ascii="Arial" w:hAnsi="Arial"/>
                <w:b/>
                <w:i/>
                <w:kern w:val="0"/>
                <w:sz w:val="14"/>
                <w:szCs w:val="22"/>
                <w:lang w:eastAsia="en-US" w:bidi="ar-SA"/>
              </w:rPr>
              <w:t>Wysokość</w:t>
            </w:r>
            <w:r>
              <w:rPr>
                <w:rFonts w:ascii="Arial" w:hAnsi="Arial"/>
                <w:b/>
                <w:i/>
                <w:spacing w:val="-9"/>
                <w:kern w:val="0"/>
                <w:sz w:val="14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kern w:val="0"/>
                <w:sz w:val="14"/>
                <w:szCs w:val="22"/>
                <w:lang w:eastAsia="en-US" w:bidi="ar-SA"/>
              </w:rPr>
              <w:t>świadczenia</w:t>
            </w:r>
            <w:r>
              <w:rPr>
                <w:rFonts w:ascii="Arial" w:hAnsi="Arial"/>
                <w:b/>
                <w:i/>
                <w:spacing w:val="-7"/>
                <w:kern w:val="0"/>
                <w:sz w:val="14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kern w:val="0"/>
                <w:sz w:val="14"/>
                <w:szCs w:val="22"/>
                <w:lang w:eastAsia="en-US" w:bidi="ar-SA"/>
              </w:rPr>
              <w:t>w</w:t>
            </w:r>
            <w:r>
              <w:rPr>
                <w:rFonts w:ascii="Arial" w:hAnsi="Arial"/>
                <w:b/>
                <w:i/>
                <w:spacing w:val="-6"/>
                <w:kern w:val="0"/>
                <w:sz w:val="14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spacing w:val="-10"/>
                <w:kern w:val="0"/>
                <w:sz w:val="14"/>
                <w:szCs w:val="22"/>
                <w:lang w:eastAsia="en-US" w:bidi="ar-SA"/>
              </w:rPr>
              <w:t>%</w:t>
            </w:r>
          </w:p>
        </w:tc>
        <w:tc>
          <w:tcPr>
            <w:tcW w:w="1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32" w:after="0"/>
              <w:jc w:val="left"/>
              <w:rPr>
                <w:rFonts w:ascii="Arial" w:hAnsi="Arial"/>
                <w:b/>
                <w:i/>
                <w:sz w:val="14"/>
              </w:rPr>
            </w:pPr>
            <w:r>
              <w:rPr>
                <w:rFonts w:ascii="Arial" w:hAnsi="Arial"/>
                <w:b/>
                <w:i/>
                <w:sz w:val="14"/>
              </w:rPr>
            </w:r>
          </w:p>
          <w:p>
            <w:pPr>
              <w:pStyle w:val="TableParagraph"/>
              <w:suppressAutoHyphens w:val="true"/>
              <w:spacing w:before="0" w:after="0"/>
              <w:ind w:left="46"/>
              <w:rPr>
                <w:rFonts w:ascii="Arial" w:hAnsi="Arial"/>
                <w:b/>
                <w:i/>
                <w:sz w:val="14"/>
              </w:rPr>
            </w:pPr>
            <w:r>
              <w:rPr>
                <w:rFonts w:ascii="Arial" w:hAnsi="Arial"/>
                <w:b/>
                <w:i/>
                <w:kern w:val="0"/>
                <w:sz w:val="14"/>
                <w:szCs w:val="22"/>
                <w:lang w:eastAsia="en-US" w:bidi="ar-SA"/>
              </w:rPr>
              <w:t>Wysokość</w:t>
            </w:r>
            <w:r>
              <w:rPr>
                <w:rFonts w:ascii="Arial" w:hAnsi="Arial"/>
                <w:b/>
                <w:i/>
                <w:spacing w:val="-9"/>
                <w:kern w:val="0"/>
                <w:sz w:val="14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kern w:val="0"/>
                <w:sz w:val="14"/>
                <w:szCs w:val="22"/>
                <w:lang w:eastAsia="en-US" w:bidi="ar-SA"/>
              </w:rPr>
              <w:t>świadczenia</w:t>
            </w:r>
            <w:r>
              <w:rPr>
                <w:rFonts w:ascii="Arial" w:hAnsi="Arial"/>
                <w:b/>
                <w:i/>
                <w:spacing w:val="-7"/>
                <w:kern w:val="0"/>
                <w:sz w:val="14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kern w:val="0"/>
                <w:sz w:val="14"/>
                <w:szCs w:val="22"/>
                <w:lang w:eastAsia="en-US" w:bidi="ar-SA"/>
              </w:rPr>
              <w:t>w</w:t>
            </w:r>
            <w:r>
              <w:rPr>
                <w:rFonts w:ascii="Arial" w:hAnsi="Arial"/>
                <w:b/>
                <w:i/>
                <w:spacing w:val="-6"/>
                <w:kern w:val="0"/>
                <w:sz w:val="14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spacing w:val="-5"/>
                <w:kern w:val="0"/>
                <w:sz w:val="14"/>
                <w:szCs w:val="22"/>
                <w:lang w:eastAsia="en-US" w:bidi="ar-SA"/>
              </w:rPr>
              <w:t>zł</w:t>
            </w:r>
          </w:p>
        </w:tc>
      </w:tr>
      <w:tr>
        <w:trPr>
          <w:trHeight w:val="273" w:hRule="atLeast"/>
        </w:trPr>
        <w:tc>
          <w:tcPr>
            <w:tcW w:w="6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3" w:after="0"/>
              <w:ind w:left="9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spacing w:val="-10"/>
                <w:kern w:val="0"/>
                <w:sz w:val="12"/>
                <w:szCs w:val="22"/>
                <w:lang w:eastAsia="en-US" w:bidi="ar-SA"/>
              </w:rPr>
              <w:t>1</w:t>
            </w:r>
          </w:p>
        </w:tc>
        <w:tc>
          <w:tcPr>
            <w:tcW w:w="4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35"/>
              <w:jc w:val="left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Śmierć</w:t>
            </w:r>
            <w:r>
              <w:rPr>
                <w:spacing w:val="-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Ubezpieczonego</w:t>
            </w:r>
            <w:r>
              <w:rPr>
                <w:spacing w:val="-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na</w:t>
            </w:r>
            <w:r>
              <w:rPr>
                <w:spacing w:val="-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terenie</w:t>
            </w:r>
            <w:r>
              <w:rPr>
                <w:spacing w:val="-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placówki</w:t>
            </w:r>
            <w:r>
              <w:rPr>
                <w:spacing w:val="-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oświatowej</w:t>
            </w:r>
            <w:r>
              <w:rPr>
                <w:spacing w:val="-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</w:t>
            </w:r>
            <w:r>
              <w:rPr>
                <w:spacing w:val="-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wyniku</w:t>
            </w:r>
            <w:r>
              <w:rPr>
                <w:spacing w:val="-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NW</w:t>
            </w:r>
          </w:p>
        </w:tc>
        <w:tc>
          <w:tcPr>
            <w:tcW w:w="10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3" w:after="0"/>
              <w:ind w:left="124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spacing w:val="-3"/>
                <w:kern w:val="0"/>
                <w:sz w:val="12"/>
                <w:szCs w:val="22"/>
                <w:lang w:eastAsia="en-US" w:bidi="ar-SA"/>
              </w:rPr>
              <w:t>62 5</w:t>
            </w:r>
            <w:r>
              <w:rPr>
                <w:rFonts w:ascii="Arial" w:hAnsi="Arial"/>
                <w:b/>
                <w:i/>
                <w:kern w:val="0"/>
                <w:sz w:val="12"/>
                <w:szCs w:val="22"/>
                <w:lang w:eastAsia="en-US" w:bidi="ar-SA"/>
              </w:rPr>
              <w:t>00</w:t>
            </w:r>
            <w:r>
              <w:rPr>
                <w:rFonts w:ascii="Arial" w:hAnsi="Arial"/>
                <w:b/>
                <w:i/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  <w:tc>
          <w:tcPr>
            <w:tcW w:w="2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30" w:right="5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100%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SU</w:t>
            </w:r>
          </w:p>
        </w:tc>
        <w:tc>
          <w:tcPr>
            <w:tcW w:w="1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3"/>
              <w:rPr>
                <w:sz w:val="12"/>
              </w:rPr>
            </w:pPr>
            <w:r>
              <w:rPr>
                <w:spacing w:val="-1"/>
                <w:kern w:val="0"/>
                <w:sz w:val="12"/>
                <w:szCs w:val="22"/>
                <w:lang w:eastAsia="en-US" w:bidi="ar-SA"/>
              </w:rPr>
              <w:t>62 5</w:t>
            </w:r>
            <w:r>
              <w:rPr>
                <w:kern w:val="0"/>
                <w:sz w:val="12"/>
                <w:szCs w:val="22"/>
                <w:lang w:eastAsia="en-US" w:bidi="ar-SA"/>
              </w:rPr>
              <w:t xml:space="preserve">00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</w:tr>
      <w:tr>
        <w:trPr>
          <w:trHeight w:val="273" w:hRule="atLeast"/>
        </w:trPr>
        <w:tc>
          <w:tcPr>
            <w:tcW w:w="6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3" w:after="0"/>
              <w:ind w:left="9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spacing w:val="-10"/>
                <w:kern w:val="0"/>
                <w:sz w:val="12"/>
                <w:szCs w:val="22"/>
                <w:lang w:eastAsia="en-US" w:bidi="ar-SA"/>
              </w:rPr>
              <w:t>2</w:t>
            </w:r>
          </w:p>
        </w:tc>
        <w:tc>
          <w:tcPr>
            <w:tcW w:w="4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35"/>
              <w:jc w:val="left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Śmierć</w:t>
            </w:r>
            <w:r>
              <w:rPr>
                <w:spacing w:val="-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Ubezpieczonego</w:t>
            </w:r>
            <w:r>
              <w:rPr>
                <w:spacing w:val="-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wyniku</w:t>
            </w:r>
            <w:r>
              <w:rPr>
                <w:spacing w:val="-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NW</w:t>
            </w:r>
          </w:p>
        </w:tc>
        <w:tc>
          <w:tcPr>
            <w:tcW w:w="10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3" w:after="0"/>
              <w:ind w:left="124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spacing w:val="-3"/>
                <w:kern w:val="0"/>
                <w:sz w:val="12"/>
                <w:szCs w:val="22"/>
                <w:lang w:eastAsia="en-US" w:bidi="ar-SA"/>
              </w:rPr>
              <w:t>62 5</w:t>
            </w:r>
            <w:r>
              <w:rPr>
                <w:rFonts w:ascii="Arial" w:hAnsi="Arial"/>
                <w:b/>
                <w:i/>
                <w:kern w:val="0"/>
                <w:sz w:val="12"/>
                <w:szCs w:val="22"/>
                <w:lang w:eastAsia="en-US" w:bidi="ar-SA"/>
              </w:rPr>
              <w:t>00</w:t>
            </w:r>
            <w:r>
              <w:rPr>
                <w:rFonts w:ascii="Arial" w:hAnsi="Arial"/>
                <w:b/>
                <w:i/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  <w:tc>
          <w:tcPr>
            <w:tcW w:w="2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30" w:right="5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100%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SU</w:t>
            </w:r>
          </w:p>
        </w:tc>
        <w:tc>
          <w:tcPr>
            <w:tcW w:w="1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3"/>
              <w:rPr>
                <w:sz w:val="12"/>
              </w:rPr>
            </w:pPr>
            <w:r>
              <w:rPr>
                <w:spacing w:val="-1"/>
                <w:kern w:val="0"/>
                <w:sz w:val="12"/>
                <w:szCs w:val="22"/>
                <w:lang w:eastAsia="en-US" w:bidi="ar-SA"/>
              </w:rPr>
              <w:t>62 5</w:t>
            </w:r>
            <w:r>
              <w:rPr>
                <w:kern w:val="0"/>
                <w:sz w:val="12"/>
                <w:szCs w:val="22"/>
                <w:lang w:eastAsia="en-US" w:bidi="ar-SA"/>
              </w:rPr>
              <w:t xml:space="preserve">00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</w:tr>
      <w:tr>
        <w:trPr>
          <w:trHeight w:val="273" w:hRule="atLeast"/>
        </w:trPr>
        <w:tc>
          <w:tcPr>
            <w:tcW w:w="6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3" w:after="0"/>
              <w:ind w:left="9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spacing w:val="-10"/>
                <w:kern w:val="0"/>
                <w:sz w:val="12"/>
                <w:szCs w:val="22"/>
                <w:lang w:eastAsia="en-US" w:bidi="ar-SA"/>
              </w:rPr>
              <w:t>3</w:t>
            </w:r>
          </w:p>
        </w:tc>
        <w:tc>
          <w:tcPr>
            <w:tcW w:w="4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35"/>
              <w:jc w:val="left"/>
              <w:rPr>
                <w:sz w:val="12"/>
              </w:rPr>
            </w:pP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Rozpoznanie</w:t>
            </w:r>
            <w:r>
              <w:rPr>
                <w:spacing w:val="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sepsy</w:t>
            </w:r>
            <w:r>
              <w:rPr>
                <w:spacing w:val="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u</w:t>
            </w:r>
            <w:r>
              <w:rPr>
                <w:spacing w:val="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Ubezpieczonego</w:t>
            </w:r>
            <w:r>
              <w:rPr>
                <w:spacing w:val="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będącego</w:t>
            </w:r>
            <w:r>
              <w:rPr>
                <w:spacing w:val="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dzieckiem</w:t>
            </w:r>
          </w:p>
        </w:tc>
        <w:tc>
          <w:tcPr>
            <w:tcW w:w="10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3" w:after="0"/>
              <w:ind w:left="124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spacing w:val="-2"/>
                <w:kern w:val="0"/>
                <w:sz w:val="12"/>
                <w:szCs w:val="22"/>
                <w:lang w:eastAsia="en-US" w:bidi="ar-SA"/>
              </w:rPr>
              <w:t>5 0</w:t>
            </w:r>
            <w:r>
              <w:rPr>
                <w:rFonts w:ascii="Arial" w:hAnsi="Arial"/>
                <w:b/>
                <w:i/>
                <w:kern w:val="0"/>
                <w:sz w:val="12"/>
                <w:szCs w:val="22"/>
                <w:lang w:eastAsia="en-US" w:bidi="ar-SA"/>
              </w:rPr>
              <w:t>00</w:t>
            </w:r>
            <w:r>
              <w:rPr>
                <w:rFonts w:ascii="Arial" w:hAnsi="Arial"/>
                <w:b/>
                <w:i/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  <w:tc>
          <w:tcPr>
            <w:tcW w:w="2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9" w:right="5"/>
              <w:rPr>
                <w:sz w:val="12"/>
              </w:rPr>
            </w:pP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jednorazowo</w:t>
            </w:r>
            <w:r>
              <w:rPr>
                <w:spacing w:val="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100%</w:t>
            </w:r>
            <w:r>
              <w:rPr>
                <w:spacing w:val="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SU</w:t>
            </w:r>
          </w:p>
        </w:tc>
        <w:tc>
          <w:tcPr>
            <w:tcW w:w="1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3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 xml:space="preserve">5 000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</w:tr>
      <w:tr>
        <w:trPr>
          <w:trHeight w:val="273" w:hRule="atLeast"/>
        </w:trPr>
        <w:tc>
          <w:tcPr>
            <w:tcW w:w="6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4" w:after="0"/>
              <w:ind w:left="9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spacing w:val="-10"/>
                <w:kern w:val="0"/>
                <w:sz w:val="12"/>
                <w:szCs w:val="22"/>
                <w:lang w:eastAsia="en-US" w:bidi="ar-SA"/>
              </w:rPr>
              <w:t>4</w:t>
            </w:r>
          </w:p>
        </w:tc>
        <w:tc>
          <w:tcPr>
            <w:tcW w:w="4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35"/>
              <w:jc w:val="left"/>
              <w:rPr>
                <w:sz w:val="12"/>
              </w:rPr>
            </w:pP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Trwałe</w:t>
            </w:r>
            <w:r>
              <w:rPr>
                <w:spacing w:val="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inwalidztwo</w:t>
            </w:r>
            <w:r>
              <w:rPr>
                <w:spacing w:val="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częściowe</w:t>
            </w:r>
            <w:r>
              <w:rPr>
                <w:spacing w:val="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w</w:t>
            </w:r>
            <w:r>
              <w:rPr>
                <w:spacing w:val="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wyniku</w:t>
            </w:r>
            <w:r>
              <w:rPr>
                <w:spacing w:val="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NW</w:t>
            </w:r>
          </w:p>
        </w:tc>
        <w:tc>
          <w:tcPr>
            <w:tcW w:w="10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4" w:after="0"/>
              <w:ind w:left="124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spacing w:val="-3"/>
                <w:kern w:val="0"/>
                <w:sz w:val="12"/>
                <w:szCs w:val="22"/>
                <w:lang w:eastAsia="en-US" w:bidi="ar-SA"/>
              </w:rPr>
              <w:t>62 5</w:t>
            </w:r>
            <w:r>
              <w:rPr>
                <w:rFonts w:ascii="Arial" w:hAnsi="Arial"/>
                <w:b/>
                <w:i/>
                <w:kern w:val="0"/>
                <w:sz w:val="12"/>
                <w:szCs w:val="22"/>
                <w:lang w:eastAsia="en-US" w:bidi="ar-SA"/>
              </w:rPr>
              <w:t>00</w:t>
            </w:r>
            <w:r>
              <w:rPr>
                <w:rFonts w:ascii="Arial" w:hAnsi="Arial"/>
                <w:b/>
                <w:i/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  <w:tc>
          <w:tcPr>
            <w:tcW w:w="2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9" w:right="6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zgodnie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z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TABELĄ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NR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1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OWU</w:t>
            </w:r>
          </w:p>
        </w:tc>
        <w:tc>
          <w:tcPr>
            <w:tcW w:w="1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3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od</w:t>
            </w:r>
            <w:r>
              <w:rPr>
                <w:spacing w:val="-1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 xml:space="preserve">500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</w:tr>
      <w:tr>
        <w:trPr>
          <w:trHeight w:val="273" w:hRule="atLeast"/>
        </w:trPr>
        <w:tc>
          <w:tcPr>
            <w:tcW w:w="6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3" w:after="0"/>
              <w:ind w:left="9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spacing w:val="-10"/>
                <w:kern w:val="0"/>
                <w:sz w:val="12"/>
                <w:szCs w:val="22"/>
                <w:lang w:eastAsia="en-US" w:bidi="ar-SA"/>
              </w:rPr>
              <w:t>5</w:t>
            </w:r>
          </w:p>
        </w:tc>
        <w:tc>
          <w:tcPr>
            <w:tcW w:w="4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lineRule="exact" w:line="133" w:before="0" w:after="0"/>
              <w:ind w:left="135"/>
              <w:jc w:val="left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Zwrot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kosztów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zakupu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wózka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inwalidzkiego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na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wypadek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inwalidztwa</w:t>
            </w:r>
          </w:p>
          <w:p>
            <w:pPr>
              <w:pStyle w:val="TableParagraph"/>
              <w:suppressAutoHyphens w:val="true"/>
              <w:spacing w:lineRule="exact" w:line="119" w:before="2" w:after="0"/>
              <w:ind w:left="135"/>
              <w:jc w:val="left"/>
              <w:rPr>
                <w:sz w:val="12"/>
              </w:rPr>
            </w:pP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spowodowanego</w:t>
            </w:r>
            <w:r>
              <w:rPr>
                <w:spacing w:val="1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NW</w:t>
            </w:r>
          </w:p>
        </w:tc>
        <w:tc>
          <w:tcPr>
            <w:tcW w:w="10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3" w:after="0"/>
              <w:ind w:left="124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kern w:val="0"/>
                <w:sz w:val="12"/>
                <w:szCs w:val="22"/>
                <w:lang w:eastAsia="en-US" w:bidi="ar-SA"/>
              </w:rPr>
              <w:t>5</w:t>
            </w:r>
            <w:r>
              <w:rPr>
                <w:rFonts w:ascii="Arial" w:hAnsi="Arial"/>
                <w:b/>
                <w:i/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kern w:val="0"/>
                <w:sz w:val="12"/>
                <w:szCs w:val="22"/>
                <w:lang w:eastAsia="en-US" w:bidi="ar-SA"/>
              </w:rPr>
              <w:t>000</w:t>
            </w:r>
            <w:r>
              <w:rPr>
                <w:rFonts w:ascii="Arial" w:hAnsi="Arial"/>
                <w:b/>
                <w:i/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  <w:tc>
          <w:tcPr>
            <w:tcW w:w="2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30" w:right="5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do</w:t>
            </w:r>
            <w:r>
              <w:rPr>
                <w:spacing w:val="-1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100%</w:t>
            </w:r>
            <w:r>
              <w:rPr>
                <w:spacing w:val="-1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SU</w:t>
            </w:r>
          </w:p>
        </w:tc>
        <w:tc>
          <w:tcPr>
            <w:tcW w:w="1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3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 xml:space="preserve">do 5 000 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</w:tr>
      <w:tr>
        <w:trPr>
          <w:trHeight w:val="273" w:hRule="atLeast"/>
        </w:trPr>
        <w:tc>
          <w:tcPr>
            <w:tcW w:w="6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3" w:after="0"/>
              <w:ind w:left="9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spacing w:val="-10"/>
                <w:kern w:val="0"/>
                <w:sz w:val="12"/>
                <w:szCs w:val="22"/>
                <w:lang w:eastAsia="en-US" w:bidi="ar-SA"/>
              </w:rPr>
              <w:t>6</w:t>
            </w:r>
          </w:p>
        </w:tc>
        <w:tc>
          <w:tcPr>
            <w:tcW w:w="4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35"/>
              <w:jc w:val="left"/>
              <w:rPr>
                <w:kern w:val="0"/>
                <w:sz w:val="22"/>
                <w:szCs w:val="22"/>
                <w:shd w:fill="auto" w:val="clear"/>
                <w:lang w:eastAsia="en-US" w:bidi="ar-SA"/>
              </w:rPr>
            </w:pP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Złamania</w:t>
            </w:r>
            <w:r>
              <w:rPr>
                <w:spacing w:val="-6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jednej</w:t>
            </w:r>
            <w:r>
              <w:rPr>
                <w:spacing w:val="-6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lub</w:t>
            </w:r>
            <w:r>
              <w:rPr>
                <w:spacing w:val="-6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więcej</w:t>
            </w:r>
            <w:r>
              <w:rPr>
                <w:spacing w:val="-6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kości</w:t>
            </w:r>
            <w:r>
              <w:rPr>
                <w:spacing w:val="-5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, rany oraz urazy narządów ruchu </w:t>
            </w: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w</w:t>
            </w:r>
            <w:r>
              <w:rPr>
                <w:spacing w:val="-6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wyniku</w:t>
            </w:r>
            <w:r>
              <w:rPr>
                <w:spacing w:val="-6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shd w:fill="auto" w:val="clear"/>
                <w:lang w:eastAsia="en-US" w:bidi="ar-SA"/>
              </w:rPr>
              <w:t>NW</w:t>
            </w:r>
          </w:p>
        </w:tc>
        <w:tc>
          <w:tcPr>
            <w:tcW w:w="10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3" w:after="0"/>
              <w:ind w:left="124"/>
              <w:rPr>
                <w:kern w:val="0"/>
                <w:sz w:val="22"/>
                <w:szCs w:val="22"/>
                <w:shd w:fill="auto" w:val="clear"/>
                <w:lang w:eastAsia="en-US" w:bidi="ar-SA"/>
              </w:rPr>
            </w:pPr>
            <w:r>
              <w:rPr>
                <w:rFonts w:ascii="Arial" w:hAnsi="Arial"/>
                <w:b/>
                <w:i/>
                <w:spacing w:val="-2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100 </w:t>
            </w:r>
            <w:r>
              <w:rPr>
                <w:rFonts w:ascii="Arial" w:hAnsi="Arial"/>
                <w:b/>
                <w:i/>
                <w:kern w:val="0"/>
                <w:sz w:val="12"/>
                <w:szCs w:val="22"/>
                <w:shd w:fill="auto" w:val="clear"/>
                <w:lang w:eastAsia="en-US" w:bidi="ar-SA"/>
              </w:rPr>
              <w:t>000</w:t>
            </w:r>
            <w:r>
              <w:rPr>
                <w:rFonts w:ascii="Arial" w:hAnsi="Arial"/>
                <w:b/>
                <w:i/>
                <w:spacing w:val="-2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spacing w:val="-5"/>
                <w:kern w:val="0"/>
                <w:sz w:val="12"/>
                <w:szCs w:val="22"/>
                <w:shd w:fill="auto" w:val="clear"/>
                <w:lang w:eastAsia="en-US" w:bidi="ar-SA"/>
              </w:rPr>
              <w:t>zł</w:t>
            </w:r>
          </w:p>
        </w:tc>
        <w:tc>
          <w:tcPr>
            <w:tcW w:w="2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9" w:right="6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zgodnie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z</w:t>
            </w:r>
            <w:r>
              <w:rPr>
                <w:spacing w:val="-2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TABELĄ</w:t>
            </w:r>
            <w:r>
              <w:rPr>
                <w:spacing w:val="-2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NR</w:t>
            </w:r>
            <w:r>
              <w:rPr>
                <w:spacing w:val="-2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2</w:t>
            </w:r>
            <w:r>
              <w:rPr>
                <w:spacing w:val="-3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PDiO</w:t>
            </w:r>
          </w:p>
        </w:tc>
        <w:tc>
          <w:tcPr>
            <w:tcW w:w="1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3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Do 10 000 zł</w:t>
            </w:r>
          </w:p>
        </w:tc>
      </w:tr>
      <w:tr>
        <w:trPr>
          <w:trHeight w:val="273" w:hRule="atLeast"/>
        </w:trPr>
        <w:tc>
          <w:tcPr>
            <w:tcW w:w="6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4" w:after="0"/>
              <w:ind w:left="9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spacing w:val="-10"/>
                <w:kern w:val="0"/>
                <w:sz w:val="12"/>
                <w:szCs w:val="22"/>
                <w:lang w:eastAsia="en-US" w:bidi="ar-SA"/>
              </w:rPr>
              <w:t>9</w:t>
            </w:r>
          </w:p>
        </w:tc>
        <w:tc>
          <w:tcPr>
            <w:tcW w:w="4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35"/>
              <w:jc w:val="left"/>
              <w:rPr>
                <w:sz w:val="12"/>
              </w:rPr>
            </w:pP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Pogryzienie</w:t>
            </w:r>
            <w:r>
              <w:rPr>
                <w:spacing w:val="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lub</w:t>
            </w:r>
            <w:r>
              <w:rPr>
                <w:spacing w:val="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pokąsanie/ukąszenie</w:t>
            </w:r>
          </w:p>
        </w:tc>
        <w:tc>
          <w:tcPr>
            <w:tcW w:w="10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4" w:after="0"/>
              <w:ind w:left="124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spacing w:val="-3"/>
                <w:kern w:val="0"/>
                <w:sz w:val="12"/>
                <w:szCs w:val="22"/>
                <w:lang w:eastAsia="en-US" w:bidi="ar-SA"/>
              </w:rPr>
              <w:t xml:space="preserve">1 300 </w:t>
            </w:r>
            <w:r>
              <w:rPr>
                <w:rFonts w:ascii="Arial" w:hAnsi="Arial"/>
                <w:b/>
                <w:i/>
                <w:spacing w:val="-7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  <w:tc>
          <w:tcPr>
            <w:tcW w:w="2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lineRule="exact" w:line="133" w:before="0" w:after="0"/>
              <w:ind w:left="192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jednorazowo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50%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SU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przypadku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pogryzienia </w:t>
            </w:r>
            <w:r>
              <w:rPr>
                <w:kern w:val="0"/>
                <w:sz w:val="12"/>
                <w:szCs w:val="22"/>
                <w:lang w:eastAsia="en-US" w:bidi="ar-SA"/>
              </w:rPr>
              <w:t>lub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100%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SU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przypadku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pokąsania/ukąszenia</w:t>
            </w:r>
          </w:p>
        </w:tc>
        <w:tc>
          <w:tcPr>
            <w:tcW w:w="1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3"/>
              <w:rPr>
                <w:kern w:val="0"/>
                <w:sz w:val="22"/>
                <w:szCs w:val="22"/>
                <w:shd w:fill="auto" w:val="clear"/>
                <w:lang w:eastAsia="en-US" w:bidi="ar-SA"/>
              </w:rPr>
            </w:pPr>
            <w:r>
              <w:rPr>
                <w:spacing w:val="-2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650 </w:t>
            </w: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zł</w:t>
            </w:r>
            <w:r>
              <w:rPr>
                <w:spacing w:val="-1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lub</w:t>
            </w:r>
            <w:r>
              <w:rPr>
                <w:spacing w:val="-2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1 300</w:t>
            </w:r>
            <w:r>
              <w:rPr>
                <w:spacing w:val="-1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shd w:fill="auto" w:val="clear"/>
                <w:lang w:eastAsia="en-US" w:bidi="ar-SA"/>
              </w:rPr>
              <w:t>zł</w:t>
            </w:r>
          </w:p>
        </w:tc>
      </w:tr>
      <w:tr>
        <w:trPr>
          <w:trHeight w:val="541" w:hRule="atLeast"/>
        </w:trPr>
        <w:tc>
          <w:tcPr>
            <w:tcW w:w="6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0" w:after="0"/>
              <w:jc w:val="left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sz w:val="12"/>
              </w:rPr>
            </w:r>
          </w:p>
          <w:p>
            <w:pPr>
              <w:pStyle w:val="TableParagraph"/>
              <w:suppressAutoHyphens w:val="true"/>
              <w:spacing w:before="0" w:after="0"/>
              <w:ind w:left="9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spacing w:val="-5"/>
                <w:kern w:val="0"/>
                <w:sz w:val="12"/>
                <w:szCs w:val="22"/>
                <w:lang w:eastAsia="en-US" w:bidi="ar-SA"/>
              </w:rPr>
              <w:t>10</w:t>
            </w:r>
          </w:p>
        </w:tc>
        <w:tc>
          <w:tcPr>
            <w:tcW w:w="4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lineRule="auto" w:line="245" w:before="0" w:after="0"/>
              <w:ind w:left="135"/>
              <w:jc w:val="left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Koszty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nabycia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wyrobów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medycznych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wydawanych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na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zlecenie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oraz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koszty</w:t>
            </w:r>
            <w:r>
              <w:rPr>
                <w:spacing w:val="40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zakupu lub naprawy okularów korekcyjnych, aparatu słuchowego, aparatu</w:t>
            </w:r>
            <w:r>
              <w:rPr>
                <w:spacing w:val="40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ortodontycznego lub pompy insulinowej uszkodzonych w wyniku NW na</w:t>
            </w:r>
          </w:p>
          <w:p>
            <w:pPr>
              <w:pStyle w:val="TableParagraph"/>
              <w:suppressAutoHyphens w:val="true"/>
              <w:spacing w:lineRule="exact" w:line="113" w:before="0" w:after="0"/>
              <w:ind w:left="135"/>
              <w:jc w:val="left"/>
              <w:rPr>
                <w:sz w:val="12"/>
              </w:rPr>
            </w:pP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terenie</w:t>
            </w:r>
            <w:r>
              <w:rPr>
                <w:spacing w:val="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placówki</w:t>
            </w:r>
            <w:r>
              <w:rPr>
                <w:spacing w:val="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oświatowej</w:t>
            </w:r>
          </w:p>
        </w:tc>
        <w:tc>
          <w:tcPr>
            <w:tcW w:w="10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0" w:after="0"/>
              <w:jc w:val="left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sz w:val="12"/>
              </w:rPr>
            </w:r>
          </w:p>
          <w:p>
            <w:pPr>
              <w:pStyle w:val="TableParagraph"/>
              <w:suppressAutoHyphens w:val="true"/>
              <w:spacing w:before="0" w:after="0"/>
              <w:ind w:left="124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kern w:val="0"/>
                <w:sz w:val="12"/>
                <w:szCs w:val="22"/>
                <w:lang w:eastAsia="en-US" w:bidi="ar-SA"/>
              </w:rPr>
              <w:t>18 750</w:t>
            </w:r>
            <w:r>
              <w:rPr>
                <w:rFonts w:ascii="Arial" w:hAnsi="Arial"/>
                <w:b/>
                <w:i/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  <w:tc>
          <w:tcPr>
            <w:tcW w:w="2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lineRule="auto" w:line="245" w:before="62" w:after="0"/>
              <w:ind w:left="129" w:right="5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do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100%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SU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tym: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okulary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korekcyjne,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aparat</w:t>
            </w:r>
            <w:r>
              <w:rPr>
                <w:spacing w:val="40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słuchowy, aparat ortodontyczny, pompa</w:t>
            </w:r>
            <w:r>
              <w:rPr>
                <w:spacing w:val="40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insulinowa - do 300 zł</w:t>
            </w:r>
          </w:p>
        </w:tc>
        <w:tc>
          <w:tcPr>
            <w:tcW w:w="1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lineRule="auto" w:line="245" w:before="0" w:after="0"/>
              <w:ind w:hanging="8" w:left="276" w:right="143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Do 18 750 zł w tym: okulary</w:t>
            </w:r>
            <w:r>
              <w:rPr>
                <w:spacing w:val="40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korekcyjne,</w:t>
            </w:r>
            <w:r>
              <w:rPr>
                <w:spacing w:val="-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aparat</w:t>
            </w:r>
            <w:r>
              <w:rPr>
                <w:spacing w:val="-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słuchowy,</w:t>
            </w:r>
            <w:r>
              <w:rPr>
                <w:spacing w:val="40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aparat</w:t>
            </w:r>
            <w:r>
              <w:rPr>
                <w:spacing w:val="1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ortodontyczny,</w:t>
            </w:r>
            <w:r>
              <w:rPr>
                <w:spacing w:val="1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pompa</w:t>
            </w:r>
          </w:p>
          <w:p>
            <w:pPr>
              <w:pStyle w:val="TableParagraph"/>
              <w:suppressAutoHyphens w:val="true"/>
              <w:spacing w:lineRule="exact" w:line="113" w:before="0" w:after="0"/>
              <w:ind w:left="123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insulinowa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-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do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300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</w:tr>
      <w:tr>
        <w:trPr>
          <w:trHeight w:val="273" w:hRule="atLeast"/>
        </w:trPr>
        <w:tc>
          <w:tcPr>
            <w:tcW w:w="6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4" w:after="0"/>
              <w:ind w:left="9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spacing w:val="-5"/>
                <w:kern w:val="0"/>
                <w:sz w:val="12"/>
                <w:szCs w:val="22"/>
                <w:lang w:eastAsia="en-US" w:bidi="ar-SA"/>
              </w:rPr>
              <w:t>11</w:t>
            </w:r>
          </w:p>
        </w:tc>
        <w:tc>
          <w:tcPr>
            <w:tcW w:w="4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35"/>
              <w:jc w:val="left"/>
              <w:rPr>
                <w:sz w:val="12"/>
              </w:rPr>
            </w:pP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Śmierć</w:t>
            </w:r>
            <w:r>
              <w:rPr>
                <w:spacing w:val="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opiekuna</w:t>
            </w:r>
            <w:r>
              <w:rPr>
                <w:spacing w:val="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prawnego</w:t>
            </w:r>
            <w:r>
              <w:rPr>
                <w:spacing w:val="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lub</w:t>
            </w:r>
            <w:r>
              <w:rPr>
                <w:spacing w:val="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rodzica</w:t>
            </w:r>
            <w:r>
              <w:rPr>
                <w:spacing w:val="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Ubezpieczonego</w:t>
            </w:r>
            <w:r>
              <w:rPr>
                <w:spacing w:val="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w</w:t>
            </w:r>
            <w:r>
              <w:rPr>
                <w:spacing w:val="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następstwie</w:t>
            </w:r>
            <w:r>
              <w:rPr>
                <w:spacing w:val="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NW</w:t>
            </w:r>
          </w:p>
        </w:tc>
        <w:tc>
          <w:tcPr>
            <w:tcW w:w="10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4" w:after="0"/>
              <w:ind w:left="124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kern w:val="0"/>
                <w:sz w:val="12"/>
                <w:szCs w:val="22"/>
                <w:lang w:eastAsia="en-US" w:bidi="ar-SA"/>
              </w:rPr>
              <w:t>6 250</w:t>
            </w:r>
            <w:r>
              <w:rPr>
                <w:rFonts w:ascii="Arial" w:hAnsi="Arial"/>
                <w:b/>
                <w:i/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  <w:tc>
          <w:tcPr>
            <w:tcW w:w="2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9" w:right="5"/>
              <w:rPr>
                <w:sz w:val="12"/>
              </w:rPr>
            </w:pP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jednorazowo</w:t>
            </w:r>
            <w:r>
              <w:rPr>
                <w:spacing w:val="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100%</w:t>
            </w:r>
            <w:r>
              <w:rPr>
                <w:spacing w:val="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SU</w:t>
            </w:r>
          </w:p>
        </w:tc>
        <w:tc>
          <w:tcPr>
            <w:tcW w:w="1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3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 xml:space="preserve">6 250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</w:tr>
      <w:tr>
        <w:trPr>
          <w:trHeight w:val="273" w:hRule="atLeast"/>
        </w:trPr>
        <w:tc>
          <w:tcPr>
            <w:tcW w:w="6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3" w:after="0"/>
              <w:ind w:left="9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spacing w:val="-5"/>
                <w:kern w:val="0"/>
                <w:sz w:val="12"/>
                <w:szCs w:val="22"/>
                <w:lang w:eastAsia="en-US" w:bidi="ar-SA"/>
              </w:rPr>
              <w:t>12</w:t>
            </w:r>
          </w:p>
        </w:tc>
        <w:tc>
          <w:tcPr>
            <w:tcW w:w="4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lineRule="exact" w:line="133" w:before="0" w:after="0"/>
              <w:ind w:left="135"/>
              <w:jc w:val="left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Zatrucie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pokarmowe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lub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nagłe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zatrucie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gazami,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bądź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porażenie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prądem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lub</w:t>
            </w:r>
          </w:p>
          <w:p>
            <w:pPr>
              <w:pStyle w:val="TableParagraph"/>
              <w:suppressAutoHyphens w:val="true"/>
              <w:spacing w:lineRule="exact" w:line="119" w:before="2" w:after="0"/>
              <w:ind w:left="135"/>
              <w:jc w:val="left"/>
              <w:rPr>
                <w:sz w:val="12"/>
              </w:rPr>
            </w:pP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piorunem</w:t>
            </w:r>
          </w:p>
        </w:tc>
        <w:tc>
          <w:tcPr>
            <w:tcW w:w="10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3" w:after="0"/>
              <w:ind w:left="124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kern w:val="0"/>
                <w:sz w:val="12"/>
                <w:szCs w:val="22"/>
                <w:lang w:eastAsia="en-US" w:bidi="ar-SA"/>
              </w:rPr>
              <w:t>1 250</w:t>
            </w:r>
            <w:r>
              <w:rPr>
                <w:rFonts w:ascii="Arial" w:hAnsi="Arial"/>
                <w:b/>
                <w:i/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spacing w:val="-7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  <w:tc>
          <w:tcPr>
            <w:tcW w:w="2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9" w:right="5"/>
              <w:rPr>
                <w:sz w:val="12"/>
              </w:rPr>
            </w:pP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jednorazowo</w:t>
            </w:r>
            <w:r>
              <w:rPr>
                <w:spacing w:val="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100%</w:t>
            </w:r>
            <w:r>
              <w:rPr>
                <w:spacing w:val="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SU</w:t>
            </w:r>
          </w:p>
        </w:tc>
        <w:tc>
          <w:tcPr>
            <w:tcW w:w="1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3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1 250</w:t>
            </w:r>
            <w:r>
              <w:rPr>
                <w:spacing w:val="-1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</w:tr>
      <w:tr>
        <w:trPr>
          <w:trHeight w:val="273" w:hRule="atLeast"/>
        </w:trPr>
        <w:tc>
          <w:tcPr>
            <w:tcW w:w="6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3" w:after="0"/>
              <w:ind w:left="9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spacing w:val="-5"/>
                <w:kern w:val="0"/>
                <w:sz w:val="12"/>
                <w:szCs w:val="22"/>
                <w:lang w:eastAsia="en-US" w:bidi="ar-SA"/>
              </w:rPr>
              <w:t>13</w:t>
            </w:r>
          </w:p>
        </w:tc>
        <w:tc>
          <w:tcPr>
            <w:tcW w:w="4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lineRule="exact" w:line="133" w:before="0" w:after="0"/>
              <w:ind w:left="135"/>
              <w:jc w:val="left"/>
              <w:rPr>
                <w:sz w:val="12"/>
              </w:rPr>
            </w:pP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Rozpoznanie</w:t>
            </w:r>
            <w:r>
              <w:rPr>
                <w:spacing w:val="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u</w:t>
            </w:r>
            <w:r>
              <w:rPr>
                <w:spacing w:val="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Ubezpieczonego</w:t>
            </w:r>
            <w:r>
              <w:rPr>
                <w:spacing w:val="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chorób</w:t>
            </w:r>
            <w:r>
              <w:rPr>
                <w:spacing w:val="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odzwierzęcych</w:t>
            </w:r>
            <w:r>
              <w:rPr>
                <w:spacing w:val="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(bąblowica,</w:t>
            </w:r>
          </w:p>
          <w:p>
            <w:pPr>
              <w:pStyle w:val="TableParagraph"/>
              <w:suppressAutoHyphens w:val="true"/>
              <w:spacing w:lineRule="exact" w:line="119" w:before="2" w:after="0"/>
              <w:ind w:left="135"/>
              <w:jc w:val="left"/>
              <w:rPr>
                <w:sz w:val="12"/>
              </w:rPr>
            </w:pP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toksoplazmoza,</w:t>
            </w:r>
            <w:r>
              <w:rPr>
                <w:spacing w:val="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wścieklizna)</w:t>
            </w:r>
          </w:p>
        </w:tc>
        <w:tc>
          <w:tcPr>
            <w:tcW w:w="10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3" w:after="0"/>
              <w:ind w:left="124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kern w:val="0"/>
                <w:sz w:val="12"/>
                <w:szCs w:val="22"/>
                <w:lang w:eastAsia="en-US" w:bidi="ar-SA"/>
              </w:rPr>
              <w:t>3 125</w:t>
            </w:r>
            <w:r>
              <w:rPr>
                <w:rFonts w:ascii="Arial" w:hAnsi="Arial"/>
                <w:b/>
                <w:i/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  <w:tc>
          <w:tcPr>
            <w:tcW w:w="2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9" w:right="5"/>
              <w:rPr>
                <w:sz w:val="12"/>
              </w:rPr>
            </w:pP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jednorazowo</w:t>
            </w:r>
            <w:r>
              <w:rPr>
                <w:spacing w:val="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100%</w:t>
            </w:r>
            <w:r>
              <w:rPr>
                <w:spacing w:val="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SU</w:t>
            </w:r>
          </w:p>
        </w:tc>
        <w:tc>
          <w:tcPr>
            <w:tcW w:w="1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3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 xml:space="preserve">3 125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</w:tr>
      <w:tr>
        <w:trPr>
          <w:trHeight w:val="273" w:hRule="atLeast"/>
        </w:trPr>
        <w:tc>
          <w:tcPr>
            <w:tcW w:w="6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3" w:after="0"/>
              <w:ind w:left="9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spacing w:val="-5"/>
                <w:kern w:val="0"/>
                <w:sz w:val="12"/>
                <w:szCs w:val="22"/>
                <w:lang w:eastAsia="en-US" w:bidi="ar-SA"/>
              </w:rPr>
              <w:t>14</w:t>
            </w:r>
          </w:p>
        </w:tc>
        <w:tc>
          <w:tcPr>
            <w:tcW w:w="4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35"/>
              <w:jc w:val="left"/>
              <w:rPr>
                <w:sz w:val="12"/>
              </w:rPr>
            </w:pP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Koszty</w:t>
            </w:r>
            <w:r>
              <w:rPr>
                <w:spacing w:val="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akcji</w:t>
            </w:r>
            <w:r>
              <w:rPr>
                <w:spacing w:val="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poszukiwawczej</w:t>
            </w:r>
            <w:r>
              <w:rPr>
                <w:spacing w:val="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dziecka</w:t>
            </w:r>
          </w:p>
        </w:tc>
        <w:tc>
          <w:tcPr>
            <w:tcW w:w="10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3" w:after="0"/>
              <w:ind w:left="124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kern w:val="0"/>
                <w:sz w:val="12"/>
                <w:szCs w:val="22"/>
                <w:lang w:eastAsia="en-US" w:bidi="ar-SA"/>
              </w:rPr>
              <w:t>6 250</w:t>
            </w:r>
            <w:r>
              <w:rPr>
                <w:rFonts w:ascii="Arial" w:hAnsi="Arial"/>
                <w:b/>
                <w:i/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  <w:tc>
          <w:tcPr>
            <w:tcW w:w="2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30" w:right="5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do</w:t>
            </w:r>
            <w:r>
              <w:rPr>
                <w:spacing w:val="-1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100%</w:t>
            </w:r>
            <w:r>
              <w:rPr>
                <w:spacing w:val="-1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SU</w:t>
            </w:r>
          </w:p>
        </w:tc>
        <w:tc>
          <w:tcPr>
            <w:tcW w:w="1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3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 xml:space="preserve">6 250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</w:tr>
      <w:tr>
        <w:trPr>
          <w:trHeight w:val="273" w:hRule="atLeast"/>
        </w:trPr>
        <w:tc>
          <w:tcPr>
            <w:tcW w:w="63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4" w:after="0"/>
              <w:ind w:left="9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spacing w:val="-5"/>
                <w:kern w:val="0"/>
                <w:sz w:val="12"/>
                <w:szCs w:val="22"/>
                <w:lang w:eastAsia="en-US" w:bidi="ar-SA"/>
              </w:rPr>
              <w:t>15</w:t>
            </w:r>
          </w:p>
        </w:tc>
        <w:tc>
          <w:tcPr>
            <w:tcW w:w="430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35"/>
              <w:jc w:val="left"/>
              <w:rPr>
                <w:sz w:val="12"/>
              </w:rPr>
            </w:pP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Wstrząśnienie mózgu</w:t>
            </w:r>
          </w:p>
        </w:tc>
        <w:tc>
          <w:tcPr>
            <w:tcW w:w="107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4" w:after="0"/>
              <w:ind w:left="124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spacing w:val="-2"/>
                <w:kern w:val="0"/>
                <w:sz w:val="12"/>
                <w:szCs w:val="22"/>
                <w:lang w:eastAsia="en-US" w:bidi="ar-SA"/>
              </w:rPr>
              <w:t xml:space="preserve">625 </w:t>
            </w:r>
            <w:r>
              <w:rPr>
                <w:rFonts w:ascii="Arial" w:hAnsi="Arial"/>
                <w:b/>
                <w:i/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  <w:tc>
          <w:tcPr>
            <w:tcW w:w="277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9" w:right="5"/>
              <w:rPr>
                <w:sz w:val="12"/>
              </w:rPr>
            </w:pP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jednorazowo</w:t>
            </w:r>
            <w:r>
              <w:rPr>
                <w:spacing w:val="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100%</w:t>
            </w:r>
            <w:r>
              <w:rPr>
                <w:spacing w:val="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SU</w:t>
            </w:r>
          </w:p>
        </w:tc>
        <w:tc>
          <w:tcPr>
            <w:tcW w:w="198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3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 xml:space="preserve">625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</w:tr>
    </w:tbl>
    <w:p>
      <w:pPr>
        <w:sectPr>
          <w:type w:val="continuous"/>
          <w:pgSz w:w="11906" w:h="16838"/>
          <w:pgMar w:left="425" w:right="425" w:gutter="0" w:header="0" w:top="180" w:footer="859" w:bottom="1040"/>
          <w:formProt w:val="false"/>
          <w:textDirection w:val="lrTb"/>
          <w:docGrid w:type="default" w:linePitch="312" w:charSpace="4294965247"/>
        </w:sectPr>
      </w:pPr>
    </w:p>
    <w:p>
      <w:pPr>
        <w:pStyle w:val="Normal"/>
        <w:spacing w:lineRule="auto" w:line="278" w:before="83" w:after="0"/>
        <w:ind w:left="450" w:right="9194"/>
        <w:rPr>
          <w:sz w:val="13"/>
        </w:rPr>
      </w:pPr>
      <w:r>
        <w:drawing>
          <wp:anchor distT="0" distB="0" distL="0" distR="0" simplePos="0" relativeHeight="108" behindDoc="0" locked="0" layoutInCell="0" allowOverlap="1">
            <wp:simplePos x="0" y="0"/>
            <wp:positionH relativeFrom="page">
              <wp:posOffset>5661660</wp:posOffset>
            </wp:positionH>
            <wp:positionV relativeFrom="paragraph">
              <wp:posOffset>54610</wp:posOffset>
            </wp:positionV>
            <wp:extent cx="1533525" cy="578485"/>
            <wp:effectExtent l="0" t="0" r="0" b="0"/>
            <wp:wrapNone/>
            <wp:docPr id="14" name="Imag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age 15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33525" cy="5784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  <mc:AlternateContent>
          <mc:Choice Requires="wps">
            <w:drawing>
              <wp:anchor distT="3810" distB="2540" distL="3810" distR="2540" simplePos="0" relativeHeight="109" behindDoc="0" locked="0" layoutInCell="0" allowOverlap="1">
                <wp:simplePos x="0" y="0"/>
                <wp:positionH relativeFrom="page">
                  <wp:posOffset>360045</wp:posOffset>
                </wp:positionH>
                <wp:positionV relativeFrom="paragraph">
                  <wp:posOffset>90170</wp:posOffset>
                </wp:positionV>
                <wp:extent cx="144145" cy="540385"/>
                <wp:effectExtent l="3810" t="3810" r="2540" b="2540"/>
                <wp:wrapNone/>
                <wp:docPr id="15" name="Textbox 16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4000" cy="540360"/>
                        </a:xfrm>
                        <a:prstGeom prst="rect">
                          <a:avLst/>
                        </a:prstGeom>
                        <a:noFill/>
                        <a:ln w="6480">
                          <a:solidFill>
                            <a:srgbClr val="a9a9a9"/>
                          </a:solidFill>
                          <a:prstDash val="sysDash"/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Zawartoramki"/>
                              <w:spacing w:before="61" w:after="0"/>
                              <w:ind w:left="142"/>
                              <w:rPr>
                                <w:sz w:val="8"/>
                              </w:rPr>
                            </w:pPr>
                            <w:r>
                              <w:rPr>
                                <w:color w:val="A9A9A9"/>
                                <w:sz w:val="8"/>
                              </w:rPr>
                              <w:t>Tu</w:t>
                            </w:r>
                            <w:r>
                              <w:rPr>
                                <w:color w:val="A9A9A9"/>
                                <w:spacing w:val="-5"/>
                                <w:sz w:val="8"/>
                              </w:rPr>
                              <w:t xml:space="preserve"> </w:t>
                            </w:r>
                            <w:r>
                              <w:rPr>
                                <w:color w:val="A9A9A9"/>
                                <w:sz w:val="8"/>
                              </w:rPr>
                              <w:t>zepnij</w:t>
                            </w:r>
                            <w:r>
                              <w:rPr>
                                <w:color w:val="A9A9A9"/>
                                <w:spacing w:val="-4"/>
                                <w:sz w:val="8"/>
                              </w:rPr>
                              <w:t xml:space="preserve"> </w:t>
                            </w:r>
                            <w:r>
                              <w:rPr>
                                <w:color w:val="A9A9A9"/>
                                <w:spacing w:val="-2"/>
                                <w:sz w:val="8"/>
                              </w:rPr>
                              <w:t>polisę</w:t>
                            </w:r>
                          </w:p>
                        </w:txbxContent>
                      </wps:txbx>
                      <wps:bodyPr lIns="0" rIns="0" tIns="0" bIns="0" anchor="t" vert="vert27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stroked="t" o:allowincell="f" style="position:absolute;margin-left:28.35pt;margin-top:7.1pt;width:11.3pt;height:42.5pt;mso-wrap-style:square;v-text-anchor:top;mso-position-horizontal-relative:page">
                <v:fill o:detectmouseclick="t" on="false"/>
                <v:stroke color="#a9a9a9" weight="6480" dashstyle="shortdash" joinstyle="round" endcap="flat"/>
                <v:textbox style="mso-layout-flow-alt:bottom-to-top">
                  <w:txbxContent>
                    <w:p>
                      <w:pPr>
                        <w:pStyle w:val="Zawartoramki"/>
                        <w:spacing w:before="61" w:after="0"/>
                        <w:ind w:left="142"/>
                        <w:rPr>
                          <w:sz w:val="8"/>
                        </w:rPr>
                      </w:pPr>
                      <w:r>
                        <w:rPr>
                          <w:color w:val="A9A9A9"/>
                          <w:sz w:val="8"/>
                        </w:rPr>
                        <w:t>Tu</w:t>
                      </w:r>
                      <w:r>
                        <w:rPr>
                          <w:color w:val="A9A9A9"/>
                          <w:spacing w:val="-5"/>
                          <w:sz w:val="8"/>
                        </w:rPr>
                        <w:t xml:space="preserve"> </w:t>
                      </w:r>
                      <w:r>
                        <w:rPr>
                          <w:color w:val="A9A9A9"/>
                          <w:sz w:val="8"/>
                        </w:rPr>
                        <w:t>zepnij</w:t>
                      </w:r>
                      <w:r>
                        <w:rPr>
                          <w:color w:val="A9A9A9"/>
                          <w:spacing w:val="-4"/>
                          <w:sz w:val="8"/>
                        </w:rPr>
                        <w:t xml:space="preserve"> </w:t>
                      </w:r>
                      <w:r>
                        <w:rPr>
                          <w:color w:val="A9A9A9"/>
                          <w:spacing w:val="-2"/>
                          <w:sz w:val="8"/>
                        </w:rPr>
                        <w:t>polisę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>
          <w:sz w:val="13"/>
        </w:rPr>
        <w:t>InterRisk TU S.A.</w:t>
      </w:r>
      <w:r>
        <w:rPr>
          <w:spacing w:val="40"/>
          <w:sz w:val="13"/>
        </w:rPr>
        <w:t xml:space="preserve"> </w:t>
      </w:r>
      <w:r>
        <w:rPr>
          <w:sz w:val="13"/>
        </w:rPr>
        <w:t>Vienna</w:t>
      </w:r>
      <w:r>
        <w:rPr>
          <w:spacing w:val="-9"/>
          <w:sz w:val="13"/>
        </w:rPr>
        <w:t xml:space="preserve"> </w:t>
      </w:r>
      <w:r>
        <w:rPr>
          <w:sz w:val="13"/>
        </w:rPr>
        <w:t>Insurance</w:t>
      </w:r>
      <w:r>
        <w:rPr>
          <w:spacing w:val="-9"/>
          <w:sz w:val="13"/>
        </w:rPr>
        <w:t xml:space="preserve"> </w:t>
      </w:r>
      <w:r>
        <w:rPr>
          <w:sz w:val="13"/>
        </w:rPr>
        <w:t>Group</w:t>
      </w:r>
      <w:r>
        <w:rPr>
          <w:spacing w:val="40"/>
          <w:sz w:val="13"/>
        </w:rPr>
        <w:t xml:space="preserve"> </w:t>
      </w:r>
      <w:r>
        <w:rPr>
          <w:sz w:val="13"/>
        </w:rPr>
        <w:t>Oddział w Olsztynie</w:t>
      </w:r>
    </w:p>
    <w:p>
      <w:pPr>
        <w:pStyle w:val="Normal"/>
        <w:spacing w:lineRule="auto" w:line="245"/>
        <w:ind w:left="450" w:right="7912"/>
        <w:rPr>
          <w:sz w:val="13"/>
        </w:rPr>
      </w:pPr>
      <w:r>
        <w:rPr>
          <w:sz w:val="13"/>
        </w:rPr>
        <w:t>ul.</w:t>
      </w:r>
      <w:r>
        <w:rPr>
          <w:spacing w:val="-6"/>
          <w:sz w:val="13"/>
        </w:rPr>
        <w:t xml:space="preserve"> </w:t>
      </w:r>
      <w:r>
        <w:rPr>
          <w:sz w:val="13"/>
        </w:rPr>
        <w:t>Dąbrowszczaków</w:t>
      </w:r>
      <w:r>
        <w:rPr>
          <w:spacing w:val="-6"/>
          <w:sz w:val="13"/>
        </w:rPr>
        <w:t xml:space="preserve"> </w:t>
      </w:r>
      <w:r>
        <w:rPr>
          <w:sz w:val="13"/>
        </w:rPr>
        <w:t>21</w:t>
      </w:r>
      <w:r>
        <w:rPr>
          <w:spacing w:val="-6"/>
          <w:sz w:val="13"/>
        </w:rPr>
        <w:t xml:space="preserve"> </w:t>
      </w:r>
      <w:r>
        <w:rPr>
          <w:sz w:val="13"/>
        </w:rPr>
        <w:t>lok.</w:t>
      </w:r>
      <w:r>
        <w:rPr>
          <w:spacing w:val="-6"/>
          <w:sz w:val="13"/>
        </w:rPr>
        <w:t xml:space="preserve"> </w:t>
      </w:r>
      <w:r>
        <w:rPr>
          <w:sz w:val="13"/>
        </w:rPr>
        <w:t>406,</w:t>
      </w:r>
      <w:r>
        <w:rPr>
          <w:spacing w:val="-6"/>
          <w:sz w:val="13"/>
        </w:rPr>
        <w:t xml:space="preserve"> </w:t>
      </w:r>
      <w:r>
        <w:rPr>
          <w:sz w:val="13"/>
        </w:rPr>
        <w:t>10-540</w:t>
      </w:r>
      <w:r>
        <w:rPr>
          <w:spacing w:val="40"/>
          <w:sz w:val="13"/>
        </w:rPr>
        <w:t xml:space="preserve"> </w:t>
      </w:r>
      <w:r>
        <w:rPr>
          <w:spacing w:val="-2"/>
          <w:sz w:val="13"/>
        </w:rPr>
        <w:t>Olsztyn</w:t>
      </w:r>
    </w:p>
    <w:p>
      <w:pPr>
        <w:pStyle w:val="Normal"/>
        <w:spacing w:lineRule="exact" w:line="146"/>
        <w:ind w:left="450"/>
        <w:rPr>
          <w:sz w:val="13"/>
        </w:rPr>
      </w:pPr>
      <w:r>
        <w:rPr>
          <w:sz w:val="13"/>
        </w:rPr>
        <w:t>tel.</w:t>
      </w:r>
      <w:r>
        <w:rPr>
          <w:spacing w:val="-1"/>
          <w:sz w:val="13"/>
        </w:rPr>
        <w:t xml:space="preserve"> </w:t>
      </w:r>
      <w:r>
        <w:rPr>
          <w:sz w:val="13"/>
        </w:rPr>
        <w:t>(89)</w:t>
      </w:r>
      <w:r>
        <w:rPr>
          <w:spacing w:val="-1"/>
          <w:sz w:val="13"/>
        </w:rPr>
        <w:t xml:space="preserve"> </w:t>
      </w:r>
      <w:r>
        <w:rPr>
          <w:sz w:val="13"/>
        </w:rPr>
        <w:t>537</w:t>
      </w:r>
      <w:r>
        <w:rPr>
          <w:spacing w:val="-1"/>
          <w:sz w:val="13"/>
        </w:rPr>
        <w:t xml:space="preserve"> </w:t>
      </w:r>
      <w:r>
        <w:rPr>
          <w:sz w:val="13"/>
        </w:rPr>
        <w:t>00</w:t>
      </w:r>
      <w:r>
        <w:rPr>
          <w:spacing w:val="-1"/>
          <w:sz w:val="13"/>
        </w:rPr>
        <w:t xml:space="preserve"> </w:t>
      </w:r>
      <w:r>
        <w:rPr>
          <w:sz w:val="13"/>
        </w:rPr>
        <w:t>88,</w:t>
      </w:r>
      <w:r>
        <w:rPr>
          <w:spacing w:val="-1"/>
          <w:sz w:val="13"/>
        </w:rPr>
        <w:t xml:space="preserve"> </w:t>
      </w:r>
      <w:r>
        <w:rPr>
          <w:spacing w:val="-4"/>
          <w:sz w:val="13"/>
        </w:rPr>
        <w:t>fax.</w:t>
      </w:r>
    </w:p>
    <w:p>
      <w:pPr>
        <w:pStyle w:val="BodyText"/>
        <w:spacing w:before="3" w:after="0"/>
        <w:rPr>
          <w:sz w:val="10"/>
        </w:rPr>
      </w:pPr>
      <w:r>
        <w:rPr>
          <w:sz w:val="10"/>
        </w:rPr>
      </w:r>
    </w:p>
    <w:tbl>
      <w:tblPr>
        <w:tblW w:w="10769" w:type="dxa"/>
        <w:jc w:val="left"/>
        <w:tblInd w:w="157" w:type="dxa"/>
        <w:tblLayout w:type="fixed"/>
        <w:tblCellMar>
          <w:top w:w="0" w:type="dxa"/>
          <w:left w:w="5" w:type="dxa"/>
          <w:bottom w:w="0" w:type="dxa"/>
          <w:right w:w="5" w:type="dxa"/>
        </w:tblCellMar>
      </w:tblPr>
      <w:tblGrid>
        <w:gridCol w:w="4932"/>
        <w:gridCol w:w="1077"/>
        <w:gridCol w:w="2778"/>
        <w:gridCol w:w="1982"/>
      </w:tblGrid>
      <w:tr>
        <w:trPr>
          <w:trHeight w:val="556" w:hRule="atLeast"/>
        </w:trPr>
        <w:tc>
          <w:tcPr>
            <w:tcW w:w="49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113" w:after="0"/>
              <w:ind w:hanging="774" w:left="929"/>
              <w:jc w:val="left"/>
              <w:rPr>
                <w:rFonts w:ascii="Arial" w:hAnsi="Arial"/>
                <w:b/>
                <w:i/>
                <w:sz w:val="14"/>
              </w:rPr>
            </w:pPr>
            <w:r>
              <w:rPr>
                <w:rFonts w:ascii="Arial" w:hAnsi="Arial"/>
                <w:b/>
                <w:i/>
                <w:kern w:val="0"/>
                <w:sz w:val="14"/>
                <w:szCs w:val="22"/>
                <w:lang w:eastAsia="en-US" w:bidi="ar-SA"/>
              </w:rPr>
              <w:t>Opcje</w:t>
            </w:r>
            <w:r>
              <w:rPr>
                <w:rFonts w:ascii="Arial" w:hAnsi="Arial"/>
                <w:b/>
                <w:i/>
                <w:spacing w:val="-6"/>
                <w:kern w:val="0"/>
                <w:sz w:val="14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kern w:val="0"/>
                <w:sz w:val="14"/>
                <w:szCs w:val="22"/>
                <w:lang w:eastAsia="en-US" w:bidi="ar-SA"/>
              </w:rPr>
              <w:t>dodatkowe</w:t>
            </w:r>
            <w:r>
              <w:rPr>
                <w:rFonts w:ascii="Arial" w:hAnsi="Arial"/>
                <w:b/>
                <w:i/>
                <w:spacing w:val="-6"/>
                <w:kern w:val="0"/>
                <w:sz w:val="14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kern w:val="0"/>
                <w:sz w:val="14"/>
                <w:szCs w:val="22"/>
                <w:lang w:eastAsia="en-US" w:bidi="ar-SA"/>
              </w:rPr>
              <w:t>–</w:t>
            </w:r>
            <w:r>
              <w:rPr>
                <w:rFonts w:ascii="Arial" w:hAnsi="Arial"/>
                <w:b/>
                <w:i/>
                <w:spacing w:val="-6"/>
                <w:kern w:val="0"/>
                <w:sz w:val="14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kern w:val="0"/>
                <w:sz w:val="14"/>
                <w:szCs w:val="22"/>
                <w:lang w:eastAsia="en-US" w:bidi="ar-SA"/>
              </w:rPr>
              <w:t>UWAGA:</w:t>
            </w:r>
            <w:r>
              <w:rPr>
                <w:rFonts w:ascii="Arial" w:hAnsi="Arial"/>
                <w:b/>
                <w:i/>
                <w:spacing w:val="-6"/>
                <w:kern w:val="0"/>
                <w:sz w:val="14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kern w:val="0"/>
                <w:sz w:val="14"/>
                <w:szCs w:val="22"/>
                <w:lang w:eastAsia="en-US" w:bidi="ar-SA"/>
              </w:rPr>
              <w:t>ŚWIADCZENIA</w:t>
            </w:r>
            <w:r>
              <w:rPr>
                <w:rFonts w:ascii="Arial" w:hAnsi="Arial"/>
                <w:b/>
                <w:i/>
                <w:spacing w:val="-6"/>
                <w:kern w:val="0"/>
                <w:sz w:val="14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kern w:val="0"/>
                <w:sz w:val="14"/>
                <w:szCs w:val="22"/>
                <w:lang w:eastAsia="en-US" w:bidi="ar-SA"/>
              </w:rPr>
              <w:t>OPCJI</w:t>
            </w:r>
            <w:r>
              <w:rPr>
                <w:rFonts w:ascii="Arial" w:hAnsi="Arial"/>
                <w:b/>
                <w:i/>
                <w:spacing w:val="-6"/>
                <w:kern w:val="0"/>
                <w:sz w:val="14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kern w:val="0"/>
                <w:sz w:val="14"/>
                <w:szCs w:val="22"/>
                <w:lang w:eastAsia="en-US" w:bidi="ar-SA"/>
              </w:rPr>
              <w:t>DODATKOWYCH</w:t>
            </w:r>
            <w:r>
              <w:rPr>
                <w:rFonts w:ascii="Arial" w:hAnsi="Arial"/>
                <w:b/>
                <w:i/>
                <w:spacing w:val="-6"/>
                <w:kern w:val="0"/>
                <w:sz w:val="14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kern w:val="0"/>
                <w:sz w:val="14"/>
                <w:szCs w:val="22"/>
                <w:lang w:eastAsia="en-US" w:bidi="ar-SA"/>
              </w:rPr>
              <w:t>I</w:t>
            </w:r>
            <w:r>
              <w:rPr>
                <w:rFonts w:ascii="Arial" w:hAnsi="Arial"/>
                <w:b/>
                <w:i/>
                <w:spacing w:val="40"/>
                <w:kern w:val="0"/>
                <w:sz w:val="14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kern w:val="0"/>
                <w:sz w:val="14"/>
                <w:szCs w:val="22"/>
                <w:lang w:eastAsia="en-US" w:bidi="ar-SA"/>
              </w:rPr>
              <w:t>WYBRANEJ POWYŻEJ OPCJI KUMULUJĄ SIĘ</w:t>
            </w:r>
          </w:p>
        </w:tc>
        <w:tc>
          <w:tcPr>
            <w:tcW w:w="10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113" w:after="0"/>
              <w:ind w:firstLine="283" w:left="64"/>
              <w:jc w:val="left"/>
              <w:rPr>
                <w:rFonts w:ascii="Arial" w:hAnsi="Arial"/>
                <w:b/>
                <w:i/>
                <w:sz w:val="14"/>
              </w:rPr>
            </w:pPr>
            <w:r>
              <w:rPr>
                <w:rFonts w:ascii="Arial" w:hAnsi="Arial"/>
                <w:b/>
                <w:i/>
                <w:spacing w:val="-4"/>
                <w:kern w:val="0"/>
                <w:sz w:val="14"/>
                <w:szCs w:val="22"/>
                <w:lang w:eastAsia="en-US" w:bidi="ar-SA"/>
              </w:rPr>
              <w:t>Suma</w:t>
            </w:r>
            <w:r>
              <w:rPr>
                <w:rFonts w:ascii="Arial" w:hAnsi="Arial"/>
                <w:b/>
                <w:i/>
                <w:spacing w:val="40"/>
                <w:kern w:val="0"/>
                <w:sz w:val="14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spacing w:val="-2"/>
                <w:kern w:val="0"/>
                <w:sz w:val="14"/>
                <w:szCs w:val="22"/>
                <w:lang w:eastAsia="en-US" w:bidi="ar-SA"/>
              </w:rPr>
              <w:t>ubezpieczenia</w:t>
            </w:r>
          </w:p>
        </w:tc>
        <w:tc>
          <w:tcPr>
            <w:tcW w:w="27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34" w:after="0"/>
              <w:jc w:val="left"/>
              <w:rPr>
                <w:sz w:val="14"/>
              </w:rPr>
            </w:pPr>
            <w:r>
              <w:rPr>
                <w:sz w:val="14"/>
              </w:rPr>
            </w:r>
          </w:p>
          <w:p>
            <w:pPr>
              <w:pStyle w:val="TableParagraph"/>
              <w:suppressAutoHyphens w:val="true"/>
              <w:spacing w:before="1" w:after="0"/>
              <w:ind w:left="10"/>
              <w:rPr>
                <w:rFonts w:ascii="Arial" w:hAnsi="Arial"/>
                <w:b/>
                <w:i/>
                <w:sz w:val="14"/>
              </w:rPr>
            </w:pPr>
            <w:r>
              <w:rPr>
                <w:rFonts w:ascii="Arial" w:hAnsi="Arial"/>
                <w:b/>
                <w:i/>
                <w:kern w:val="0"/>
                <w:sz w:val="14"/>
                <w:szCs w:val="22"/>
                <w:lang w:eastAsia="en-US" w:bidi="ar-SA"/>
              </w:rPr>
              <w:t>Wysokość</w:t>
            </w:r>
            <w:r>
              <w:rPr>
                <w:rFonts w:ascii="Arial" w:hAnsi="Arial"/>
                <w:b/>
                <w:i/>
                <w:spacing w:val="-9"/>
                <w:kern w:val="0"/>
                <w:sz w:val="14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kern w:val="0"/>
                <w:sz w:val="14"/>
                <w:szCs w:val="22"/>
                <w:lang w:eastAsia="en-US" w:bidi="ar-SA"/>
              </w:rPr>
              <w:t>świadczenia</w:t>
            </w:r>
            <w:r>
              <w:rPr>
                <w:rFonts w:ascii="Arial" w:hAnsi="Arial"/>
                <w:b/>
                <w:i/>
                <w:spacing w:val="-7"/>
                <w:kern w:val="0"/>
                <w:sz w:val="14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kern w:val="0"/>
                <w:sz w:val="14"/>
                <w:szCs w:val="22"/>
                <w:lang w:eastAsia="en-US" w:bidi="ar-SA"/>
              </w:rPr>
              <w:t>w</w:t>
            </w:r>
            <w:r>
              <w:rPr>
                <w:rFonts w:ascii="Arial" w:hAnsi="Arial"/>
                <w:b/>
                <w:i/>
                <w:spacing w:val="-6"/>
                <w:kern w:val="0"/>
                <w:sz w:val="14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spacing w:val="-10"/>
                <w:kern w:val="0"/>
                <w:sz w:val="14"/>
                <w:szCs w:val="22"/>
                <w:lang w:eastAsia="en-US" w:bidi="ar-SA"/>
              </w:rPr>
              <w:t>%</w:t>
            </w:r>
          </w:p>
        </w:tc>
        <w:tc>
          <w:tcPr>
            <w:tcW w:w="1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34" w:after="0"/>
              <w:jc w:val="left"/>
              <w:rPr>
                <w:sz w:val="14"/>
              </w:rPr>
            </w:pPr>
            <w:r>
              <w:rPr>
                <w:sz w:val="14"/>
              </w:rPr>
            </w:r>
          </w:p>
          <w:p>
            <w:pPr>
              <w:pStyle w:val="TableParagraph"/>
              <w:suppressAutoHyphens w:val="true"/>
              <w:spacing w:before="1" w:after="0"/>
              <w:ind w:left="82" w:right="32"/>
              <w:rPr>
                <w:rFonts w:ascii="Arial" w:hAnsi="Arial"/>
                <w:b/>
                <w:i/>
                <w:sz w:val="14"/>
              </w:rPr>
            </w:pPr>
            <w:r>
              <w:rPr>
                <w:rFonts w:ascii="Arial" w:hAnsi="Arial"/>
                <w:b/>
                <w:i/>
                <w:kern w:val="0"/>
                <w:sz w:val="14"/>
                <w:szCs w:val="22"/>
                <w:lang w:eastAsia="en-US" w:bidi="ar-SA"/>
              </w:rPr>
              <w:t>Wysokość</w:t>
            </w:r>
            <w:r>
              <w:rPr>
                <w:rFonts w:ascii="Arial" w:hAnsi="Arial"/>
                <w:b/>
                <w:i/>
                <w:spacing w:val="-9"/>
                <w:kern w:val="0"/>
                <w:sz w:val="14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kern w:val="0"/>
                <w:sz w:val="14"/>
                <w:szCs w:val="22"/>
                <w:lang w:eastAsia="en-US" w:bidi="ar-SA"/>
              </w:rPr>
              <w:t>świadczenia</w:t>
            </w:r>
            <w:r>
              <w:rPr>
                <w:rFonts w:ascii="Arial" w:hAnsi="Arial"/>
                <w:b/>
                <w:i/>
                <w:spacing w:val="-7"/>
                <w:kern w:val="0"/>
                <w:sz w:val="14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kern w:val="0"/>
                <w:sz w:val="14"/>
                <w:szCs w:val="22"/>
                <w:lang w:eastAsia="en-US" w:bidi="ar-SA"/>
              </w:rPr>
              <w:t>w</w:t>
            </w:r>
            <w:r>
              <w:rPr>
                <w:rFonts w:ascii="Arial" w:hAnsi="Arial"/>
                <w:b/>
                <w:i/>
                <w:spacing w:val="-6"/>
                <w:kern w:val="0"/>
                <w:sz w:val="14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spacing w:val="-5"/>
                <w:kern w:val="0"/>
                <w:sz w:val="14"/>
                <w:szCs w:val="22"/>
                <w:lang w:eastAsia="en-US" w:bidi="ar-SA"/>
              </w:rPr>
              <w:t>zł</w:t>
            </w:r>
          </w:p>
        </w:tc>
      </w:tr>
      <w:tr>
        <w:trPr>
          <w:trHeight w:val="273" w:hRule="atLeast"/>
        </w:trPr>
        <w:tc>
          <w:tcPr>
            <w:tcW w:w="49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lineRule="exact" w:line="133" w:before="0" w:after="0"/>
              <w:ind w:left="136"/>
              <w:jc w:val="left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Opcja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Dodatkowa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D1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-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Śmierć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Ubezpieczonego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następstwie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wypadku</w:t>
            </w:r>
          </w:p>
          <w:p>
            <w:pPr>
              <w:pStyle w:val="TableParagraph"/>
              <w:suppressAutoHyphens w:val="true"/>
              <w:spacing w:lineRule="exact" w:line="119" w:before="2" w:after="0"/>
              <w:ind w:left="136"/>
              <w:jc w:val="left"/>
              <w:rPr>
                <w:sz w:val="12"/>
              </w:rPr>
            </w:pP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komunikacyjnego</w:t>
            </w:r>
          </w:p>
        </w:tc>
        <w:tc>
          <w:tcPr>
            <w:tcW w:w="10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4" w:right="109"/>
              <w:rPr>
                <w:sz w:val="12"/>
              </w:rPr>
            </w:pP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75 </w:t>
            </w:r>
            <w:r>
              <w:rPr>
                <w:kern w:val="0"/>
                <w:sz w:val="12"/>
                <w:szCs w:val="22"/>
                <w:lang w:eastAsia="en-US" w:bidi="ar-SA"/>
              </w:rPr>
              <w:t>000,00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  <w:tc>
          <w:tcPr>
            <w:tcW w:w="27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7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100%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SU</w:t>
            </w:r>
          </w:p>
        </w:tc>
        <w:tc>
          <w:tcPr>
            <w:tcW w:w="1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5"/>
              <w:rPr>
                <w:sz w:val="12"/>
              </w:rPr>
            </w:pPr>
            <w:r>
              <w:rPr>
                <w:spacing w:val="-1"/>
                <w:kern w:val="0"/>
                <w:sz w:val="12"/>
                <w:szCs w:val="22"/>
                <w:lang w:eastAsia="en-US" w:bidi="ar-SA"/>
              </w:rPr>
              <w:t xml:space="preserve">75 </w:t>
            </w:r>
            <w:r>
              <w:rPr>
                <w:kern w:val="0"/>
                <w:sz w:val="12"/>
                <w:szCs w:val="22"/>
                <w:lang w:eastAsia="en-US" w:bidi="ar-SA"/>
              </w:rPr>
              <w:t xml:space="preserve">000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</w:tr>
      <w:tr>
        <w:trPr>
          <w:trHeight w:val="273" w:hRule="atLeast"/>
        </w:trPr>
        <w:tc>
          <w:tcPr>
            <w:tcW w:w="49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36"/>
              <w:jc w:val="left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Opcja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Dodatkowa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D2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-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Oparzenia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i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odmrożenia</w:t>
            </w:r>
          </w:p>
        </w:tc>
        <w:tc>
          <w:tcPr>
            <w:tcW w:w="10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4" w:right="109"/>
              <w:rPr>
                <w:sz w:val="12"/>
              </w:rPr>
            </w:pP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5 0</w:t>
            </w:r>
            <w:r>
              <w:rPr>
                <w:kern w:val="0"/>
                <w:sz w:val="12"/>
                <w:szCs w:val="22"/>
                <w:lang w:eastAsia="en-US" w:bidi="ar-SA"/>
              </w:rPr>
              <w:t>00,00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  <w:tc>
          <w:tcPr>
            <w:tcW w:w="27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lineRule="exact" w:line="133" w:before="0" w:after="0"/>
              <w:ind w:left="124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II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stopień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-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10%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SU;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III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stopień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-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30%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SU;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IV</w:t>
            </w:r>
          </w:p>
          <w:p>
            <w:pPr>
              <w:pStyle w:val="TableParagraph"/>
              <w:suppressAutoHyphens w:val="true"/>
              <w:spacing w:lineRule="exact" w:line="119" w:before="2" w:after="0"/>
              <w:ind w:left="126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stopień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-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50%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SU</w:t>
            </w:r>
          </w:p>
        </w:tc>
        <w:tc>
          <w:tcPr>
            <w:tcW w:w="1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4"/>
              <w:rPr>
                <w:sz w:val="12"/>
              </w:rPr>
            </w:pPr>
            <w:r>
              <w:rPr>
                <w:spacing w:val="-1"/>
                <w:kern w:val="0"/>
                <w:sz w:val="12"/>
                <w:szCs w:val="22"/>
                <w:lang w:eastAsia="en-US" w:bidi="ar-SA"/>
              </w:rPr>
              <w:t xml:space="preserve">500 </w:t>
            </w:r>
            <w:r>
              <w:rPr>
                <w:kern w:val="0"/>
                <w:sz w:val="12"/>
                <w:szCs w:val="22"/>
                <w:lang w:eastAsia="en-US" w:bidi="ar-SA"/>
              </w:rPr>
              <w:t>zł</w:t>
            </w:r>
            <w:r>
              <w:rPr>
                <w:spacing w:val="-1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lub 1 500</w:t>
            </w:r>
            <w:r>
              <w:rPr>
                <w:spacing w:val="-1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zł lub</w:t>
            </w:r>
            <w:r>
              <w:rPr>
                <w:spacing w:val="-1"/>
                <w:kern w:val="0"/>
                <w:sz w:val="12"/>
                <w:szCs w:val="22"/>
                <w:lang w:eastAsia="en-US" w:bidi="ar-SA"/>
              </w:rPr>
              <w:t xml:space="preserve"> 2 500</w:t>
            </w:r>
            <w:r>
              <w:rPr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</w:tr>
      <w:tr>
        <w:trPr>
          <w:trHeight w:val="273" w:hRule="atLeast"/>
        </w:trPr>
        <w:tc>
          <w:tcPr>
            <w:tcW w:w="49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36"/>
              <w:jc w:val="left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Opcja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Dodatkowa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D3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-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Pobyt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szpitalu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wyniku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nieszczęśliwego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wypadku</w:t>
            </w:r>
          </w:p>
        </w:tc>
        <w:tc>
          <w:tcPr>
            <w:tcW w:w="10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4" w:right="109"/>
              <w:rPr>
                <w:kern w:val="0"/>
                <w:sz w:val="22"/>
                <w:szCs w:val="22"/>
                <w:shd w:fill="auto" w:val="clear"/>
                <w:lang w:eastAsia="en-US" w:bidi="ar-SA"/>
              </w:rPr>
            </w:pP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18</w:t>
            </w:r>
            <w:r>
              <w:rPr>
                <w:spacing w:val="-2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000,00</w:t>
            </w:r>
            <w:r>
              <w:rPr>
                <w:spacing w:val="-2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</w:t>
            </w:r>
            <w:r>
              <w:rPr>
                <w:spacing w:val="-7"/>
                <w:kern w:val="0"/>
                <w:sz w:val="12"/>
                <w:szCs w:val="22"/>
                <w:shd w:fill="auto" w:val="clear"/>
                <w:lang w:eastAsia="en-US" w:bidi="ar-SA"/>
              </w:rPr>
              <w:t>zł</w:t>
            </w:r>
          </w:p>
        </w:tc>
        <w:tc>
          <w:tcPr>
            <w:tcW w:w="27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6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1% SU /</w:t>
            </w:r>
            <w:r>
              <w:rPr>
                <w:spacing w:val="1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dzień</w:t>
            </w:r>
          </w:p>
        </w:tc>
        <w:tc>
          <w:tcPr>
            <w:tcW w:w="1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5"/>
              <w:rPr>
                <w:kern w:val="0"/>
                <w:sz w:val="22"/>
                <w:szCs w:val="22"/>
                <w:shd w:fill="auto" w:val="clear"/>
                <w:lang w:eastAsia="en-US" w:bidi="ar-SA"/>
              </w:rPr>
            </w:pP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180</w:t>
            </w:r>
            <w:r>
              <w:rPr>
                <w:spacing w:val="-1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shd w:fill="auto" w:val="clear"/>
                <w:lang w:eastAsia="en-US" w:bidi="ar-SA"/>
              </w:rPr>
              <w:t>zł</w:t>
            </w:r>
          </w:p>
        </w:tc>
      </w:tr>
      <w:tr>
        <w:trPr>
          <w:trHeight w:val="273" w:hRule="atLeast"/>
        </w:trPr>
        <w:tc>
          <w:tcPr>
            <w:tcW w:w="49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36"/>
              <w:jc w:val="left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Opcja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Dodatkowa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D4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-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Pobytu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szpitalu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wyniku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choroby</w:t>
            </w:r>
          </w:p>
        </w:tc>
        <w:tc>
          <w:tcPr>
            <w:tcW w:w="10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4" w:right="109"/>
              <w:rPr>
                <w:kern w:val="0"/>
                <w:sz w:val="22"/>
                <w:szCs w:val="22"/>
                <w:shd w:fill="auto" w:val="clear"/>
                <w:lang w:eastAsia="en-US" w:bidi="ar-SA"/>
              </w:rPr>
            </w:pP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13</w:t>
            </w:r>
            <w:r>
              <w:rPr>
                <w:spacing w:val="-2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000,00</w:t>
            </w:r>
            <w:r>
              <w:rPr>
                <w:spacing w:val="-2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</w:t>
            </w:r>
            <w:r>
              <w:rPr>
                <w:spacing w:val="-7"/>
                <w:kern w:val="0"/>
                <w:sz w:val="12"/>
                <w:szCs w:val="22"/>
                <w:shd w:fill="auto" w:val="clear"/>
                <w:lang w:eastAsia="en-US" w:bidi="ar-SA"/>
              </w:rPr>
              <w:t>zł</w:t>
            </w:r>
          </w:p>
        </w:tc>
        <w:tc>
          <w:tcPr>
            <w:tcW w:w="27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6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1% SU /</w:t>
            </w:r>
            <w:r>
              <w:rPr>
                <w:spacing w:val="1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dzień</w:t>
            </w:r>
          </w:p>
        </w:tc>
        <w:tc>
          <w:tcPr>
            <w:tcW w:w="1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5"/>
              <w:rPr>
                <w:kern w:val="0"/>
                <w:sz w:val="22"/>
                <w:szCs w:val="22"/>
                <w:shd w:fill="auto" w:val="clear"/>
                <w:lang w:eastAsia="en-US" w:bidi="ar-SA"/>
              </w:rPr>
            </w:pP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130</w:t>
            </w:r>
            <w:r>
              <w:rPr>
                <w:spacing w:val="-1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shd w:fill="auto" w:val="clear"/>
                <w:lang w:eastAsia="en-US" w:bidi="ar-SA"/>
              </w:rPr>
              <w:t>zł</w:t>
            </w:r>
          </w:p>
        </w:tc>
      </w:tr>
      <w:tr>
        <w:trPr>
          <w:trHeight w:val="273" w:hRule="atLeast"/>
        </w:trPr>
        <w:tc>
          <w:tcPr>
            <w:tcW w:w="49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36"/>
              <w:jc w:val="left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Opcja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Dodatkowa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D5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-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Poważne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Choroby</w:t>
            </w:r>
          </w:p>
        </w:tc>
        <w:tc>
          <w:tcPr>
            <w:tcW w:w="10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4" w:right="109"/>
              <w:rPr>
                <w:sz w:val="12"/>
              </w:rPr>
            </w:pP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3 00</w:t>
            </w:r>
            <w:r>
              <w:rPr>
                <w:kern w:val="0"/>
                <w:sz w:val="12"/>
                <w:szCs w:val="22"/>
                <w:lang w:eastAsia="en-US" w:bidi="ar-SA"/>
              </w:rPr>
              <w:t>0,00</w:t>
            </w:r>
            <w:r>
              <w:rPr>
                <w:spacing w:val="-1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  <w:tc>
          <w:tcPr>
            <w:tcW w:w="27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7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100%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SU</w:t>
            </w:r>
          </w:p>
        </w:tc>
        <w:tc>
          <w:tcPr>
            <w:tcW w:w="1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5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 xml:space="preserve">3 000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</w:tr>
      <w:tr>
        <w:trPr>
          <w:trHeight w:val="679" w:hRule="atLeast"/>
        </w:trPr>
        <w:tc>
          <w:tcPr>
            <w:tcW w:w="49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133" w:after="0"/>
              <w:jc w:val="left"/>
              <w:rPr>
                <w:sz w:val="12"/>
              </w:rPr>
            </w:pPr>
            <w:r>
              <w:rPr>
                <w:sz w:val="12"/>
              </w:rPr>
            </w:r>
          </w:p>
          <w:p>
            <w:pPr>
              <w:pStyle w:val="TableParagraph"/>
              <w:suppressAutoHyphens w:val="true"/>
              <w:spacing w:before="0" w:after="0"/>
              <w:ind w:left="136"/>
              <w:jc w:val="left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Opcja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Dodatkowa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D8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-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Koszty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leczenia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wyniku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nieszczęśliwego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wypadku</w:t>
            </w:r>
          </w:p>
        </w:tc>
        <w:tc>
          <w:tcPr>
            <w:tcW w:w="10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133" w:after="0"/>
              <w:jc w:val="left"/>
              <w:rPr>
                <w:sz w:val="12"/>
              </w:rPr>
            </w:pPr>
            <w:r>
              <w:rPr>
                <w:sz w:val="12"/>
              </w:rPr>
            </w:r>
          </w:p>
          <w:p>
            <w:pPr>
              <w:pStyle w:val="TableParagraph"/>
              <w:suppressAutoHyphens w:val="true"/>
              <w:spacing w:before="0" w:after="0"/>
              <w:ind w:left="124" w:right="109"/>
              <w:rPr>
                <w:sz w:val="12"/>
              </w:rPr>
            </w:pP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5 25</w:t>
            </w:r>
            <w:r>
              <w:rPr>
                <w:kern w:val="0"/>
                <w:sz w:val="12"/>
                <w:szCs w:val="22"/>
                <w:lang w:eastAsia="en-US" w:bidi="ar-SA"/>
              </w:rPr>
              <w:t>0,00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  <w:tc>
          <w:tcPr>
            <w:tcW w:w="27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2" w:after="0"/>
              <w:ind w:left="125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do</w:t>
            </w:r>
            <w:r>
              <w:rPr>
                <w:spacing w:val="-1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100% SU</w:t>
            </w:r>
            <w:r>
              <w:rPr>
                <w:spacing w:val="-1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 xml:space="preserve">za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wyjątkiem:</w:t>
            </w:r>
          </w:p>
          <w:p>
            <w:pPr>
              <w:pStyle w:val="TableParagraph"/>
              <w:suppressAutoHyphens w:val="true"/>
              <w:spacing w:before="4" w:after="0"/>
              <w:jc w:val="left"/>
              <w:rPr>
                <w:sz w:val="12"/>
              </w:rPr>
            </w:pPr>
            <w:r>
              <w:rPr>
                <w:sz w:val="12"/>
              </w:rPr>
            </w:r>
          </w:p>
          <w:p>
            <w:pPr>
              <w:pStyle w:val="TableParagraph"/>
              <w:suppressAutoHyphens w:val="true"/>
              <w:spacing w:before="0" w:after="0"/>
              <w:ind w:left="126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-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kosztów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rehabilitacji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do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50%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SU</w:t>
            </w:r>
          </w:p>
          <w:p>
            <w:pPr>
              <w:pStyle w:val="TableParagraph"/>
              <w:suppressAutoHyphens w:val="true"/>
              <w:spacing w:before="2" w:after="0"/>
              <w:ind w:left="126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-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kosztów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operacji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plastycznych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do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200%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SU</w:t>
            </w:r>
          </w:p>
        </w:tc>
        <w:tc>
          <w:tcPr>
            <w:tcW w:w="1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lineRule="auto" w:line="245" w:before="0" w:after="0"/>
              <w:ind w:left="159" w:right="32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Do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5 250 </w:t>
            </w:r>
            <w:r>
              <w:rPr>
                <w:kern w:val="0"/>
                <w:sz w:val="12"/>
                <w:szCs w:val="22"/>
                <w:lang w:eastAsia="en-US" w:bidi="ar-SA"/>
              </w:rPr>
              <w:t>zł,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za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wyjątkiem</w:t>
            </w:r>
            <w:r>
              <w:rPr>
                <w:spacing w:val="40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kosztów:</w:t>
            </w:r>
          </w:p>
          <w:p>
            <w:pPr>
              <w:pStyle w:val="TableParagraph"/>
              <w:suppressAutoHyphens w:val="true"/>
              <w:spacing w:lineRule="exact" w:line="135" w:before="0" w:after="0"/>
              <w:ind w:left="125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-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rehabilitacji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do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2 625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  <w:p>
            <w:pPr>
              <w:pStyle w:val="TableParagraph"/>
              <w:suppressAutoHyphens w:val="true"/>
              <w:spacing w:lineRule="atLeast" w:line="130" w:before="0" w:after="0"/>
              <w:ind w:right="29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-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operacji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plastycznych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do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10 500</w:t>
            </w:r>
            <w:r>
              <w:rPr>
                <w:spacing w:val="40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</w:tr>
      <w:tr>
        <w:trPr>
          <w:trHeight w:val="270" w:hRule="atLeast"/>
        </w:trPr>
        <w:tc>
          <w:tcPr>
            <w:tcW w:w="49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2" w:after="0"/>
              <w:ind w:left="136"/>
              <w:jc w:val="left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Opcja</w:t>
            </w:r>
            <w:r>
              <w:rPr>
                <w:spacing w:val="-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Dodatkowa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D11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-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Uciążliwe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leczenie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wyniku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nieszczęśliwego</w:t>
            </w:r>
            <w:r>
              <w:rPr>
                <w:spacing w:val="-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wypadku</w:t>
            </w:r>
          </w:p>
        </w:tc>
        <w:tc>
          <w:tcPr>
            <w:tcW w:w="10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2" w:after="0"/>
              <w:ind w:left="124" w:right="109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150,00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  <w:tc>
          <w:tcPr>
            <w:tcW w:w="27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2" w:after="0"/>
              <w:ind w:left="127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100%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SU</w:t>
            </w:r>
          </w:p>
        </w:tc>
        <w:tc>
          <w:tcPr>
            <w:tcW w:w="1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2" w:after="0"/>
              <w:ind w:left="125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150</w:t>
            </w:r>
            <w:r>
              <w:rPr>
                <w:spacing w:val="-1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</w:tr>
      <w:tr>
        <w:trPr>
          <w:trHeight w:val="273" w:hRule="atLeast"/>
        </w:trPr>
        <w:tc>
          <w:tcPr>
            <w:tcW w:w="49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lineRule="exact" w:line="133" w:before="0" w:after="0"/>
              <w:ind w:left="136"/>
              <w:jc w:val="left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Opcja</w:t>
            </w:r>
            <w:r>
              <w:rPr>
                <w:spacing w:val="-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Dodatkowa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D12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-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Assistance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EDU</w:t>
            </w:r>
            <w:r>
              <w:rPr>
                <w:spacing w:val="-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PLUS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(indywidualne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korepetycje,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pomoc</w:t>
            </w:r>
          </w:p>
          <w:p>
            <w:pPr>
              <w:pStyle w:val="TableParagraph"/>
              <w:suppressAutoHyphens w:val="true"/>
              <w:spacing w:lineRule="exact" w:line="119" w:before="2" w:after="0"/>
              <w:ind w:left="136"/>
              <w:jc w:val="left"/>
              <w:rPr>
                <w:sz w:val="12"/>
              </w:rPr>
            </w:pP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medyczna,</w:t>
            </w:r>
            <w:r>
              <w:rPr>
                <w:spacing w:val="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pomoc</w:t>
            </w:r>
            <w:r>
              <w:rPr>
                <w:spacing w:val="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rehabilitacyjna</w:t>
            </w:r>
            <w:r>
              <w:rPr>
                <w:spacing w:val="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dla</w:t>
            </w:r>
            <w:r>
              <w:rPr>
                <w:spacing w:val="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pracownika</w:t>
            </w:r>
            <w:r>
              <w:rPr>
                <w:spacing w:val="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placówki</w:t>
            </w:r>
            <w:r>
              <w:rPr>
                <w:spacing w:val="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oświatowej)</w:t>
            </w:r>
          </w:p>
        </w:tc>
        <w:tc>
          <w:tcPr>
            <w:tcW w:w="10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4" w:right="109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5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000,00</w:t>
            </w:r>
            <w:r>
              <w:rPr>
                <w:spacing w:val="-1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  <w:tc>
          <w:tcPr>
            <w:tcW w:w="27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6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świadczenia</w:t>
            </w:r>
            <w:r>
              <w:rPr>
                <w:spacing w:val="-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zgodnie</w:t>
            </w:r>
            <w:r>
              <w:rPr>
                <w:spacing w:val="-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z</w:t>
            </w:r>
            <w:r>
              <w:rPr>
                <w:spacing w:val="-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OWU</w:t>
            </w:r>
          </w:p>
        </w:tc>
        <w:tc>
          <w:tcPr>
            <w:tcW w:w="1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5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zgodnie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z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OWU</w:t>
            </w:r>
          </w:p>
        </w:tc>
      </w:tr>
      <w:tr>
        <w:trPr>
          <w:trHeight w:val="541" w:hRule="atLeast"/>
        </w:trPr>
        <w:tc>
          <w:tcPr>
            <w:tcW w:w="49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4" w:after="0"/>
              <w:jc w:val="left"/>
              <w:rPr>
                <w:sz w:val="12"/>
              </w:rPr>
            </w:pPr>
            <w:r>
              <w:rPr>
                <w:sz w:val="12"/>
              </w:rPr>
            </w:r>
          </w:p>
          <w:p>
            <w:pPr>
              <w:pStyle w:val="TableParagraph"/>
              <w:suppressAutoHyphens w:val="true"/>
              <w:spacing w:before="0" w:after="0"/>
              <w:ind w:left="136"/>
              <w:jc w:val="left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Opcja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Dodatkowa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D16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-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Pakiet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KLESZCZ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i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rozpoznanie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boreliozy</w:t>
            </w:r>
          </w:p>
        </w:tc>
        <w:tc>
          <w:tcPr>
            <w:tcW w:w="10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4" w:after="0"/>
              <w:jc w:val="left"/>
              <w:rPr>
                <w:sz w:val="12"/>
              </w:rPr>
            </w:pPr>
            <w:r>
              <w:rPr>
                <w:sz w:val="12"/>
              </w:rPr>
            </w:r>
          </w:p>
          <w:p>
            <w:pPr>
              <w:pStyle w:val="TableParagraph"/>
              <w:suppressAutoHyphens w:val="true"/>
              <w:spacing w:before="0" w:after="0"/>
              <w:ind w:left="124" w:right="109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1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500,00</w:t>
            </w:r>
            <w:r>
              <w:rPr>
                <w:spacing w:val="-1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  <w:tc>
          <w:tcPr>
            <w:tcW w:w="27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lineRule="auto" w:line="245" w:before="0" w:after="0"/>
              <w:ind w:left="168" w:right="40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do 100% SU, w tym: a) zdiagnozowanie</w:t>
            </w:r>
            <w:r>
              <w:rPr>
                <w:spacing w:val="40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boreliozy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do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1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000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zł,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b)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wizyta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u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lekarza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do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150</w:t>
            </w:r>
            <w:r>
              <w:rPr>
                <w:spacing w:val="40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zł, c) badania diagnostyczne do 150 zł, d)</w:t>
            </w:r>
          </w:p>
          <w:p>
            <w:pPr>
              <w:pStyle w:val="TableParagraph"/>
              <w:suppressAutoHyphens w:val="true"/>
              <w:spacing w:lineRule="exact" w:line="113" w:before="0" w:after="0"/>
              <w:ind w:left="126"/>
              <w:rPr>
                <w:sz w:val="12"/>
              </w:rPr>
            </w:pP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antybiotykoterapia</w:t>
            </w:r>
            <w:r>
              <w:rPr>
                <w:spacing w:val="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do</w:t>
            </w:r>
            <w:r>
              <w:rPr>
                <w:spacing w:val="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200</w:t>
            </w:r>
            <w:r>
              <w:rPr>
                <w:spacing w:val="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  <w:tc>
          <w:tcPr>
            <w:tcW w:w="1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4" w:after="0"/>
              <w:jc w:val="left"/>
              <w:rPr>
                <w:sz w:val="12"/>
              </w:rPr>
            </w:pPr>
            <w:r>
              <w:rPr>
                <w:sz w:val="12"/>
              </w:rPr>
            </w:r>
          </w:p>
          <w:p>
            <w:pPr>
              <w:pStyle w:val="TableParagraph"/>
              <w:suppressAutoHyphens w:val="true"/>
              <w:spacing w:before="0" w:after="0"/>
              <w:ind w:left="125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 xml:space="preserve">do 1 500 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</w:tr>
      <w:tr>
        <w:trPr>
          <w:trHeight w:val="541" w:hRule="atLeast"/>
        </w:trPr>
        <w:tc>
          <w:tcPr>
            <w:tcW w:w="49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4" w:after="0"/>
              <w:jc w:val="left"/>
              <w:rPr>
                <w:sz w:val="12"/>
              </w:rPr>
            </w:pPr>
            <w:r>
              <w:rPr>
                <w:sz w:val="12"/>
              </w:rPr>
            </w:r>
          </w:p>
          <w:p>
            <w:pPr>
              <w:pStyle w:val="TableParagraph"/>
              <w:suppressAutoHyphens w:val="true"/>
              <w:spacing w:before="0" w:after="0"/>
              <w:ind w:left="136"/>
              <w:jc w:val="left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Hejt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>Stop</w:t>
            </w:r>
          </w:p>
        </w:tc>
        <w:tc>
          <w:tcPr>
            <w:tcW w:w="10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4" w:after="0"/>
              <w:jc w:val="left"/>
              <w:rPr>
                <w:sz w:val="12"/>
              </w:rPr>
            </w:pPr>
            <w:r>
              <w:rPr>
                <w:sz w:val="12"/>
              </w:rPr>
            </w:r>
          </w:p>
          <w:p>
            <w:pPr>
              <w:pStyle w:val="TableParagraph"/>
              <w:suppressAutoHyphens w:val="true"/>
              <w:spacing w:before="0" w:after="0"/>
              <w:ind w:left="124" w:right="109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5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000,00</w:t>
            </w:r>
            <w:r>
              <w:rPr>
                <w:spacing w:val="-1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  <w:tc>
          <w:tcPr>
            <w:tcW w:w="27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lineRule="auto" w:line="245" w:before="0" w:after="0"/>
              <w:ind w:left="555" w:right="428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Usługi</w:t>
            </w:r>
            <w:r>
              <w:rPr>
                <w:spacing w:val="-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wsparcia</w:t>
            </w:r>
            <w:r>
              <w:rPr>
                <w:spacing w:val="-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informatycznego,</w:t>
            </w:r>
            <w:r>
              <w:rPr>
                <w:spacing w:val="40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psychologicznego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oraz</w:t>
            </w:r>
          </w:p>
          <w:p>
            <w:pPr>
              <w:pStyle w:val="TableParagraph"/>
              <w:suppressAutoHyphens w:val="true"/>
              <w:spacing w:lineRule="exact" w:line="135" w:before="0" w:after="0"/>
              <w:ind w:left="126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prawnego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zakresie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mowy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nienawiści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10"/>
                <w:kern w:val="0"/>
                <w:sz w:val="12"/>
                <w:szCs w:val="22"/>
                <w:lang w:eastAsia="en-US" w:bidi="ar-SA"/>
              </w:rPr>
              <w:t>i</w:t>
            </w:r>
          </w:p>
          <w:p>
            <w:pPr>
              <w:pStyle w:val="TableParagraph"/>
              <w:suppressAutoHyphens w:val="true"/>
              <w:spacing w:lineRule="exact" w:line="115" w:before="0" w:after="0"/>
              <w:ind w:left="126"/>
              <w:rPr>
                <w:sz w:val="12"/>
              </w:rPr>
            </w:pP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bezpieczeństwa</w:t>
            </w:r>
            <w:r>
              <w:rPr>
                <w:spacing w:val="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w</w:t>
            </w:r>
            <w:r>
              <w:rPr>
                <w:spacing w:val="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sieci</w:t>
            </w:r>
          </w:p>
        </w:tc>
        <w:tc>
          <w:tcPr>
            <w:tcW w:w="1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4" w:after="0"/>
              <w:jc w:val="left"/>
              <w:rPr>
                <w:sz w:val="12"/>
              </w:rPr>
            </w:pPr>
            <w:r>
              <w:rPr>
                <w:sz w:val="12"/>
              </w:rPr>
            </w:r>
          </w:p>
          <w:p>
            <w:pPr>
              <w:pStyle w:val="TableParagraph"/>
              <w:suppressAutoHyphens w:val="true"/>
              <w:spacing w:before="0" w:after="0"/>
              <w:ind w:left="125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zgodnie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z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OWU</w:t>
            </w:r>
          </w:p>
        </w:tc>
      </w:tr>
      <w:tr>
        <w:trPr>
          <w:trHeight w:val="541" w:hRule="atLeast"/>
        </w:trPr>
        <w:tc>
          <w:tcPr>
            <w:tcW w:w="493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2" w:after="0"/>
              <w:ind w:left="136"/>
              <w:jc w:val="left"/>
              <w:rPr>
                <w:kern w:val="0"/>
                <w:sz w:val="22"/>
                <w:szCs w:val="22"/>
                <w:shd w:fill="auto" w:val="clear"/>
                <w:lang w:eastAsia="en-US" w:bidi="ar-SA"/>
              </w:rPr>
            </w:pPr>
            <w:r>
              <w:rPr>
                <w:w w:val="105"/>
                <w:kern w:val="0"/>
                <w:sz w:val="12"/>
                <w:szCs w:val="12"/>
                <w:shd w:fill="auto" w:val="clear"/>
                <w:lang w:eastAsia="en-US" w:bidi="ar-SA"/>
              </w:rPr>
              <w:t>Opcja</w:t>
            </w:r>
            <w:r>
              <w:rPr>
                <w:spacing w:val="-1"/>
                <w:w w:val="105"/>
                <w:kern w:val="0"/>
                <w:sz w:val="12"/>
                <w:szCs w:val="12"/>
                <w:shd w:fill="auto" w:val="clear"/>
                <w:lang w:eastAsia="en-US" w:bidi="ar-SA"/>
              </w:rPr>
              <w:t xml:space="preserve"> </w:t>
            </w:r>
            <w:r>
              <w:rPr>
                <w:w w:val="105"/>
                <w:kern w:val="0"/>
                <w:sz w:val="12"/>
                <w:szCs w:val="12"/>
                <w:shd w:fill="auto" w:val="clear"/>
                <w:lang w:eastAsia="en-US" w:bidi="ar-SA"/>
              </w:rPr>
              <w:t xml:space="preserve">Dodatkowa </w:t>
            </w:r>
            <w:r>
              <w:rPr>
                <w:spacing w:val="-1"/>
                <w:w w:val="105"/>
                <w:kern w:val="0"/>
                <w:sz w:val="12"/>
                <w:szCs w:val="12"/>
                <w:shd w:fill="auto" w:val="clear"/>
                <w:lang w:eastAsia="en-US" w:bidi="ar-SA"/>
              </w:rPr>
              <w:t xml:space="preserve"> </w:t>
            </w:r>
            <w:r>
              <w:rPr>
                <w:w w:val="105"/>
                <w:kern w:val="0"/>
                <w:sz w:val="12"/>
                <w:szCs w:val="12"/>
                <w:shd w:fill="auto" w:val="clear"/>
                <w:lang w:eastAsia="en-US" w:bidi="ar-SA"/>
              </w:rPr>
              <w:t>- Poważne Choroby</w:t>
            </w:r>
            <w:r>
              <w:rPr>
                <w:spacing w:val="-2"/>
                <w:w w:val="105"/>
                <w:kern w:val="0"/>
                <w:sz w:val="12"/>
                <w:szCs w:val="12"/>
                <w:shd w:fill="auto" w:val="clear"/>
                <w:lang w:eastAsia="en-US" w:bidi="ar-SA"/>
              </w:rPr>
              <w:t xml:space="preserve"> Rodzica</w:t>
            </w:r>
          </w:p>
        </w:tc>
        <w:tc>
          <w:tcPr>
            <w:tcW w:w="107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55" w:after="0"/>
              <w:rPr>
                <w:kern w:val="0"/>
                <w:sz w:val="22"/>
                <w:szCs w:val="22"/>
                <w:shd w:fill="auto" w:val="clear"/>
                <w:lang w:eastAsia="en-US" w:bidi="ar-SA"/>
              </w:rPr>
            </w:pP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4 000,00 zł</w:t>
            </w:r>
          </w:p>
        </w:tc>
        <w:tc>
          <w:tcPr>
            <w:tcW w:w="277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2" w:after="0"/>
              <w:ind w:left="153" w:right="30"/>
              <w:rPr>
                <w:kern w:val="0"/>
                <w:sz w:val="22"/>
                <w:szCs w:val="22"/>
                <w:shd w:fill="auto" w:val="clear"/>
                <w:lang w:eastAsia="en-US" w:bidi="ar-SA"/>
              </w:rPr>
            </w:pP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Jednorazowo</w:t>
            </w:r>
            <w:r>
              <w:rPr>
                <w:spacing w:val="5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100% SU</w:t>
            </w:r>
          </w:p>
        </w:tc>
        <w:tc>
          <w:tcPr>
            <w:tcW w:w="198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2" w:after="0"/>
              <w:ind w:left="125"/>
              <w:rPr>
                <w:kern w:val="0"/>
                <w:sz w:val="22"/>
                <w:szCs w:val="22"/>
                <w:shd w:fill="auto" w:val="clear"/>
                <w:lang w:eastAsia="en-US" w:bidi="ar-SA"/>
              </w:rPr>
            </w:pPr>
            <w:r>
              <w:rPr>
                <w:spacing w:val="5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4 000 </w:t>
            </w:r>
            <w:r>
              <w:rPr>
                <w:spacing w:val="-5"/>
                <w:kern w:val="0"/>
                <w:sz w:val="12"/>
                <w:szCs w:val="22"/>
                <w:shd w:fill="auto" w:val="clear"/>
                <w:lang w:eastAsia="en-US" w:bidi="ar-SA"/>
              </w:rPr>
              <w:t>zł</w:t>
            </w:r>
          </w:p>
        </w:tc>
      </w:tr>
      <w:tr>
        <w:trPr>
          <w:trHeight w:val="541" w:hRule="atLeast"/>
        </w:trPr>
        <w:tc>
          <w:tcPr>
            <w:tcW w:w="493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2" w:after="0"/>
              <w:ind w:left="136"/>
              <w:jc w:val="left"/>
              <w:rPr>
                <w:kern w:val="0"/>
                <w:sz w:val="22"/>
                <w:szCs w:val="22"/>
                <w:shd w:fill="auto" w:val="clear"/>
                <w:lang w:eastAsia="en-US" w:bidi="ar-SA"/>
              </w:rPr>
            </w:pPr>
            <w:r>
              <w:rPr>
                <w:w w:val="105"/>
                <w:kern w:val="0"/>
                <w:sz w:val="12"/>
                <w:szCs w:val="12"/>
                <w:shd w:fill="auto" w:val="clear"/>
                <w:lang w:eastAsia="en-US" w:bidi="ar-SA"/>
              </w:rPr>
              <w:t>Opcja</w:t>
            </w:r>
            <w:r>
              <w:rPr>
                <w:spacing w:val="-1"/>
                <w:w w:val="105"/>
                <w:kern w:val="0"/>
                <w:sz w:val="12"/>
                <w:szCs w:val="12"/>
                <w:shd w:fill="auto" w:val="clear"/>
                <w:lang w:eastAsia="en-US" w:bidi="ar-SA"/>
              </w:rPr>
              <w:t xml:space="preserve"> </w:t>
            </w:r>
            <w:r>
              <w:rPr>
                <w:w w:val="105"/>
                <w:kern w:val="0"/>
                <w:sz w:val="12"/>
                <w:szCs w:val="12"/>
                <w:shd w:fill="auto" w:val="clear"/>
                <w:lang w:eastAsia="en-US" w:bidi="ar-SA"/>
              </w:rPr>
              <w:t xml:space="preserve">Dodatkowa </w:t>
            </w:r>
            <w:r>
              <w:rPr>
                <w:spacing w:val="-1"/>
                <w:w w:val="105"/>
                <w:kern w:val="0"/>
                <w:sz w:val="12"/>
                <w:szCs w:val="12"/>
                <w:shd w:fill="auto" w:val="clear"/>
                <w:lang w:eastAsia="en-US" w:bidi="ar-SA"/>
              </w:rPr>
              <w:t xml:space="preserve"> </w:t>
            </w:r>
            <w:r>
              <w:rPr>
                <w:w w:val="105"/>
                <w:kern w:val="0"/>
                <w:sz w:val="12"/>
                <w:szCs w:val="12"/>
                <w:shd w:fill="auto" w:val="clear"/>
                <w:lang w:eastAsia="en-US" w:bidi="ar-SA"/>
              </w:rPr>
              <w:t>- Rozpoznanie</w:t>
            </w:r>
            <w:r>
              <w:rPr>
                <w:color w:val="222222"/>
                <w:kern w:val="0"/>
                <w:sz w:val="12"/>
                <w:szCs w:val="12"/>
                <w:shd w:fill="auto" w:val="clear"/>
                <w:lang w:eastAsia="en-US" w:bidi="ar-SA"/>
              </w:rPr>
              <w:t xml:space="preserve"> choroby psychicznej</w:t>
            </w:r>
          </w:p>
        </w:tc>
        <w:tc>
          <w:tcPr>
            <w:tcW w:w="107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55" w:after="0"/>
              <w:rPr>
                <w:kern w:val="0"/>
                <w:sz w:val="22"/>
                <w:szCs w:val="22"/>
                <w:shd w:fill="auto" w:val="clear"/>
                <w:lang w:eastAsia="en-US" w:bidi="ar-SA"/>
              </w:rPr>
            </w:pP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300,00 zł</w:t>
            </w:r>
          </w:p>
        </w:tc>
        <w:tc>
          <w:tcPr>
            <w:tcW w:w="277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2" w:after="0"/>
              <w:ind w:left="153" w:right="30"/>
              <w:rPr>
                <w:kern w:val="0"/>
                <w:sz w:val="22"/>
                <w:szCs w:val="22"/>
                <w:shd w:fill="auto" w:val="clear"/>
                <w:lang w:eastAsia="en-US" w:bidi="ar-SA"/>
              </w:rPr>
            </w:pP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Jednorazowo</w:t>
            </w:r>
            <w:r>
              <w:rPr>
                <w:spacing w:val="5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100% SU</w:t>
            </w:r>
          </w:p>
        </w:tc>
        <w:tc>
          <w:tcPr>
            <w:tcW w:w="198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2" w:after="0"/>
              <w:ind w:left="125"/>
              <w:rPr>
                <w:kern w:val="0"/>
                <w:sz w:val="22"/>
                <w:szCs w:val="22"/>
                <w:shd w:fill="auto" w:val="clear"/>
                <w:lang w:eastAsia="en-US" w:bidi="ar-SA"/>
              </w:rPr>
            </w:pPr>
            <w:r>
              <w:rPr>
                <w:spacing w:val="5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300 </w:t>
            </w:r>
            <w:r>
              <w:rPr>
                <w:spacing w:val="-5"/>
                <w:kern w:val="0"/>
                <w:sz w:val="12"/>
                <w:szCs w:val="22"/>
                <w:shd w:fill="auto" w:val="clear"/>
                <w:lang w:eastAsia="en-US" w:bidi="ar-SA"/>
              </w:rPr>
              <w:t>zł</w:t>
            </w:r>
          </w:p>
        </w:tc>
      </w:tr>
    </w:tbl>
    <w:p>
      <w:pPr>
        <w:pStyle w:val="Normal"/>
        <w:spacing w:before="59" w:after="0"/>
        <w:ind w:left="279"/>
        <w:rPr>
          <w:sz w:val="12"/>
        </w:rPr>
      </w:pPr>
      <w:r>
        <w:rPr>
          <w:spacing w:val="-2"/>
          <w:sz w:val="12"/>
        </w:rPr>
        <w:t>Zakres</w:t>
      </w:r>
      <w:r>
        <w:rPr>
          <w:spacing w:val="8"/>
          <w:sz w:val="12"/>
        </w:rPr>
        <w:t xml:space="preserve"> </w:t>
      </w:r>
      <w:r>
        <w:rPr>
          <w:spacing w:val="-2"/>
          <w:sz w:val="12"/>
        </w:rPr>
        <w:t>ubezpieczenia</w:t>
      </w:r>
      <w:r>
        <w:rPr>
          <w:spacing w:val="8"/>
          <w:sz w:val="12"/>
        </w:rPr>
        <w:t xml:space="preserve"> </w:t>
      </w:r>
      <w:r>
        <w:rPr>
          <w:spacing w:val="-2"/>
          <w:sz w:val="12"/>
        </w:rPr>
        <w:t>obejmuje</w:t>
      </w:r>
      <w:r>
        <w:rPr>
          <w:spacing w:val="9"/>
          <w:sz w:val="12"/>
        </w:rPr>
        <w:t xml:space="preserve"> </w:t>
      </w:r>
      <w:r>
        <w:rPr>
          <w:spacing w:val="-2"/>
          <w:sz w:val="12"/>
        </w:rPr>
        <w:t>rozszerzenie</w:t>
      </w:r>
      <w:r>
        <w:rPr>
          <w:spacing w:val="8"/>
          <w:sz w:val="12"/>
        </w:rPr>
        <w:t xml:space="preserve"> </w:t>
      </w:r>
      <w:r>
        <w:rPr>
          <w:spacing w:val="-2"/>
          <w:sz w:val="12"/>
        </w:rPr>
        <w:t>o</w:t>
      </w:r>
      <w:r>
        <w:rPr>
          <w:spacing w:val="8"/>
          <w:sz w:val="12"/>
        </w:rPr>
        <w:t xml:space="preserve"> </w:t>
      </w:r>
      <w:r>
        <w:rPr>
          <w:spacing w:val="-2"/>
          <w:sz w:val="12"/>
        </w:rPr>
        <w:t>następstwa</w:t>
      </w:r>
      <w:r>
        <w:rPr>
          <w:spacing w:val="9"/>
          <w:sz w:val="12"/>
        </w:rPr>
        <w:t xml:space="preserve"> </w:t>
      </w:r>
      <w:r>
        <w:rPr>
          <w:spacing w:val="-2"/>
          <w:sz w:val="12"/>
        </w:rPr>
        <w:t>wyczynowego</w:t>
      </w:r>
      <w:r>
        <w:rPr>
          <w:spacing w:val="8"/>
          <w:sz w:val="12"/>
        </w:rPr>
        <w:t xml:space="preserve"> </w:t>
      </w:r>
      <w:r>
        <w:rPr>
          <w:spacing w:val="-2"/>
          <w:sz w:val="12"/>
        </w:rPr>
        <w:t>uprawiania</w:t>
      </w:r>
      <w:r>
        <w:rPr>
          <w:spacing w:val="8"/>
          <w:sz w:val="12"/>
        </w:rPr>
        <w:t xml:space="preserve"> </w:t>
      </w:r>
      <w:r>
        <w:rPr>
          <w:spacing w:val="-2"/>
          <w:sz w:val="12"/>
        </w:rPr>
        <w:t>sportu.</w:t>
      </w:r>
    </w:p>
    <w:p>
      <w:pPr>
        <w:pStyle w:val="BodyText"/>
        <w:spacing w:before="86" w:after="0"/>
        <w:rPr>
          <w:sz w:val="12"/>
        </w:rPr>
      </w:pPr>
      <w:r>
        <w:rPr>
          <w:sz w:val="12"/>
        </w:rPr>
      </w:r>
    </w:p>
    <w:p>
      <w:pPr>
        <w:pStyle w:val="Heading2"/>
        <w:rPr>
          <w:spacing w:val="-2"/>
        </w:rPr>
      </w:pPr>
      <w:r>
        <w:rPr>
          <w:spacing w:val="-2"/>
        </w:rPr>
        <w:t xml:space="preserve">SKŁADKA </w:t>
      </w:r>
    </w:p>
    <w:p>
      <w:pPr>
        <w:pStyle w:val="BodyText"/>
        <w:spacing w:before="8" w:after="0"/>
        <w:rPr>
          <w:rFonts w:ascii="Arial" w:hAnsi="Arial"/>
          <w:b/>
          <w:i/>
          <w:sz w:val="4"/>
        </w:rPr>
      </w:pPr>
      <w:r>
        <w:rPr>
          <w:rFonts w:ascii="Arial" w:hAnsi="Arial"/>
          <w:b/>
          <w:i/>
          <w:sz w:val="4"/>
        </w:rPr>
        <mc:AlternateContent>
          <mc:Choice Requires="wps">
            <w:drawing>
              <wp:anchor distT="0" distB="0" distL="0" distR="0" simplePos="0" relativeHeight="116" behindDoc="0" locked="0" layoutInCell="0" allowOverlap="1">
                <wp:simplePos x="0" y="0"/>
                <wp:positionH relativeFrom="page">
                  <wp:posOffset>360045</wp:posOffset>
                </wp:positionH>
                <wp:positionV relativeFrom="paragraph">
                  <wp:posOffset>50165</wp:posOffset>
                </wp:positionV>
                <wp:extent cx="6840220" cy="6350"/>
                <wp:effectExtent l="0" t="635" r="0" b="635"/>
                <wp:wrapTopAndBottom/>
                <wp:docPr id="16" name="Graphic 17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840360" cy="6480"/>
                        </a:xfrm>
                        <a:custGeom>
                          <a:avLst/>
                          <a:gdLst>
                            <a:gd name="textAreaLeft" fmla="*/ 0 w 3877920"/>
                            <a:gd name="textAreaRight" fmla="*/ 3880440 w 3877920"/>
                            <a:gd name="textAreaTop" fmla="*/ 0 h 3600"/>
                            <a:gd name="textAreaBottom" fmla="*/ 6120 h 3600"/>
                          </a:gdLst>
                          <a:ahLst/>
                          <a:cxnLst/>
                          <a:rect l="textAreaLeft" t="textAreaTop" r="textAreaRight" b="textAreaBottom"/>
                          <a:pathLst>
                            <a:path w="6840220" h="6350">
                              <a:moveTo>
                                <a:pt x="6839927" y="6350"/>
                              </a:moveTo>
                              <a:lnTo>
                                <a:pt x="0" y="6350"/>
                              </a:lnTo>
                              <a:lnTo>
                                <a:pt x="0" y="0"/>
                              </a:lnTo>
                              <a:lnTo>
                                <a:pt x="6839927" y="0"/>
                              </a:lnTo>
                              <a:lnTo>
                                <a:pt x="6839927" y="635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/>
          </mc:Fallback>
        </mc:AlternateContent>
      </w:r>
    </w:p>
    <w:p>
      <w:pPr>
        <w:pStyle w:val="BodyText"/>
        <w:spacing w:before="11" w:after="0"/>
        <w:rPr>
          <w:rFonts w:ascii="Arial" w:hAnsi="Arial"/>
          <w:b/>
          <w:i/>
          <w:sz w:val="8"/>
        </w:rPr>
      </w:pPr>
      <w:r>
        <w:rPr>
          <w:rFonts w:ascii="Arial" w:hAnsi="Arial"/>
          <w:b/>
          <w:i/>
          <w:sz w:val="8"/>
        </w:rPr>
      </w:r>
    </w:p>
    <w:p>
      <w:pPr>
        <w:pStyle w:val="Normal"/>
        <w:rPr>
          <w:sz w:val="24"/>
          <w:szCs w:val="24"/>
        </w:rPr>
      </w:pPr>
      <w:r>
        <w:rPr>
          <w:rFonts w:cs="Arial Narrow" w:ascii="Arial Narrow" w:hAnsi="Arial Narrow"/>
          <w:sz w:val="24"/>
          <w:szCs w:val="24"/>
        </w:rPr>
        <w:tab/>
      </w:r>
      <w:r>
        <w:rPr>
          <w:rFonts w:cs="Arial Narrow" w:ascii="Arial" w:hAnsi="Arial"/>
          <w:sz w:val="16"/>
          <w:szCs w:val="16"/>
        </w:rPr>
        <w:t>Roczna składka ubezpieczeniowa</w:t>
      </w:r>
      <w:r>
        <w:rPr>
          <w:rFonts w:cs="Arial Narrow" w:ascii="Arial" w:hAnsi="Arial"/>
          <w:b/>
          <w:bCs/>
          <w:sz w:val="16"/>
          <w:szCs w:val="16"/>
        </w:rPr>
        <w:t xml:space="preserve"> wynosi: 165 zł / osoba</w:t>
        <w:br/>
        <w:tab/>
        <w:t>Ostateczna ilość ubezpieczonych, osób w trudnej sytuacji oraz kwota do wpłaty wynika z aneksu rozliczającego daną polisę.</w:t>
      </w:r>
    </w:p>
    <w:p>
      <w:pPr>
        <w:pStyle w:val="Normal"/>
        <w:ind w:left="-567"/>
        <w:rPr>
          <w:rFonts w:ascii="Arial" w:hAnsi="Arial" w:cs="Arial Narrow"/>
          <w:sz w:val="16"/>
          <w:szCs w:val="16"/>
        </w:rPr>
      </w:pPr>
      <w:r>
        <w:rPr>
          <w:rFonts w:cs="Arial Narrow" w:ascii="Arial" w:hAnsi="Arial"/>
          <w:sz w:val="16"/>
          <w:szCs w:val="16"/>
        </w:rPr>
      </w:r>
    </w:p>
    <w:p>
      <w:pPr>
        <w:pStyle w:val="Normal"/>
        <w:tabs>
          <w:tab w:val="clear" w:pos="720"/>
          <w:tab w:val="left" w:pos="142" w:leader="none"/>
        </w:tabs>
        <w:spacing w:lineRule="auto" w:line="360"/>
        <w:ind w:left="-567"/>
        <w:rPr>
          <w:rFonts w:ascii="Arial" w:hAnsi="Arial"/>
          <w:sz w:val="16"/>
          <w:szCs w:val="16"/>
        </w:rPr>
      </w:pPr>
      <w:r>
        <w:rPr>
          <w:rFonts w:cs="Arial Narrow" w:ascii="Arial" w:hAnsi="Arial"/>
          <w:sz w:val="16"/>
          <w:szCs w:val="16"/>
        </w:rPr>
        <w:tab/>
        <w:tab/>
        <w:t>I</w:t>
      </w:r>
      <w:r>
        <w:rPr>
          <w:rFonts w:cs="Arial Narrow" w:ascii="Arial" w:hAnsi="Arial"/>
          <w:spacing w:val="-6"/>
          <w:sz w:val="16"/>
          <w:szCs w:val="16"/>
        </w:rPr>
        <w:t xml:space="preserve"> </w:t>
      </w:r>
      <w:r>
        <w:rPr>
          <w:rFonts w:cs="Arial Narrow" w:ascii="Arial" w:hAnsi="Arial"/>
          <w:sz w:val="16"/>
          <w:szCs w:val="16"/>
        </w:rPr>
        <w:t>rata</w:t>
      </w:r>
      <w:r>
        <w:rPr>
          <w:rFonts w:cs="Arial Narrow" w:ascii="Arial" w:hAnsi="Arial"/>
          <w:spacing w:val="-6"/>
          <w:sz w:val="16"/>
          <w:szCs w:val="16"/>
        </w:rPr>
        <w:t xml:space="preserve"> </w:t>
      </w:r>
      <w:r>
        <w:rPr>
          <w:rFonts w:cs="Arial Narrow" w:ascii="Arial" w:hAnsi="Arial"/>
          <w:sz w:val="16"/>
          <w:szCs w:val="16"/>
        </w:rPr>
        <w:t>płatna</w:t>
      </w:r>
      <w:r>
        <w:rPr>
          <w:rFonts w:cs="Arial Narrow" w:ascii="Arial" w:hAnsi="Arial"/>
          <w:spacing w:val="-6"/>
          <w:sz w:val="16"/>
          <w:szCs w:val="16"/>
        </w:rPr>
        <w:t xml:space="preserve"> </w:t>
      </w:r>
      <w:r>
        <w:rPr>
          <w:rFonts w:cs="Arial Narrow" w:ascii="Arial" w:hAnsi="Arial"/>
          <w:sz w:val="16"/>
          <w:szCs w:val="16"/>
        </w:rPr>
        <w:t>gotówką/</w:t>
      </w:r>
      <w:r>
        <w:rPr>
          <w:rFonts w:cs="Arial Narrow" w:ascii="Arial" w:hAnsi="Arial"/>
          <w:b/>
          <w:i/>
          <w:sz w:val="16"/>
          <w:szCs w:val="16"/>
          <w:u w:val="single"/>
        </w:rPr>
        <w:t>przelewem</w:t>
      </w:r>
      <w:r>
        <w:rPr>
          <w:rFonts w:cs="Arial Narrow" w:ascii="Arial" w:hAnsi="Arial"/>
          <w:b/>
          <w:i/>
          <w:spacing w:val="-7"/>
          <w:sz w:val="16"/>
          <w:szCs w:val="16"/>
        </w:rPr>
        <w:t xml:space="preserve"> </w:t>
      </w:r>
      <w:r>
        <w:rPr>
          <w:rFonts w:cs="Arial Narrow" w:ascii="Arial" w:hAnsi="Arial"/>
          <w:sz w:val="16"/>
          <w:szCs w:val="16"/>
        </w:rPr>
        <w:t>do</w:t>
      </w:r>
      <w:r>
        <w:rPr>
          <w:rFonts w:cs="Arial Narrow" w:ascii="Arial" w:hAnsi="Arial"/>
          <w:spacing w:val="-5"/>
          <w:sz w:val="16"/>
          <w:szCs w:val="16"/>
        </w:rPr>
        <w:t xml:space="preserve"> </w:t>
      </w:r>
      <w:r>
        <w:rPr>
          <w:rFonts w:cs="Arial Narrow" w:ascii="Arial" w:hAnsi="Arial"/>
          <w:sz w:val="16"/>
          <w:szCs w:val="16"/>
        </w:rPr>
        <w:t xml:space="preserve">dnia  </w:t>
      </w:r>
      <w:r>
        <w:rPr>
          <w:rFonts w:cs="Arial Narrow" w:ascii="Arial" w:hAnsi="Arial"/>
          <w:b/>
          <w:sz w:val="16"/>
          <w:szCs w:val="16"/>
        </w:rPr>
        <w:t>31</w:t>
      </w:r>
      <w:r>
        <w:rPr>
          <w:rFonts w:cs="Arial Narrow" w:ascii="Arial" w:hAnsi="Arial"/>
          <w:b/>
          <w:bCs/>
          <w:sz w:val="16"/>
          <w:szCs w:val="16"/>
        </w:rPr>
        <w:t>/10/2026</w:t>
        <w:tab/>
      </w:r>
    </w:p>
    <w:p>
      <w:pPr>
        <w:pStyle w:val="Normal"/>
        <w:tabs>
          <w:tab w:val="clear" w:pos="720"/>
          <w:tab w:val="left" w:pos="142" w:leader="none"/>
        </w:tabs>
        <w:spacing w:lineRule="auto" w:line="360"/>
        <w:ind w:left="-567"/>
        <w:rPr>
          <w:rFonts w:ascii="Arial Narrow" w:hAnsi="Arial Narrow" w:cs="Arial Narrow"/>
          <w:b/>
          <w:bCs/>
          <w:sz w:val="14"/>
          <w:szCs w:val="14"/>
        </w:rPr>
      </w:pPr>
      <w:r>
        <w:rPr>
          <w:rFonts w:cs="Arial Narrow" w:ascii="Arial Narrow" w:hAnsi="Arial Narrow"/>
          <w:b/>
          <w:bCs/>
          <w:sz w:val="14"/>
          <w:szCs w:val="14"/>
        </w:rPr>
        <w:tab/>
        <w:tab/>
      </w:r>
    </w:p>
    <w:tbl>
      <w:tblPr>
        <w:tblW w:w="5000" w:type="pct"/>
        <w:jc w:val="left"/>
        <w:tblInd w:w="11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5358"/>
        <w:gridCol w:w="5360"/>
      </w:tblGrid>
      <w:tr>
        <w:trPr/>
        <w:tc>
          <w:tcPr>
            <w:tcW w:w="53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suppressAutoHyphens w:val="true"/>
              <w:spacing w:before="0" w:after="200"/>
              <w:jc w:val="center"/>
              <w:rPr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cs="Arial Narrow" w:ascii="Arial Narrow" w:hAnsi="Arial Narrow"/>
                <w:kern w:val="0"/>
                <w:sz w:val="18"/>
                <w:szCs w:val="18"/>
                <w:lang w:eastAsia="en-US" w:bidi="ar-SA"/>
              </w:rPr>
              <w:t xml:space="preserve">Nr konta bankowego </w:t>
            </w:r>
            <w:r>
              <w:rPr>
                <w:rFonts w:cs="Arial Narrow" w:ascii="Arial Narrow" w:hAnsi="Arial Narrow"/>
                <w:bCs/>
                <w:kern w:val="0"/>
                <w:sz w:val="18"/>
                <w:szCs w:val="18"/>
                <w:lang w:eastAsia="en-US" w:bidi="ar-SA"/>
              </w:rPr>
              <w:t>InterRisk TU S.A. Vienna Insurance Group {{numer_konta_bankowego}}</w:t>
            </w:r>
          </w:p>
        </w:tc>
        <w:tc>
          <w:tcPr>
            <w:tcW w:w="5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Zawartotabeli"/>
              <w:widowControl/>
              <w:suppressAutoHyphens w:val="true"/>
              <w:spacing w:before="0" w:after="0"/>
              <w:jc w:val="left"/>
              <w:rPr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ascii="Calibri" w:hAnsi="Calibri"/>
                <w:kern w:val="0"/>
                <w:sz w:val="22"/>
                <w:szCs w:val="22"/>
                <w:lang w:val="en-US" w:eastAsia="en-US" w:bidi="ar-SA"/>
              </w:rPr>
            </w:r>
          </w:p>
        </w:tc>
      </w:tr>
    </w:tbl>
    <w:p>
      <w:pPr>
        <w:pStyle w:val="Normal"/>
        <w:tabs>
          <w:tab w:val="clear" w:pos="720"/>
          <w:tab w:val="left" w:pos="142" w:leader="none"/>
        </w:tabs>
        <w:spacing w:lineRule="auto" w:line="360"/>
        <w:rPr>
          <w:spacing w:val="-1"/>
          <w:sz w:val="16"/>
        </w:rPr>
      </w:pPr>
      <w:r>
        <w:rPr>
          <w:spacing w:val="-1"/>
          <w:sz w:val="16"/>
        </w:rPr>
      </w:r>
    </w:p>
    <w:p>
      <w:pPr>
        <w:pStyle w:val="BodyText"/>
        <w:spacing w:before="9" w:after="0"/>
        <w:rPr>
          <w:sz w:val="10"/>
        </w:rPr>
      </w:pPr>
      <w:r>
        <w:rPr>
          <w:sz w:val="10"/>
        </w:rPr>
      </w:r>
    </w:p>
    <w:p>
      <w:pPr>
        <w:pStyle w:val="BodyText"/>
        <w:spacing w:before="24" w:after="0"/>
        <w:rPr>
          <w:spacing w:val="-2"/>
        </w:rPr>
      </w:pPr>
      <w:r>
        <w:rPr>
          <w:spacing w:val="-2"/>
        </w:rPr>
      </w:r>
    </w:p>
    <w:p>
      <w:pPr>
        <w:pStyle w:val="BodyText"/>
        <w:spacing w:before="149" w:after="0"/>
        <w:rPr>
          <w:sz w:val="16"/>
        </w:rPr>
      </w:pPr>
      <w:r>
        <w:rPr>
          <w:sz w:val="16"/>
        </w:rPr>
      </w:r>
    </w:p>
    <w:p>
      <w:pPr>
        <w:pStyle w:val="Heading2"/>
        <w:rPr/>
      </w:pPr>
      <w:r>
        <w:rPr/>
        <w:t>POSTANOWIENIA</w:t>
      </w:r>
      <w:r>
        <w:rPr>
          <w:spacing w:val="-7"/>
        </w:rPr>
        <w:t xml:space="preserve"> </w:t>
      </w:r>
      <w:r>
        <w:rPr/>
        <w:t>DODATKOWE</w:t>
      </w:r>
      <w:r>
        <w:rPr>
          <w:spacing w:val="-7"/>
        </w:rPr>
        <w:t xml:space="preserve"> </w:t>
      </w:r>
      <w:r>
        <w:rPr/>
        <w:t>I</w:t>
      </w:r>
      <w:r>
        <w:rPr>
          <w:spacing w:val="-7"/>
        </w:rPr>
        <w:t xml:space="preserve"> </w:t>
      </w:r>
      <w:r>
        <w:rPr/>
        <w:t>ODMIENNE</w:t>
      </w:r>
      <w:r>
        <w:rPr>
          <w:spacing w:val="-7"/>
        </w:rPr>
        <w:t xml:space="preserve"> </w:t>
      </w:r>
      <w:r>
        <w:rPr/>
        <w:t>WPROWADZONE</w:t>
      </w:r>
      <w:r>
        <w:rPr>
          <w:spacing w:val="-7"/>
        </w:rPr>
        <w:t xml:space="preserve"> </w:t>
      </w:r>
      <w:r>
        <w:rPr/>
        <w:t>DO</w:t>
      </w:r>
      <w:r>
        <w:rPr>
          <w:spacing w:val="-7"/>
        </w:rPr>
        <w:t xml:space="preserve"> </w:t>
      </w:r>
      <w:r>
        <w:rPr/>
        <w:t>UMOWY</w:t>
      </w:r>
      <w:r>
        <w:rPr>
          <w:spacing w:val="-7"/>
        </w:rPr>
        <w:t xml:space="preserve"> </w:t>
      </w:r>
      <w:r>
        <w:rPr>
          <w:spacing w:val="-2"/>
        </w:rPr>
        <w:t>UBEZPIECZENIA:</w:t>
      </w:r>
    </w:p>
    <w:p>
      <w:pPr>
        <w:pStyle w:val="BodyText"/>
        <w:spacing w:before="9" w:after="0"/>
        <w:rPr>
          <w:rFonts w:ascii="Arial" w:hAnsi="Arial"/>
          <w:b/>
          <w:i/>
          <w:sz w:val="4"/>
        </w:rPr>
      </w:pPr>
      <w:r>
        <w:rPr>
          <w:rFonts w:ascii="Arial" w:hAnsi="Arial"/>
          <w:b/>
          <w:i/>
          <w:sz w:val="4"/>
        </w:rPr>
        <mc:AlternateContent>
          <mc:Choice Requires="wps">
            <w:drawing>
              <wp:anchor distT="0" distB="0" distL="0" distR="0" simplePos="0" relativeHeight="111" behindDoc="0" locked="0" layoutInCell="0" allowOverlap="1">
                <wp:simplePos x="0" y="0"/>
                <wp:positionH relativeFrom="page">
                  <wp:posOffset>360045</wp:posOffset>
                </wp:positionH>
                <wp:positionV relativeFrom="paragraph">
                  <wp:posOffset>50165</wp:posOffset>
                </wp:positionV>
                <wp:extent cx="6840220" cy="6350"/>
                <wp:effectExtent l="0" t="635" r="0" b="635"/>
                <wp:wrapTopAndBottom/>
                <wp:docPr id="17" name="Graphic 20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840360" cy="6480"/>
                        </a:xfrm>
                        <a:custGeom>
                          <a:avLst/>
                          <a:gdLst>
                            <a:gd name="textAreaLeft" fmla="*/ 0 w 3877920"/>
                            <a:gd name="textAreaRight" fmla="*/ 3880440 w 3877920"/>
                            <a:gd name="textAreaTop" fmla="*/ 0 h 3600"/>
                            <a:gd name="textAreaBottom" fmla="*/ 6120 h 3600"/>
                          </a:gdLst>
                          <a:ahLst/>
                          <a:cxnLst/>
                          <a:rect l="textAreaLeft" t="textAreaTop" r="textAreaRight" b="textAreaBottom"/>
                          <a:pathLst>
                            <a:path w="6840220" h="6350">
                              <a:moveTo>
                                <a:pt x="6839927" y="6350"/>
                              </a:moveTo>
                              <a:lnTo>
                                <a:pt x="0" y="6350"/>
                              </a:lnTo>
                              <a:lnTo>
                                <a:pt x="0" y="0"/>
                              </a:lnTo>
                              <a:lnTo>
                                <a:pt x="6839927" y="0"/>
                              </a:lnTo>
                              <a:lnTo>
                                <a:pt x="6839927" y="635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/>
          </mc:Fallback>
        </mc:AlternateContent>
      </w:r>
    </w:p>
    <w:p>
      <w:pPr>
        <w:pStyle w:val="Normal"/>
        <w:spacing w:lineRule="auto" w:line="259" w:before="0" w:after="0"/>
        <w:jc w:val="center"/>
        <w:rPr>
          <w:rFonts w:ascii="Arial" w:hAnsi="Arial" w:cs="Arial"/>
          <w:b/>
          <w:bCs/>
          <w:iCs/>
          <w:color w:val="000000"/>
          <w:sz w:val="14"/>
          <w:szCs w:val="14"/>
        </w:rPr>
      </w:pPr>
      <w:r>
        <w:rPr>
          <w:rFonts w:cs="Arial" w:ascii="Arial" w:hAnsi="Arial"/>
          <w:b/>
          <w:bCs/>
          <w:iCs/>
          <w:color w:val="000000"/>
          <w:sz w:val="14"/>
          <w:szCs w:val="14"/>
        </w:rPr>
      </w:r>
    </w:p>
    <w:p>
      <w:pPr>
        <w:pStyle w:val="Normal"/>
        <w:spacing w:lineRule="auto" w:line="259" w:before="0" w:after="0"/>
        <w:jc w:val="center"/>
        <w:rPr>
          <w:sz w:val="14"/>
          <w:szCs w:val="14"/>
        </w:rPr>
      </w:pPr>
      <w:r>
        <w:rPr>
          <w:rFonts w:cs="Arial" w:ascii="Arial" w:hAnsi="Arial"/>
          <w:b/>
          <w:bCs/>
          <w:iCs/>
          <w:color w:val="000000"/>
          <w:sz w:val="14"/>
          <w:szCs w:val="14"/>
        </w:rPr>
        <w:t xml:space="preserve">POSTANOWIENIA DODATKOWE I ODMIENNE OD OGÓLNYCH WARUNKÓW UBEZPIECZENIA EDU PLUS - </w:t>
      </w:r>
      <w:r>
        <w:rPr>
          <w:rFonts w:cs="Arial" w:ascii="Arial" w:hAnsi="Arial"/>
          <w:b/>
          <w:bCs/>
          <w:iCs/>
          <w:color w:val="EE0000"/>
          <w:sz w:val="14"/>
          <w:szCs w:val="14"/>
        </w:rPr>
        <w:t>OPCJA OCHRONA</w:t>
      </w:r>
    </w:p>
    <w:p>
      <w:pPr>
        <w:pStyle w:val="Normal"/>
        <w:spacing w:lineRule="auto" w:line="259" w:before="0" w:after="0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Normal"/>
        <w:spacing w:lineRule="auto" w:line="259" w:before="0" w:after="0"/>
        <w:jc w:val="center"/>
        <w:rPr>
          <w:sz w:val="14"/>
          <w:szCs w:val="14"/>
        </w:rPr>
      </w:pPr>
      <w:r>
        <w:rPr>
          <w:rFonts w:cs="Arial" w:ascii="Arial" w:hAnsi="Arial"/>
          <w:b/>
          <w:bCs/>
          <w:iCs/>
          <w:color w:val="EE0000"/>
          <w:sz w:val="14"/>
          <w:szCs w:val="14"/>
        </w:rPr>
        <w:t>Dla programu ogólnopolskiego „Ochrona z Klasą” Dariusz Zaborowski</w:t>
      </w:r>
    </w:p>
    <w:p>
      <w:pPr>
        <w:pStyle w:val="Normal"/>
        <w:spacing w:lineRule="auto" w:line="259" w:before="0" w:after="0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Normal"/>
        <w:spacing w:lineRule="auto" w:line="259" w:before="0" w:after="0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Heading2"/>
        <w:numPr>
          <w:ilvl w:val="0"/>
          <w:numId w:val="2"/>
        </w:numPr>
        <w:spacing w:lineRule="auto" w:line="240" w:before="0" w:after="0"/>
        <w:ind w:hanging="0" w:left="0"/>
        <w:jc w:val="both"/>
        <w:rPr>
          <w:sz w:val="14"/>
          <w:szCs w:val="14"/>
        </w:rPr>
      </w:pPr>
      <w:r>
        <w:rPr>
          <w:rFonts w:cs="Arial"/>
          <w:b/>
          <w:iCs/>
          <w:color w:val="000000"/>
          <w:sz w:val="14"/>
          <w:szCs w:val="14"/>
          <w:u w:val="single"/>
        </w:rPr>
        <w:t xml:space="preserve">Ubezpieczenie pobytu w szpitalu w wyniku NW </w:t>
      </w:r>
    </w:p>
    <w:p>
      <w:pPr>
        <w:pStyle w:val="Normal"/>
        <w:spacing w:lineRule="auto" w:line="259" w:before="0" w:after="0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BodyTextIndent"/>
        <w:spacing w:lineRule="auto" w:line="259" w:before="0" w:after="0"/>
        <w:ind w:hanging="0" w:left="0"/>
        <w:jc w:val="center"/>
        <w:rPr/>
      </w:pPr>
      <w:r>
        <w:rPr>
          <w:rStyle w:val="IntenseReference"/>
          <w:rFonts w:cs="Arial" w:ascii="Arial" w:hAnsi="Arial"/>
          <w:iCs/>
          <w:color w:val="000000"/>
          <w:sz w:val="14"/>
          <w:szCs w:val="14"/>
          <w:lang w:val="pl-PL" w:bidi="pl-PL"/>
        </w:rPr>
        <w:t>postanowienia dodatkowe i odmienne od owu</w:t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wordsection1"/>
        <w:spacing w:lineRule="auto" w:line="259" w:before="0" w:after="0"/>
        <w:jc w:val="center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POSTANOWIENIA DODATKOWE I ODMIENNE OD OGÓLNYCH WARUNKÓW UBEZPIECZENIA EDU PLUS ZATWIERDZONYCH UCHWAŁĄ NR 01/24/03/2026 Zarządu UBEZPIECZYCIELA z dnia 24 marca 2026 roku</w:t>
      </w:r>
    </w:p>
    <w:p>
      <w:pPr>
        <w:pStyle w:val="wordsection1"/>
        <w:spacing w:lineRule="auto" w:line="259" w:before="0" w:after="0"/>
        <w:jc w:val="center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Działając na podstawie art. 812 § 8 k.c. InterRisk Towarzystwo Ubezpieczeń Spółka Akcyjna Vienna Insurance Group wskazuje różnice pomiędzy proponowaną treścią umowy a OWU EDU PLUS</w:t>
      </w:r>
    </w:p>
    <w:p>
      <w:pPr>
        <w:pStyle w:val="wordsection1"/>
        <w:spacing w:lineRule="auto" w:line="259" w:before="0" w:after="0"/>
        <w:jc w:val="center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§ 1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Dla potrzeb niniejszej umowy ubezpieczenia wprowadza się następujące postanowienia dodatkowe lub odmienne od w/w ogólnych warunków ubezpieczenia:</w:t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ListParagraph"/>
        <w:numPr>
          <w:ilvl w:val="0"/>
          <w:numId w:val="3"/>
        </w:numPr>
        <w:spacing w:lineRule="auto" w:line="240" w:before="0" w:after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b/>
          <w:iCs/>
          <w:color w:val="000000"/>
          <w:sz w:val="14"/>
          <w:szCs w:val="14"/>
        </w:rPr>
        <w:t xml:space="preserve">w § 5 ust. 1 pkt 3) otrzymuje brzmienie: 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bCs/>
          <w:iCs/>
          <w:color w:val="000000"/>
          <w:sz w:val="14"/>
          <w:szCs w:val="14"/>
        </w:rPr>
        <w:t>„3) uszkodzeniami ciała powstałymi przed dniem rozpoczęcia ochrony ubezpieczeniowej, za wyjątkiem Opcji Dodatkowej D3 – pobyt w szpitalu</w:t>
      </w:r>
      <w:r>
        <w:rPr>
          <w:rFonts w:cs="Arial" w:ascii="Arial" w:hAnsi="Arial"/>
          <w:iCs/>
          <w:color w:val="000000"/>
          <w:sz w:val="14"/>
          <w:szCs w:val="14"/>
        </w:rPr>
        <w:t xml:space="preserve"> w wyniku nieszczęśliwego wypadku, gdzie InterRisk odpowiada za pobyt w szpitalu w wyniku nieszczęśliwego wypadku, który miał miejsce w trakcie trwania ochrony ubezpieczeniowej lub w trakcie poprzedniego okresu ubezpieczenia, o ile Ubezpieczony bezpośrednio przed zawarciem przez Ubezpieczającego umowy ubezpieczenia z InterRisk był objęty przez InterRisk ochroną ubezpieczeniową w ramach ubezpieczenia pobytu w szpitalu w wyniku nieszczęśliwego wypadku a pomiędzy obecną i poprzednią umową ubezpieczenia nie wystąpiła przerwa w okresie ubezpieczenia;”</w:t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ListParagraph"/>
        <w:numPr>
          <w:ilvl w:val="0"/>
          <w:numId w:val="3"/>
        </w:numPr>
        <w:spacing w:lineRule="auto" w:line="240" w:before="0" w:after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b/>
          <w:bCs/>
          <w:iCs/>
          <w:color w:val="000000"/>
          <w:sz w:val="14"/>
          <w:szCs w:val="14"/>
        </w:rPr>
        <w:t>§ 11 ust. 1 pkt 3) otrzymuje brzmienie</w:t>
      </w:r>
      <w:r>
        <w:rPr>
          <w:rFonts w:cs="Arial" w:ascii="Arial" w:hAnsi="Arial"/>
          <w:iCs/>
          <w:color w:val="000000"/>
          <w:sz w:val="14"/>
          <w:szCs w:val="14"/>
        </w:rPr>
        <w:t>:</w:t>
      </w:r>
    </w:p>
    <w:p>
      <w:pPr>
        <w:pStyle w:val="BodyText"/>
        <w:spacing w:lineRule="auto" w:line="259" w:before="0" w:after="0"/>
        <w:jc w:val="both"/>
        <w:rPr/>
      </w:pPr>
      <w:r>
        <w:rPr>
          <w:rFonts w:cs="Arial" w:ascii="Arial" w:hAnsi="Arial"/>
          <w:b/>
          <w:iCs/>
          <w:color w:val="000000"/>
          <w:sz w:val="14"/>
          <w:szCs w:val="14"/>
        </w:rPr>
        <w:t>„3) Opcja Dodatkowa D3 – pobyt w szpitalu w wyniku nieszczęśliwego wypadku</w:t>
      </w:r>
      <w:r>
        <w:rPr>
          <w:rFonts w:cs="Arial" w:ascii="Arial" w:hAnsi="Arial"/>
          <w:iCs/>
          <w:color w:val="000000"/>
          <w:sz w:val="14"/>
          <w:szCs w:val="14"/>
        </w:rPr>
        <w:t xml:space="preserve"> – świadczenie płatne za każdy dzień pobytu w szpitalu, począwszy od 1-go dnia , będącego następstwem nieszczęśliwego wypadku, który miał miejsce w okresie ochrony ubezpieczeniowej pod warunkiem pobytu w szpitalu trwającego minimum 2 dni</w:t>
      </w:r>
      <w:r>
        <w:rPr>
          <w:rStyle w:val="fontstyle21"/>
          <w:rFonts w:cs="Arial" w:ascii="Arial" w:hAnsi="Arial"/>
          <w:iCs/>
          <w:color w:val="000000"/>
          <w:sz w:val="14"/>
          <w:szCs w:val="14"/>
        </w:rPr>
        <w:t xml:space="preserve"> </w:t>
      </w:r>
      <w:r>
        <w:rPr>
          <w:rFonts w:cs="Arial" w:ascii="Arial" w:hAnsi="Arial"/>
          <w:iCs/>
          <w:color w:val="000000"/>
          <w:sz w:val="14"/>
          <w:szCs w:val="14"/>
        </w:rPr>
        <w:t xml:space="preserve">lub w trakcie poprzedniego okresu ubezpieczenia, o ile Ubezpieczony bezpośrednio przed zawarciem przez Ubezpieczającego umowy ubezpieczenia z InterRisk był objęty przez InterRisk ochroną ubezpieczeniową w ramach ubezpieczenia pobytu w szpitalu w wyniku nieszczęśliwego wypadku </w:t>
      </w:r>
    </w:p>
    <w:p>
      <w:pPr>
        <w:pStyle w:val="Normal"/>
        <w:spacing w:lineRule="auto" w:line="259" w:before="0" w:after="0"/>
        <w:jc w:val="both"/>
        <w:rPr/>
      </w:pPr>
      <w:r>
        <w:rPr>
          <w:rStyle w:val="fontstyle21"/>
          <w:rFonts w:eastAsia="Aptos" w:cs="Arial" w:ascii="Arial" w:hAnsi="Arial"/>
          <w:iCs/>
          <w:color w:val="000000"/>
          <w:sz w:val="14"/>
          <w:szCs w:val="14"/>
        </w:rPr>
        <w:t xml:space="preserve"> 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 xml:space="preserve">W przypadku kolejnych, następujących po sobie pobytów w szpitalu w związku z tym samym nieszczęśliwym wypadkiem świadczenie szpitalne przysługuje od pierwszego dnia pobytu w szpitalu pod warunkiem, że pierwszy pobyt w szpitalu w wyniku nieszczęśliwego wypadku trwał minimum 2 dni. Świadczenie z tytułu pobytu w szpitalu w wyniku nieszczęśliwego wypadku przysługuje maksymalnie za 100 dni pobytu w szpitalu. </w:t>
      </w:r>
    </w:p>
    <w:p>
      <w:pPr>
        <w:pStyle w:val="BodyText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BodyText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Gdy wypis ze szpitala nastąpi po zakończeniu okresu ubezpieczenia pobyt w szpitalu jest objęty odpowiedzialnością Ubezpieczyciela, pod warunkiem, że przyjęcie do szpitala nastąpiło w okresie ochrony ubezpieczeniowej.”</w:t>
      </w:r>
    </w:p>
    <w:p>
      <w:pPr>
        <w:pStyle w:val="BodyText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BodyText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Heading2"/>
        <w:numPr>
          <w:ilvl w:val="0"/>
          <w:numId w:val="2"/>
        </w:numPr>
        <w:spacing w:lineRule="auto" w:line="240" w:before="0" w:after="0"/>
        <w:ind w:hanging="0" w:left="0"/>
        <w:jc w:val="both"/>
        <w:rPr>
          <w:sz w:val="14"/>
          <w:szCs w:val="14"/>
        </w:rPr>
      </w:pPr>
      <w:r>
        <w:rPr>
          <w:rFonts w:cs="Arial"/>
          <w:b/>
          <w:iCs/>
          <w:color w:val="000000"/>
          <w:sz w:val="14"/>
          <w:szCs w:val="14"/>
          <w:u w:val="single"/>
        </w:rPr>
        <w:t>Ubezpieczenie pobytu w szpitalu w wyniku choroby</w:t>
      </w:r>
    </w:p>
    <w:p>
      <w:pPr>
        <w:pStyle w:val="ListParagraph"/>
        <w:spacing w:lineRule="auto" w:line="240" w:before="0" w:after="0"/>
        <w:ind w:hanging="0" w:left="0"/>
        <w:contextualSpacing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BodyTextIndent"/>
        <w:spacing w:lineRule="auto" w:line="259" w:before="0" w:after="0"/>
        <w:ind w:hanging="0" w:left="0"/>
        <w:jc w:val="center"/>
        <w:rPr/>
      </w:pPr>
      <w:r>
        <w:rPr>
          <w:rStyle w:val="IntenseReference"/>
          <w:rFonts w:cs="Arial" w:ascii="Arial" w:hAnsi="Arial"/>
          <w:iCs/>
          <w:color w:val="000000"/>
          <w:sz w:val="14"/>
          <w:szCs w:val="14"/>
          <w:lang w:val="pl-PL" w:bidi="pl-PL"/>
        </w:rPr>
        <w:t>postanowienia dodatkowe i odmienne od owu</w:t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wordsection1"/>
        <w:spacing w:lineRule="auto" w:line="259" w:before="0" w:after="0"/>
        <w:jc w:val="center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POSTANOWIENIA DODATKOWE I ODMIENNE OD OGÓLNYCH WARUNKÓW UBEZPIECZENIA EDU PLUS ZATWIERDZONYCH UCHWAŁĄ NR 01/24/03/2026 Zarządu UBEZPIECZYCIELA z dnia 24 marca 2026 roku</w:t>
      </w:r>
    </w:p>
    <w:p>
      <w:pPr>
        <w:pStyle w:val="wordsection1"/>
        <w:spacing w:lineRule="auto" w:line="259" w:before="0" w:after="0"/>
        <w:jc w:val="center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Działając na podstawie art. 812 § 8 k.c. InterRisk Towarzystwo Ubezpieczeń Spółka Akcyjna Vienna Insurance Group wskazuje różnice pomiędzy proponowaną treścią umowy a OWU EDU PLUS</w:t>
      </w:r>
    </w:p>
    <w:p>
      <w:pPr>
        <w:pStyle w:val="wordsection1"/>
        <w:spacing w:lineRule="auto" w:line="259" w:before="0" w:after="0"/>
        <w:jc w:val="center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§ 1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Dla potrzeb niniejszej umowy ubezpieczenia wprowadza się następujące postanowienia dodatkowe lub odmienne od w/w ogólnych warunków ubezpieczenia:</w:t>
      </w:r>
    </w:p>
    <w:p>
      <w:pPr>
        <w:pStyle w:val="BodyText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ListParagraph"/>
        <w:numPr>
          <w:ilvl w:val="0"/>
          <w:numId w:val="6"/>
        </w:numPr>
        <w:spacing w:lineRule="auto" w:line="240" w:before="0" w:after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b/>
          <w:iCs/>
          <w:color w:val="000000"/>
          <w:sz w:val="14"/>
          <w:szCs w:val="14"/>
        </w:rPr>
        <w:t xml:space="preserve">w § 5 ust. 1 pkt 4) otrzymuje brzmienie: 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bCs/>
          <w:iCs/>
          <w:color w:val="000000"/>
          <w:sz w:val="14"/>
          <w:szCs w:val="14"/>
        </w:rPr>
        <w:t>„4) chorobami, które zostały rozpoznane przed dniem rozpoczęcia ochrony ubezpieczeniowej, za wyjątkiem Opcji Dodatkowej D4 – pobyt w szpitalu</w:t>
      </w:r>
      <w:r>
        <w:rPr>
          <w:rFonts w:cs="Arial" w:ascii="Arial" w:hAnsi="Arial"/>
          <w:iCs/>
          <w:color w:val="000000"/>
          <w:sz w:val="14"/>
          <w:szCs w:val="14"/>
        </w:rPr>
        <w:t xml:space="preserve"> w wyniku choroby - gdzie InterRisk odpowiada za pobyt w szpitalu w wyniku nowotworu złośliwego rozpoznanego zarówno w trakcie trwania ochrony ubezpieczeniowej, jak i w trakcie poprzedniego okresu ubezpieczenia, o ile Ubezpieczony bezpośrednio przed zawarciem przez Ubezpieczającego umowy ubezpieczenia z InterRisk był objęty przez InterRisk ochroną ubezpieczeniową w ramach ubezpieczenia pobytu w szpitalu w wyniku choroby a pomiędzy obecną i poprzednią umową ubezpieczenia nie wystąpiła przerwa w okresie ubezpieczenia;”</w:t>
      </w:r>
    </w:p>
    <w:p>
      <w:pPr>
        <w:pStyle w:val="BodyText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ListParagraph"/>
        <w:numPr>
          <w:ilvl w:val="0"/>
          <w:numId w:val="6"/>
        </w:numPr>
        <w:spacing w:lineRule="auto" w:line="240" w:before="0" w:after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b/>
          <w:bCs/>
          <w:iCs/>
          <w:color w:val="000000"/>
          <w:sz w:val="14"/>
          <w:szCs w:val="14"/>
        </w:rPr>
        <w:t>§ 11 ust. 1 pkt 4) otrzymuje brzmienie:</w:t>
      </w:r>
    </w:p>
    <w:p>
      <w:pPr>
        <w:pStyle w:val="Normal"/>
        <w:spacing w:lineRule="auto" w:line="259" w:before="0" w:after="0"/>
        <w:jc w:val="both"/>
        <w:rPr/>
      </w:pPr>
      <w:r>
        <w:rPr>
          <w:rStyle w:val="fontstyle01"/>
          <w:rFonts w:eastAsia="Aptos" w:cs="Arial" w:ascii="Arial" w:hAnsi="Arial"/>
          <w:bCs/>
          <w:iCs/>
          <w:color w:val="000000"/>
          <w:sz w:val="14"/>
          <w:szCs w:val="14"/>
        </w:rPr>
        <w:t xml:space="preserve">“4) Opcja Dodatkowa D4 </w:t>
      </w:r>
      <w:r>
        <w:rPr>
          <w:rStyle w:val="fontstyle21"/>
          <w:rFonts w:eastAsia="Aptos" w:cs="Arial" w:ascii="Arial" w:hAnsi="Arial"/>
          <w:iCs/>
          <w:color w:val="000000"/>
          <w:sz w:val="14"/>
          <w:szCs w:val="14"/>
        </w:rPr>
        <w:t xml:space="preserve">– </w:t>
      </w:r>
      <w:r>
        <w:rPr>
          <w:rStyle w:val="fontstyle01"/>
          <w:rFonts w:eastAsia="Aptos" w:cs="Arial" w:ascii="Arial" w:hAnsi="Arial"/>
          <w:bCs/>
          <w:iCs/>
          <w:color w:val="000000"/>
          <w:sz w:val="14"/>
          <w:szCs w:val="14"/>
        </w:rPr>
        <w:t xml:space="preserve">pobyt w szpitalu w wyniku choroby </w:t>
      </w:r>
      <w:r>
        <w:rPr>
          <w:rStyle w:val="fontstyle21"/>
          <w:rFonts w:eastAsia="Aptos" w:cs="Arial" w:ascii="Arial" w:hAnsi="Arial"/>
          <w:iCs/>
          <w:color w:val="000000"/>
          <w:sz w:val="14"/>
          <w:szCs w:val="14"/>
        </w:rPr>
        <w:t xml:space="preserve">– </w:t>
      </w:r>
      <w:r>
        <w:rPr>
          <w:rFonts w:cs="Arial" w:ascii="Arial" w:hAnsi="Arial"/>
          <w:iCs/>
          <w:color w:val="000000"/>
          <w:sz w:val="14"/>
          <w:szCs w:val="14"/>
        </w:rPr>
        <w:t>świadczenie płatne za każdy dzień pobytu w szpitalu, począwszy od 2-go dnia</w:t>
      </w:r>
      <w:r>
        <w:rPr>
          <w:rStyle w:val="fontstyle21"/>
          <w:rFonts w:eastAsia="Aptos" w:cs="Arial" w:ascii="Arial" w:hAnsi="Arial"/>
          <w:iCs/>
          <w:color w:val="000000"/>
          <w:sz w:val="14"/>
          <w:szCs w:val="14"/>
        </w:rPr>
        <w:t xml:space="preserve"> w związku z chorobą, która została rozpoznana</w:t>
      </w:r>
      <w:r>
        <w:rPr>
          <w:rFonts w:cs="Arial" w:ascii="Arial" w:hAnsi="Arial"/>
          <w:iCs/>
          <w:color w:val="000000"/>
          <w:sz w:val="14"/>
          <w:szCs w:val="14"/>
        </w:rPr>
        <w:t xml:space="preserve"> </w:t>
      </w:r>
      <w:r>
        <w:rPr>
          <w:rStyle w:val="fontstyle21"/>
          <w:rFonts w:eastAsia="Aptos" w:cs="Arial" w:ascii="Arial" w:hAnsi="Arial"/>
          <w:iCs/>
          <w:color w:val="000000"/>
          <w:sz w:val="14"/>
          <w:szCs w:val="14"/>
        </w:rPr>
        <w:t xml:space="preserve">w okresie ochrony ubezpieczeniowej, </w:t>
      </w:r>
      <w:r>
        <w:rPr>
          <w:rFonts w:cs="Arial" w:ascii="Arial" w:hAnsi="Arial"/>
          <w:iCs/>
          <w:color w:val="000000"/>
          <w:sz w:val="14"/>
          <w:szCs w:val="14"/>
        </w:rPr>
        <w:t>oraz</w:t>
      </w:r>
      <w:r>
        <w:rPr>
          <w:rStyle w:val="fontstyle21"/>
          <w:rFonts w:eastAsia="Aptos" w:cs="Arial" w:ascii="Arial" w:hAnsi="Arial"/>
          <w:iCs/>
          <w:color w:val="000000"/>
          <w:sz w:val="14"/>
          <w:szCs w:val="14"/>
        </w:rPr>
        <w:t xml:space="preserve"> </w:t>
      </w:r>
      <w:r>
        <w:rPr>
          <w:rFonts w:cs="Arial" w:ascii="Arial" w:hAnsi="Arial"/>
          <w:iCs/>
          <w:color w:val="000000"/>
          <w:sz w:val="14"/>
          <w:szCs w:val="14"/>
        </w:rPr>
        <w:t>pod warunkiem pobytu w szpitalu trwającego minimum 3 dni</w:t>
      </w:r>
      <w:r>
        <w:rPr>
          <w:rStyle w:val="fontstyle21"/>
          <w:rFonts w:eastAsia="Aptos" w:cs="Arial" w:ascii="Arial" w:hAnsi="Arial"/>
          <w:iCs/>
          <w:color w:val="000000"/>
          <w:sz w:val="14"/>
          <w:szCs w:val="14"/>
        </w:rPr>
        <w:t xml:space="preserve">. </w:t>
      </w:r>
    </w:p>
    <w:p>
      <w:pPr>
        <w:pStyle w:val="Normal"/>
        <w:spacing w:lineRule="auto" w:line="259" w:before="0" w:after="0"/>
        <w:jc w:val="both"/>
        <w:rPr/>
      </w:pPr>
      <w:r>
        <w:rPr>
          <w:rStyle w:val="fontstyle21"/>
          <w:rFonts w:eastAsia="Aptos" w:cs="Arial" w:ascii="Arial" w:hAnsi="Arial"/>
          <w:iCs/>
          <w:color w:val="000000"/>
          <w:sz w:val="14"/>
          <w:szCs w:val="14"/>
        </w:rPr>
        <w:t>W przypadku kolejnych, następujących po sobie pobytów w szpitalu w związku z tą samą chorobą świadczenie</w:t>
      </w:r>
      <w:r>
        <w:rPr>
          <w:rFonts w:cs="Arial" w:ascii="Arial" w:hAnsi="Arial"/>
          <w:iCs/>
          <w:color w:val="000000"/>
          <w:sz w:val="14"/>
          <w:szCs w:val="14"/>
        </w:rPr>
        <w:t xml:space="preserve"> </w:t>
      </w:r>
      <w:r>
        <w:rPr>
          <w:rStyle w:val="fontstyle21"/>
          <w:rFonts w:eastAsia="Aptos" w:cs="Arial" w:ascii="Arial" w:hAnsi="Arial"/>
          <w:iCs/>
          <w:color w:val="000000"/>
          <w:sz w:val="14"/>
          <w:szCs w:val="14"/>
        </w:rPr>
        <w:t>szpitalne przysługuje od pierwszego dnia pobytu w szpitalu, pod warunkiem, że</w:t>
      </w:r>
      <w:r>
        <w:rPr>
          <w:rFonts w:cs="Arial" w:ascii="Arial" w:hAnsi="Arial"/>
          <w:iCs/>
          <w:color w:val="000000"/>
          <w:sz w:val="14"/>
          <w:szCs w:val="14"/>
        </w:rPr>
        <w:t xml:space="preserve"> </w:t>
      </w:r>
      <w:r>
        <w:rPr>
          <w:rStyle w:val="fontstyle21"/>
          <w:rFonts w:eastAsia="Aptos" w:cs="Arial" w:ascii="Arial" w:hAnsi="Arial"/>
          <w:iCs/>
          <w:color w:val="000000"/>
          <w:sz w:val="14"/>
          <w:szCs w:val="14"/>
        </w:rPr>
        <w:t>pierwszy pobyt w szpitalu trwał minimum 3 dni. Świadczenie z tytułu pobytu</w:t>
      </w:r>
      <w:r>
        <w:rPr>
          <w:rFonts w:cs="Arial" w:ascii="Arial" w:hAnsi="Arial"/>
          <w:iCs/>
          <w:color w:val="000000"/>
          <w:sz w:val="14"/>
          <w:szCs w:val="14"/>
        </w:rPr>
        <w:t xml:space="preserve"> </w:t>
      </w:r>
      <w:r>
        <w:rPr>
          <w:rStyle w:val="fontstyle21"/>
          <w:rFonts w:eastAsia="Aptos" w:cs="Arial" w:ascii="Arial" w:hAnsi="Arial"/>
          <w:iCs/>
          <w:color w:val="000000"/>
          <w:sz w:val="14"/>
          <w:szCs w:val="14"/>
        </w:rPr>
        <w:t xml:space="preserve">w szpitalu w wyniku choroby przysługuje maksymalnie za 100 dni pobytu w szpitalu. </w:t>
      </w:r>
    </w:p>
    <w:p>
      <w:pPr>
        <w:pStyle w:val="Normal"/>
        <w:spacing w:lineRule="auto" w:line="259" w:before="0" w:after="0"/>
        <w:jc w:val="both"/>
        <w:rPr/>
      </w:pPr>
      <w:r>
        <w:rPr>
          <w:rStyle w:val="fontstyle21"/>
          <w:rFonts w:eastAsia="Aptos" w:cs="Arial" w:ascii="Arial" w:hAnsi="Arial"/>
          <w:iCs/>
          <w:color w:val="000000"/>
          <w:sz w:val="14"/>
          <w:szCs w:val="14"/>
          <w:lang w:eastAsia="pl-PL"/>
        </w:rPr>
        <w:t>Gdy wypis ze szpitala nastąpi po zakończeniu okresu ubezpieczenia pobyt</w:t>
      </w:r>
      <w:r>
        <w:rPr>
          <w:rFonts w:cs="Arial" w:ascii="Arial" w:hAnsi="Arial"/>
          <w:iCs/>
          <w:color w:val="000000"/>
          <w:sz w:val="14"/>
          <w:szCs w:val="14"/>
          <w:lang w:eastAsia="pl-PL"/>
        </w:rPr>
        <w:t xml:space="preserve"> </w:t>
      </w:r>
      <w:r>
        <w:rPr>
          <w:rStyle w:val="fontstyle21"/>
          <w:rFonts w:eastAsia="Aptos" w:cs="Arial" w:ascii="Arial" w:hAnsi="Arial"/>
          <w:iCs/>
          <w:color w:val="000000"/>
          <w:sz w:val="14"/>
          <w:szCs w:val="14"/>
          <w:lang w:eastAsia="pl-PL"/>
        </w:rPr>
        <w:t>w szpitalu jest objęty odpowiedzialnością Ubezpieczyciela, pod warunkiem że</w:t>
      </w:r>
      <w:r>
        <w:rPr>
          <w:rFonts w:cs="Arial" w:ascii="Arial" w:hAnsi="Arial"/>
          <w:iCs/>
          <w:color w:val="000000"/>
          <w:sz w:val="14"/>
          <w:szCs w:val="14"/>
          <w:lang w:eastAsia="pl-PL"/>
        </w:rPr>
        <w:t xml:space="preserve"> </w:t>
      </w:r>
      <w:r>
        <w:rPr>
          <w:rStyle w:val="fontstyle21"/>
          <w:rFonts w:eastAsia="Aptos" w:cs="Arial" w:ascii="Arial" w:hAnsi="Arial"/>
          <w:iCs/>
          <w:color w:val="000000"/>
          <w:sz w:val="14"/>
          <w:szCs w:val="14"/>
          <w:lang w:eastAsia="pl-PL"/>
        </w:rPr>
        <w:t>przyjęcie do szpitala nastąpiło w okresie ochrony ubezpieczeniowej.”</w:t>
      </w:r>
      <w:r>
        <w:rPr>
          <w:rFonts w:cs="Arial" w:ascii="Arial" w:hAnsi="Arial"/>
          <w:iCs/>
          <w:color w:val="000000"/>
          <w:sz w:val="14"/>
          <w:szCs w:val="14"/>
          <w:lang w:eastAsia="pl-PL"/>
        </w:rPr>
        <w:t xml:space="preserve"> </w:t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W przypadku pobytu w szpitalu w związku z nowotworem złośliwym rozpoznanym w trakcie poprzedniego okresu ubezpieczenia, o ile Ubezpieczony bezpośrednio przed zawarciem przez Ubezpieczającego umowy ubezpieczenia z InterRisk był objęty przez InterRisk ochroną ubezpieczeniową w ramach ubezpieczenia pobytu w szpitalu w wyniku choroby a pomiędzy obecną i poprzednią umową ubezpieczenia nie wystąpiła przerwa w okresie ubezpieczenia, przysługuje jednorazowe świadczenie w wysokości 300 zł, pod warunkiem, że pobyt w szpitalu trwał minimum 5 dni.</w:t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  <w:shd w:fill="FFFF00" w:val="clear"/>
        </w:rPr>
      </w:pPr>
      <w:r>
        <w:rPr>
          <w:rFonts w:cs="Arial" w:ascii="Arial" w:hAnsi="Arial"/>
          <w:iCs/>
          <w:color w:val="000000"/>
          <w:sz w:val="14"/>
          <w:szCs w:val="14"/>
          <w:shd w:fill="FFFF00" w:val="clear"/>
        </w:rPr>
      </w:r>
    </w:p>
    <w:p>
      <w:pPr>
        <w:pStyle w:val="Heading2"/>
        <w:numPr>
          <w:ilvl w:val="0"/>
          <w:numId w:val="2"/>
        </w:numPr>
        <w:spacing w:lineRule="auto" w:line="240" w:before="0" w:after="0"/>
        <w:ind w:hanging="360" w:left="360"/>
        <w:jc w:val="both"/>
        <w:rPr>
          <w:sz w:val="14"/>
          <w:szCs w:val="14"/>
        </w:rPr>
      </w:pPr>
      <w:r>
        <w:rPr>
          <w:rFonts w:eastAsia="Times New Roman" w:cs="Arial"/>
          <w:b/>
          <w:bCs/>
          <w:iCs/>
          <w:color w:val="000000"/>
          <w:sz w:val="14"/>
          <w:szCs w:val="14"/>
          <w:u w:val="single"/>
        </w:rPr>
        <w:t>Wypadek podczas wycieczki szkolnej</w:t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BodyTextIndent"/>
        <w:spacing w:lineRule="auto" w:line="259" w:before="0" w:after="0"/>
        <w:ind w:hanging="0" w:left="0"/>
        <w:jc w:val="center"/>
        <w:rPr/>
      </w:pPr>
      <w:r>
        <w:rPr>
          <w:rStyle w:val="IntenseReference"/>
          <w:rFonts w:cs="Arial" w:ascii="Arial" w:hAnsi="Arial"/>
          <w:iCs/>
          <w:color w:val="000000"/>
          <w:sz w:val="14"/>
          <w:szCs w:val="14"/>
          <w:lang w:val="pl-PL" w:bidi="pl-PL"/>
        </w:rPr>
        <w:t>postanowienia dodatkowe i odmienne od owu</w:t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wordsection1"/>
        <w:spacing w:lineRule="auto" w:line="259" w:before="0" w:after="0"/>
        <w:jc w:val="center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POSTANOWIENIA DODATKOWE I ODMIENNE OD OGÓLNYCH WARUNKÓW UBEZPIECZENIA EDU PLUS ZATWIERDZONYCH UCHWAŁĄ NR 01/24/03/2026 Zarządu UBEZPIECZYCIELA z dnia 24 marca 2026 roku</w:t>
      </w:r>
    </w:p>
    <w:p>
      <w:pPr>
        <w:pStyle w:val="wordsection1"/>
        <w:spacing w:lineRule="auto" w:line="259" w:before="0" w:after="0"/>
        <w:jc w:val="center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Działając na podstawie art. 812 § 8 k.c. InterRisk Towarzystwo Ubezpieczeń Spółka Akcyjna Vienna Insurance Group wskazuje różnice pomiędzy proponowaną treścią umowy a OWU EDU PLUS</w:t>
      </w:r>
    </w:p>
    <w:p>
      <w:pPr>
        <w:pStyle w:val="wordsection1"/>
        <w:spacing w:lineRule="auto" w:line="259" w:before="0" w:after="0"/>
        <w:jc w:val="center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§ 1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Dla potrzeb niniejszej umowy ubezpieczenia wprowadza się następujące postanowienia dodatkowe lub odmienne od w/w ogólnych warunków ubezpieczenia:</w:t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ListParagraph"/>
        <w:numPr>
          <w:ilvl w:val="0"/>
          <w:numId w:val="4"/>
        </w:numPr>
        <w:spacing w:lineRule="auto" w:line="240" w:before="0" w:after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W §22 dodaje się ust. 9  w brzmieniu: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„9. W przypadku gdy nieszczęśliwy wypadek, któremu uległ Ubezpieczony wydarzył się podczas co najmniej dwudniowej wycieczki organizowanej przez placówkę oświatową, do której uczęszczał lub w której zatrudniony był (w przypadku pracowników) Ubezpieczony, świadczenia o których mowa w § 8 pkt 1), 4) oraz Tabeli nr 2 w OWU – zostają podwyższone o 25%, czyli z zastosowaniem mnożnika 1,25 wobec obliczonej wysokości świadczenia zgodnie z postanowieniami w w/w punktach i Tabeli nr 2.</w:t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BodyTextIndent"/>
        <w:numPr>
          <w:ilvl w:val="0"/>
          <w:numId w:val="2"/>
        </w:numPr>
        <w:spacing w:lineRule="auto" w:line="259" w:before="0" w:after="0"/>
        <w:rPr/>
      </w:pPr>
      <w:r>
        <w:rPr>
          <w:rStyle w:val="IntenseReference"/>
          <w:rFonts w:cs="Arial" w:ascii="Arial" w:hAnsi="Arial"/>
          <w:iCs/>
          <w:color w:val="000000"/>
          <w:sz w:val="14"/>
          <w:szCs w:val="14"/>
          <w:u w:val="single"/>
          <w:lang w:val="pl-PL" w:bidi="pl-PL"/>
        </w:rPr>
        <w:t>sporty i aktywności wysokiego ryzyka</w:t>
      </w:r>
    </w:p>
    <w:p>
      <w:pPr>
        <w:pStyle w:val="BodyTextIndent"/>
        <w:spacing w:lineRule="auto" w:line="259" w:before="0" w:after="0"/>
        <w:ind w:hanging="0" w:left="0"/>
        <w:jc w:val="center"/>
        <w:rPr>
          <w:rFonts w:ascii="Arial" w:hAnsi="Arial" w:cs="Arial"/>
          <w:b/>
          <w:bCs/>
          <w:iCs/>
          <w:smallCaps/>
          <w:color w:val="000000"/>
          <w:spacing w:val="5"/>
          <w:sz w:val="14"/>
          <w:szCs w:val="14"/>
          <w:lang w:val="pl-PL" w:bidi="pl-PL"/>
        </w:rPr>
      </w:pPr>
      <w:r>
        <w:rPr>
          <w:rFonts w:cs="Arial" w:ascii="Arial" w:hAnsi="Arial"/>
          <w:b/>
          <w:bCs/>
          <w:iCs/>
          <w:smallCaps/>
          <w:color w:val="000000"/>
          <w:spacing w:val="5"/>
          <w:sz w:val="14"/>
          <w:szCs w:val="14"/>
          <w:lang w:val="pl-PL" w:bidi="pl-PL"/>
        </w:rPr>
      </w:r>
    </w:p>
    <w:p>
      <w:pPr>
        <w:pStyle w:val="BodyTextIndent"/>
        <w:spacing w:lineRule="auto" w:line="259" w:before="0" w:after="0"/>
        <w:ind w:hanging="0" w:left="0"/>
        <w:jc w:val="center"/>
        <w:rPr/>
      </w:pPr>
      <w:r>
        <w:rPr>
          <w:rStyle w:val="IntenseReference"/>
          <w:rFonts w:cs="Arial" w:ascii="Arial" w:hAnsi="Arial"/>
          <w:iCs/>
          <w:color w:val="000000"/>
          <w:sz w:val="14"/>
          <w:szCs w:val="14"/>
          <w:lang w:val="pl-PL" w:bidi="pl-PL"/>
        </w:rPr>
        <w:t>postanowienia dodatkowe i odmienne od owu</w:t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wordsection1"/>
        <w:spacing w:lineRule="auto" w:line="259" w:before="0" w:after="0"/>
        <w:jc w:val="center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POSTANOWIENIA DODATKOWE I ODMIENNE OD OGÓLNYCH WARUNKÓW UBEZPIECZENIA EDU PLUS ZATWIERDZONYCH UCHWAŁĄ NR 01/24/03/2026 Zarządu UBEZPIECZYCIELA z dnia 24 marca 2026 roku</w:t>
      </w:r>
    </w:p>
    <w:p>
      <w:pPr>
        <w:pStyle w:val="wordsection1"/>
        <w:spacing w:lineRule="auto" w:line="259" w:before="0" w:after="0"/>
        <w:jc w:val="center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Działając na podstawie art. 812 § 8 k.c. InterRisk Towarzystwo Ubezpieczeń Spółka Akcyjna Vienna Insurance Group wskazuje różnice pomiędzy proponowaną treścią umowy a OWU EDU PLUS</w:t>
      </w:r>
    </w:p>
    <w:p>
      <w:pPr>
        <w:pStyle w:val="wordsection1"/>
        <w:spacing w:lineRule="auto" w:line="259" w:before="0" w:after="0"/>
        <w:jc w:val="center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§ 1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Dla potrzeb niniejszej umowy ubezpieczenia wprowadza się następujące postanowienia dodatkowe lub odmienne od w/w ogólnych warunków ubezpieczenia:</w:t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ListParagraph"/>
        <w:numPr>
          <w:ilvl w:val="0"/>
          <w:numId w:val="5"/>
        </w:numPr>
        <w:spacing w:lineRule="auto" w:line="240" w:before="0" w:after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w  §2 pkt 87)  otrzymuje brzmienie:</w:t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 xml:space="preserve">„87) </w:t>
      </w:r>
      <w:r>
        <w:rPr>
          <w:rFonts w:cs="Arial" w:ascii="Arial" w:hAnsi="Arial"/>
          <w:b/>
          <w:bCs/>
          <w:iCs/>
          <w:color w:val="000000"/>
          <w:sz w:val="14"/>
          <w:szCs w:val="14"/>
        </w:rPr>
        <w:t xml:space="preserve">sporty i aktywności wysokiego ryzyka </w:t>
      </w:r>
      <w:r>
        <w:rPr>
          <w:rFonts w:cs="Arial" w:ascii="Arial" w:hAnsi="Arial"/>
          <w:iCs/>
          <w:color w:val="000000"/>
          <w:sz w:val="14"/>
          <w:szCs w:val="14"/>
        </w:rPr>
        <w:t>– highlining, slacklining, boul</w:t>
        <w:softHyphen/>
        <w:t>dering, wspinaczka skalna w terenie naturalnym, wspinaczka lodowa, taternictwo, alpinizm, himalaizm, skialpinizm i trekking, czyli forma turystyki pieszej, uprawiana w trudnych warunkach terenowych i klimatycznych: rzecznych, bagiennych, na wulkanach, pustyniach, terenach tropikalnych, lodowcach, górach powyżej wysokości 2 500 n.p.m. lub poza wyznaczonymi górskimi szlakami turystycznymi, zjazdy ekstremalne na nartach, również freestyle, freeride, snowboarding wysokogórski, snowboarding prędko</w:t>
        <w:softHyphen/>
        <w:t>ściowy, skoki i ewolucje narciarskie i snowboardowe, rafting, canyoning, hydrospeed, kajakarstwo górskie, szybownictwo, spadochroniarstwo, lotniarstwo, paralotniarstwo, motolotniarstwo, baloniarstwo, pilotowanie samolotów lub śmigłowców, zorbing, skoki z/na bungee, nurkowanie po</w:t>
        <w:softHyphen/>
        <w:t>wyżej głębokości 20 m, parkour, freerun, buggykitting, windsurfing, jazda w skate parku, jazda quadem, motorem typu cross, kitesurfing, żegluga poza wodami terytorialnymi w odległości powyżej 12 mil morskich od brzegu, kolarstwo ekstremalne, kolarstwo górskie, speleologia, bobsleje, saneczkarstwo, sporty motocyklowe obejmujące: wyścigi drogowe, rajdy motocyklowe, motocross, torowe wyścigi motocyklowe, do których nale</w:t>
        <w:softHyphen/>
        <w:t>żą: sport żużlowy, wyścigi na lodzie, wyścigi na trawie, wyścigi na torach długich (około 1000 metrów), Gymkhana motocyklowa, karting, wyścigi gokartów; sport samochodowy obejmujący wyścigi samochodowe i rajdy samochodowe, heliskiing, heliboarding, freefall, downhill, b.a.s.e. jumping, dream jumping oraz zjazdy na nartach lub snowboardzie poza wyznaczo</w:t>
        <w:softHyphen/>
        <w:t>nymi trasami, jazda na nartach wodnych oraz sporty, w których wykorzy</w:t>
        <w:softHyphen/>
        <w:t>stywane są pojazdy przeznaczone do poruszania się po śniegu lub lodzie, sporty walki z wyjątkiem: aikido, brazylijskie jiu-jitsu, capoeira, jiu-jitsu, judo, karate, kendo, kung-fu, szermierka, tai chi, taekwondo, zapasy, boks;”</w:t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BodyTextIndent"/>
        <w:numPr>
          <w:ilvl w:val="0"/>
          <w:numId w:val="2"/>
        </w:numPr>
        <w:spacing w:lineRule="auto" w:line="259" w:before="0" w:after="0"/>
        <w:rPr/>
      </w:pPr>
      <w:r>
        <w:rPr>
          <w:rStyle w:val="IntenseReference"/>
          <w:rFonts w:cs="Arial" w:ascii="Arial" w:hAnsi="Arial"/>
          <w:iCs/>
          <w:color w:val="000000"/>
          <w:sz w:val="14"/>
          <w:szCs w:val="14"/>
          <w:u w:val="single"/>
          <w:lang w:val="pl-PL" w:bidi="pl-PL"/>
        </w:rPr>
        <w:t xml:space="preserve">ŚMIERĆ W WYNIKU NW LUB POWAŻNE CHOROBY RODZICA </w:t>
      </w:r>
    </w:p>
    <w:p>
      <w:pPr>
        <w:pStyle w:val="BodyTextIndent"/>
        <w:spacing w:lineRule="auto" w:line="259" w:before="0" w:after="0"/>
        <w:ind w:hanging="0" w:left="0"/>
        <w:jc w:val="center"/>
        <w:rPr>
          <w:rFonts w:ascii="Arial" w:hAnsi="Arial" w:cs="Arial"/>
          <w:b/>
          <w:bCs/>
          <w:iCs/>
          <w:smallCaps/>
          <w:color w:val="000000"/>
          <w:spacing w:val="5"/>
          <w:sz w:val="14"/>
          <w:szCs w:val="14"/>
          <w:lang w:val="pl-PL" w:bidi="pl-PL"/>
        </w:rPr>
      </w:pPr>
      <w:r>
        <w:rPr>
          <w:rFonts w:cs="Arial" w:ascii="Arial" w:hAnsi="Arial"/>
          <w:b/>
          <w:bCs/>
          <w:iCs/>
          <w:smallCaps/>
          <w:color w:val="000000"/>
          <w:spacing w:val="5"/>
          <w:sz w:val="14"/>
          <w:szCs w:val="14"/>
          <w:lang w:val="pl-PL" w:bidi="pl-PL"/>
        </w:rPr>
      </w:r>
    </w:p>
    <w:p>
      <w:pPr>
        <w:pStyle w:val="BodyTextIndent"/>
        <w:spacing w:lineRule="auto" w:line="259" w:before="0" w:after="0"/>
        <w:ind w:hanging="0" w:left="0"/>
        <w:jc w:val="center"/>
        <w:rPr/>
      </w:pPr>
      <w:r>
        <w:rPr>
          <w:rStyle w:val="IntenseReference"/>
          <w:rFonts w:cs="Arial" w:ascii="Arial" w:hAnsi="Arial"/>
          <w:iCs/>
          <w:color w:val="000000"/>
          <w:sz w:val="14"/>
          <w:szCs w:val="14"/>
          <w:lang w:val="pl-PL" w:bidi="pl-PL"/>
        </w:rPr>
        <w:t>postanowienia dodatkowe i odmienne od owu</w:t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wordsection1"/>
        <w:spacing w:lineRule="auto" w:line="259" w:before="0" w:after="0"/>
        <w:jc w:val="center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POSTANOWIENIA DODATKOWE I ODMIENNE OD OGÓLNYCH WARUNKÓW UBEZPIECZENIA EDU PLUS ZATWIERDZONYCH UCHWAŁĄ NR 01/24/03/2026 Zarządu UBEZPIECZYCIELA z dnia 24 marca 2026 roku</w:t>
      </w:r>
    </w:p>
    <w:p>
      <w:pPr>
        <w:pStyle w:val="wordsection1"/>
        <w:spacing w:lineRule="auto" w:line="259" w:before="0" w:after="0"/>
        <w:jc w:val="center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Działając na podstawie art. 812 § 8 k.c. InterRisk Towarzystwo Ubezpieczeń Spółka Akcyjna Vienna Insurance Group wskazuje różnice pomiędzy proponowaną treścią umowy a OWU EDU PLUS</w:t>
      </w:r>
    </w:p>
    <w:p>
      <w:pPr>
        <w:pStyle w:val="wordsection1"/>
        <w:spacing w:lineRule="auto" w:line="259" w:before="0" w:after="0"/>
        <w:jc w:val="center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§ 1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Dla potrzeb niniejszej umowy ubezpieczenia wprowadza się następujące postanowienia dodatkowe lub odmienne od w/w ogólnych warunków ubezpieczenia:</w:t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ListParagraph"/>
        <w:numPr>
          <w:ilvl w:val="0"/>
          <w:numId w:val="8"/>
        </w:numPr>
        <w:spacing w:lineRule="auto" w:line="240" w:before="0" w:after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w  §2 w pkt 75) dodaje się na końcu dodatkowe postanowienie, w brzmieniu: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„75) (…)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W przypadku ryzyka rozpoznania Poważnej Choroby lub śmierci opiekuna prawnego lub rodzica w następstwie nieszczęśliwego wypadku za Poważne Choroby uważa się wyłącznie następujące choroby, które zostały rozpoznane po raz pierwszy u rodzica lub opiekuna prawnego Ubezpieczonego w okresie ochrony ubezpieczeniowej: nowotwór złośliwy, paraliż, utrata wzroku, utrata słuchu, zawał serca, udar mózgu.”,</w:t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ListParagraph"/>
        <w:numPr>
          <w:ilvl w:val="0"/>
          <w:numId w:val="8"/>
        </w:numPr>
        <w:spacing w:lineRule="auto" w:line="240" w:before="0" w:after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w  §4 ust 1 pkt 2) ppkt k) otrzymuje brzmienie:</w:t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„k) rozpoznanie Poważnej Choroby lub śmierć opiekuna prawnego lub rodzica Ubezpieczonego w na</w:t>
        <w:softHyphen/>
        <w:t>stępstwie nieszczęśliwego wypadku,”</w:t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ListParagraph"/>
        <w:numPr>
          <w:ilvl w:val="0"/>
          <w:numId w:val="8"/>
        </w:numPr>
        <w:spacing w:lineRule="auto" w:line="240" w:before="0" w:after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w  §8 pkt 11) otrzymuje brzmienie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„11) w przypadku rozpoznania Poważnej Choroby lub śmierci opiekuna prawnego lub rodzica w następstwie nieszczęśliwego wypadku: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a)  w przypadku rozpoznania Poważnej Choroby u opiekuna prawnego lub rodzica - jednorazowe świadczenie w wysokości 100% sumy ubezpieczenia określonej w umowie ubezpieczenia, ale nie więcej niż 4.000 zł,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b) w przypadku śmierci opiekuna prawnego lub rodzica w następstwie nieszczęśliwego wypadku – świadczenie w wysokości 100% sumy ubezpieczenia określonej w umowie ubezpieczenia, pod warunkiem, że nieszczęśliwy wypadek wydarzył się w okresie ochrony ubezpieczeniowej oraz śmierć nastąpiła w ciągu 12 miesięcy od daty nieszczęśliwego wypadku. Odpowiedzialność InterRisk ograniczona jest do dwóch zdarzeń w okresie ochrony ubezpieczeniowej;”</w:t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BodyTextIndent"/>
        <w:numPr>
          <w:ilvl w:val="0"/>
          <w:numId w:val="2"/>
        </w:numPr>
        <w:spacing w:lineRule="auto" w:line="259" w:before="0" w:after="0"/>
        <w:rPr/>
      </w:pPr>
      <w:r>
        <w:rPr>
          <w:rStyle w:val="IntenseReference"/>
          <w:rFonts w:cs="Arial" w:ascii="Arial" w:hAnsi="Arial"/>
          <w:iCs/>
          <w:color w:val="000000"/>
          <w:sz w:val="14"/>
          <w:szCs w:val="14"/>
          <w:u w:val="single"/>
          <w:lang w:val="pl-PL" w:bidi="pl-PL"/>
        </w:rPr>
        <w:t>KOSZTY LECZENIA</w:t>
      </w:r>
    </w:p>
    <w:p>
      <w:pPr>
        <w:pStyle w:val="BodyTextIndent"/>
        <w:spacing w:lineRule="auto" w:line="259" w:before="0" w:after="0"/>
        <w:ind w:hanging="0" w:left="0"/>
        <w:jc w:val="center"/>
        <w:rPr>
          <w:rFonts w:ascii="Arial" w:hAnsi="Arial" w:cs="Arial"/>
          <w:b/>
          <w:bCs/>
          <w:iCs/>
          <w:smallCaps/>
          <w:color w:val="000000"/>
          <w:spacing w:val="5"/>
          <w:sz w:val="14"/>
          <w:szCs w:val="14"/>
          <w:lang w:val="pl-PL" w:bidi="pl-PL"/>
        </w:rPr>
      </w:pPr>
      <w:r>
        <w:rPr>
          <w:rFonts w:cs="Arial" w:ascii="Arial" w:hAnsi="Arial"/>
          <w:b/>
          <w:bCs/>
          <w:iCs/>
          <w:smallCaps/>
          <w:color w:val="000000"/>
          <w:spacing w:val="5"/>
          <w:sz w:val="14"/>
          <w:szCs w:val="14"/>
          <w:lang w:val="pl-PL" w:bidi="pl-PL"/>
        </w:rPr>
      </w:r>
    </w:p>
    <w:p>
      <w:pPr>
        <w:pStyle w:val="BodyTextIndent"/>
        <w:spacing w:lineRule="auto" w:line="259" w:before="0" w:after="0"/>
        <w:ind w:hanging="0" w:left="0"/>
        <w:jc w:val="center"/>
        <w:rPr/>
      </w:pPr>
      <w:r>
        <w:rPr>
          <w:rStyle w:val="IntenseReference"/>
          <w:rFonts w:cs="Arial" w:ascii="Arial" w:hAnsi="Arial"/>
          <w:iCs/>
          <w:color w:val="000000"/>
          <w:sz w:val="14"/>
          <w:szCs w:val="14"/>
          <w:lang w:val="pl-PL" w:bidi="pl-PL"/>
        </w:rPr>
        <w:t>postanowienia dodatkowe i odmienne od owu</w:t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wordsection1"/>
        <w:spacing w:lineRule="auto" w:line="259" w:before="0" w:after="0"/>
        <w:jc w:val="center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POSTANOWIENIA DODATKOWE I ODMIENNE OD OGÓLNYCH WARUNKÓW UBEZPIECZENIA EDU PLUS ZATWIERDZONYCH UCHWAŁĄ NR 01/24/03/2026 Zarządu UBEZPIECZYCIELA z dnia 24 marca 2026 roku</w:t>
      </w:r>
    </w:p>
    <w:p>
      <w:pPr>
        <w:pStyle w:val="wordsection1"/>
        <w:spacing w:lineRule="auto" w:line="259" w:before="0" w:after="0"/>
        <w:jc w:val="center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Działając na podstawie art. 812 § 8 k.c. InterRisk Towarzystwo Ubezpieczeń Spółka Akcyjna Vienna Insurance Group wskazuje różnice pomiędzy proponowaną treścią umowy a OWU EDU PLUS</w:t>
      </w:r>
    </w:p>
    <w:p>
      <w:pPr>
        <w:pStyle w:val="wordsection1"/>
        <w:spacing w:lineRule="auto" w:line="259" w:before="0" w:after="0"/>
        <w:jc w:val="center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§ 1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Dla potrzeb niniejszej umowy ubezpieczenia wprowadza się następujące postanowienia dodatkowe lub odmienne od w/w ogólnych warunków ubezpieczenia:</w:t>
      </w:r>
    </w:p>
    <w:p>
      <w:pPr>
        <w:pStyle w:val="Default"/>
        <w:numPr>
          <w:ilvl w:val="3"/>
          <w:numId w:val="9"/>
        </w:numPr>
        <w:spacing w:lineRule="auto" w:line="259"/>
        <w:ind w:hanging="0" w:left="0"/>
        <w:jc w:val="both"/>
        <w:rPr>
          <w:sz w:val="14"/>
          <w:szCs w:val="14"/>
        </w:rPr>
      </w:pPr>
      <w:r>
        <w:rPr>
          <w:b/>
          <w:bCs/>
          <w:iCs/>
          <w:sz w:val="14"/>
          <w:szCs w:val="14"/>
        </w:rPr>
        <w:t>w §2 pkt 38), otrzymuje brzmienie: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 xml:space="preserve">„38) </w:t>
      </w:r>
      <w:r>
        <w:rPr>
          <w:rFonts w:cs="Arial" w:ascii="Arial" w:hAnsi="Arial"/>
          <w:b/>
          <w:bCs/>
          <w:iCs/>
          <w:color w:val="000000"/>
          <w:sz w:val="14"/>
          <w:szCs w:val="14"/>
        </w:rPr>
        <w:t>koszty leczenia</w:t>
      </w:r>
      <w:r>
        <w:rPr>
          <w:rFonts w:cs="Arial" w:ascii="Arial" w:hAnsi="Arial"/>
          <w:iCs/>
          <w:color w:val="000000"/>
          <w:sz w:val="14"/>
          <w:szCs w:val="14"/>
        </w:rPr>
        <w:t xml:space="preserve"> – poniesione na terytorium krajów Unii Europejskiej (UE) lub na terytorium krajów Europejskiego Stowarzyszenia Wolnego Handlu (EFTA), powstałe w następstwie nieszczęśliwego wypadku oraz niezbędne z medycznego punktu widzenia i udokumentowane koszty z tytułu: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a) wizyt lekarskich z wyłączeniem wizyt stomatologicznych,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b) zabiegów ambulatoryjnych,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c) badań zleconych przez lekarza prowadzącego leczenie,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d) pobytu w szpitalu,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e) operacji przeprowadzonej podczas co najmniej trzydniowego pobytu w szpitalu,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f) operacji plastycznej zaleconej przez lekarza jako niezbędna część procesu leczenia następstw nieszczęśliwego wypadku,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g) zakupu środków opatrunkowych przepisanych przez lekarza,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h) rehabilitacji zleconej przez lekarza prowadzącego leczenie,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i) kosztów leków przepisanych przez lekarza prowadzącego leczenie szpitalne, które skutkowało co najmniej trzydniowym pobytem w szpitalu,</w:t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j) leczenia stomatologicznego zębów stałych;”</w:t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Default"/>
        <w:numPr>
          <w:ilvl w:val="3"/>
          <w:numId w:val="9"/>
        </w:numPr>
        <w:spacing w:lineRule="auto" w:line="259"/>
        <w:ind w:hanging="0" w:left="0"/>
        <w:jc w:val="both"/>
        <w:rPr>
          <w:sz w:val="14"/>
          <w:szCs w:val="14"/>
        </w:rPr>
      </w:pPr>
      <w:r>
        <w:rPr>
          <w:b/>
          <w:bCs/>
          <w:iCs/>
          <w:sz w:val="14"/>
          <w:szCs w:val="14"/>
        </w:rPr>
        <w:t>w §3 ust. 2 pkt 1), otrzymuje brzmienie: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„1) Opcji Dodatkowej D3 (pobyt w szpitalu w wyniku nieszczęśliwego wypadku), Opcji Dodatkowej D4 (pobyt w szpitalu w wyniku choroby), Opcji Dodatkowej D6 (operacje w wyniku nieszczęśliwego wypadku), Opcji Dodatkowej D7 (operacje w wyniku choroby), Opcji Dodatkowej D10 (koszty leczenia stomatologicznego w wyniku nieszczęśliwego wypadku), Opcji Dodatkowej D11 (uciążliwe leczenie w wyniku nieszczęśliwego wypadku), Opcji Dodatkowej D12 (Assistance Edu Plus), Opcji Dodatkowej D18 (opieka nad dzieckiem przebywającym w szpitalu), w ramach których ochrona ubezpieczeniowa udzielana jest przez 24 godziny na dobę w Polsce,”</w:t>
      </w:r>
    </w:p>
    <w:p>
      <w:pPr>
        <w:pStyle w:val="Default"/>
        <w:spacing w:lineRule="auto" w:line="259"/>
        <w:jc w:val="both"/>
        <w:rPr>
          <w:b/>
          <w:bCs/>
          <w:iCs/>
          <w:sz w:val="14"/>
          <w:szCs w:val="14"/>
        </w:rPr>
      </w:pPr>
      <w:r>
        <w:rPr>
          <w:b/>
          <w:bCs/>
          <w:iCs/>
          <w:sz w:val="14"/>
          <w:szCs w:val="14"/>
        </w:rPr>
      </w:r>
    </w:p>
    <w:p>
      <w:pPr>
        <w:pStyle w:val="Default"/>
        <w:numPr>
          <w:ilvl w:val="3"/>
          <w:numId w:val="9"/>
        </w:numPr>
        <w:spacing w:lineRule="auto" w:line="259"/>
        <w:ind w:hanging="0" w:left="0"/>
        <w:jc w:val="both"/>
        <w:rPr>
          <w:sz w:val="14"/>
          <w:szCs w:val="14"/>
        </w:rPr>
      </w:pPr>
      <w:r>
        <w:rPr>
          <w:b/>
          <w:bCs/>
          <w:iCs/>
          <w:sz w:val="14"/>
          <w:szCs w:val="14"/>
        </w:rPr>
        <w:t>w §3 ust. 2 dodaje się pkt 4), w brzmieniu: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„4) Opcji Dodatkowej D8 (koszty leczenia w wyniku nieszczęśliwego wypadku, w ramach której ochrona ubezpieczeniowa udzielana jest przez 24 godziny na dobę na terytorium krajów Unii Europejskiej (UE) lub na terytorium krajów Europejskiego Stowarzyszenia Wolnego Handlu (EFTA).”</w:t>
      </w:r>
    </w:p>
    <w:p>
      <w:pPr>
        <w:pStyle w:val="Default"/>
        <w:spacing w:lineRule="auto" w:line="259"/>
        <w:jc w:val="both"/>
        <w:rPr>
          <w:b/>
          <w:bCs/>
          <w:iCs/>
          <w:sz w:val="14"/>
          <w:szCs w:val="14"/>
        </w:rPr>
      </w:pPr>
      <w:r>
        <w:rPr>
          <w:b/>
          <w:bCs/>
          <w:iCs/>
          <w:sz w:val="14"/>
          <w:szCs w:val="14"/>
        </w:rPr>
      </w:r>
    </w:p>
    <w:p>
      <w:pPr>
        <w:pStyle w:val="Default"/>
        <w:numPr>
          <w:ilvl w:val="3"/>
          <w:numId w:val="9"/>
        </w:numPr>
        <w:spacing w:lineRule="auto" w:line="259"/>
        <w:ind w:hanging="0" w:left="0"/>
        <w:jc w:val="both"/>
        <w:rPr>
          <w:sz w:val="14"/>
          <w:szCs w:val="14"/>
        </w:rPr>
      </w:pPr>
      <w:r>
        <w:rPr>
          <w:b/>
          <w:bCs/>
          <w:iCs/>
          <w:sz w:val="14"/>
          <w:szCs w:val="14"/>
        </w:rPr>
        <w:t>w §5 ust. 7, otrzymuje brzmienie: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„7. InterRisk nie odpowiada za koszty leczenia stomatologicznego poniesione poza Polską.”</w:t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Default"/>
        <w:numPr>
          <w:ilvl w:val="3"/>
          <w:numId w:val="9"/>
        </w:numPr>
        <w:spacing w:lineRule="auto" w:line="259"/>
        <w:ind w:hanging="0" w:left="0"/>
        <w:jc w:val="both"/>
        <w:rPr>
          <w:sz w:val="14"/>
          <w:szCs w:val="14"/>
        </w:rPr>
      </w:pPr>
      <w:r>
        <w:rPr>
          <w:b/>
          <w:bCs/>
          <w:iCs/>
          <w:sz w:val="14"/>
          <w:szCs w:val="14"/>
        </w:rPr>
        <w:t>w §11 ust. 1 pkt 8) lit. a), otrzymuje brzmienie: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„a) pod warunkiem, że koszty te powstały w następstwie nieszczęśliwego wypadku, który wydarzył się w okresie ochrony ubezpieczeniowej oraz zostały poniesione na terytorium Unii Europejskiej (UE) lub na terytorium krajów Europejskiego Stowarzyszenia Wolnego Handlu (EFTA) w okresie nie dłuższym niż 12 miesięcy od daty nieszczęśliwego wypadku.”</w:t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ListParagraph"/>
        <w:numPr>
          <w:ilvl w:val="0"/>
          <w:numId w:val="2"/>
        </w:numPr>
        <w:spacing w:lineRule="auto" w:line="240" w:before="0" w:after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b/>
          <w:bCs/>
          <w:iCs/>
          <w:color w:val="000000"/>
          <w:sz w:val="14"/>
          <w:szCs w:val="14"/>
          <w:u w:val="single"/>
        </w:rPr>
        <w:t>ROZPOZNANIE CHOROBY PSYCHICZNEJ UBEZPIECZONEGO</w:t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BodyTextIndent"/>
        <w:spacing w:lineRule="auto" w:line="259" w:before="0" w:after="0"/>
        <w:ind w:hanging="0" w:left="0"/>
        <w:jc w:val="center"/>
        <w:rPr/>
      </w:pPr>
      <w:r>
        <w:rPr>
          <w:rStyle w:val="IntenseReference"/>
          <w:rFonts w:cs="Arial" w:ascii="Arial" w:hAnsi="Arial"/>
          <w:iCs/>
          <w:color w:val="000000"/>
          <w:sz w:val="14"/>
          <w:szCs w:val="14"/>
          <w:lang w:val="pl-PL" w:bidi="pl-PL"/>
        </w:rPr>
        <w:t>postanowienia dodatkowe i odmienne od owu</w:t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wordsection1"/>
        <w:spacing w:lineRule="auto" w:line="259" w:before="0" w:after="0"/>
        <w:jc w:val="center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POSTANOWIENIA DODATKOWE I ODMIENNE OD OGÓLNYCH WARUNKÓW UBEZPIECZENIA EDU PLUS ZATWIERDZONYCH UCHWAŁĄ NR 01/24/03/2026 Zarządu UBEZPIECZYCIELA z dnia 24 marca 2026 roku</w:t>
      </w:r>
    </w:p>
    <w:p>
      <w:pPr>
        <w:pStyle w:val="wordsection1"/>
        <w:spacing w:lineRule="auto" w:line="259" w:before="0" w:after="0"/>
        <w:jc w:val="center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Działając na podstawie art. 812 § 8 k.c. InterRisk Towarzystwo Ubezpieczeń Spółka Akcyjna Vienna Insurance Group wskazuje różnice pomiędzy proponowaną treścią umowy a OWU EDU PLUS</w:t>
      </w:r>
    </w:p>
    <w:p>
      <w:pPr>
        <w:pStyle w:val="wordsection1"/>
        <w:spacing w:lineRule="auto" w:line="259" w:before="0" w:after="0"/>
        <w:jc w:val="center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§ 1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Dla potrzeb niniejszej umowy ubezpieczenia wprowadza się następujące postanowienia dodatkowe lub odmienne od w/w ogólnych warunków ubezpieczenia:</w:t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ListParagraph"/>
        <w:numPr>
          <w:ilvl w:val="0"/>
          <w:numId w:val="10"/>
        </w:numPr>
        <w:spacing w:lineRule="auto" w:line="240" w:before="0" w:after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w  §4 ust 1 pkt 2) dodaje się ppkt o), w brzmieniu:</w:t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„o) rozpoznanie choroby psychicznej,”</w:t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2. w §5 ust. 1 pkt 9) otrzymuje brzmienie:</w:t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"9) chorobą psychiczną, za wyjątkiem postanowień § 8 pkt 15)</w:t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3.  w §8 dodaje się pkt 15), w brzmieniu:</w:t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”15) rozpoznanie choroby psychicznej – jednorazowe świadczenie w wysokości 300 zł w przypadku w przypadku rozpoznania u Ubezpieczonego po raz pierwszy w okresie ochrony ubezpieczeniowej choroby psychicznej, za wyjątkiem chorób zakwalifikowanych w Międzynarodowej Statystycznej Klasyfikacji Chorób i Problemów Zdrowotnych ICD-10 jako kod ICD: F10-F19, F84, F90. Warunkiem wypłaty świadczenia jest co najmniej 10-dniowy pobyt w szpitalu Ubezpieczonego w związku z rozpoznaną chorobą psychiczną.”</w:t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4. w §21 ust. 3 dodaje się pkt 22), w brzmieniu:</w:t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„22) w przypadku rozpoznania choroby psychicznej – wystawioną przez lekarza dokumentację medyczną potwierdzającą pierwsze rozpoznanie choroby psychicznej oraz dokumentację medyczną z pobytu w szpitalu w związku z rozpoznaną chorobą psychiczną.”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.</w:t>
      </w:r>
    </w:p>
    <w:p>
      <w:pPr>
        <w:pStyle w:val="Heading2"/>
        <w:numPr>
          <w:ilvl w:val="0"/>
          <w:numId w:val="2"/>
        </w:numPr>
        <w:spacing w:lineRule="auto" w:line="240" w:before="0" w:after="0"/>
        <w:ind w:hanging="360" w:left="360"/>
        <w:jc w:val="both"/>
        <w:rPr>
          <w:sz w:val="14"/>
          <w:szCs w:val="14"/>
        </w:rPr>
      </w:pPr>
      <w:r>
        <w:rPr>
          <w:rFonts w:cs="Arial"/>
          <w:b/>
          <w:iCs/>
          <w:color w:val="000000"/>
          <w:sz w:val="14"/>
          <w:szCs w:val="14"/>
          <w:u w:val="single"/>
        </w:rPr>
        <w:t>ZŁAMANIA, RANY, URAZY NARZĄDU RUCHU</w:t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BodyTextIndent"/>
        <w:spacing w:lineRule="auto" w:line="259" w:before="0" w:after="0"/>
        <w:ind w:hanging="0" w:left="0"/>
        <w:jc w:val="center"/>
        <w:rPr/>
      </w:pPr>
      <w:r>
        <w:rPr>
          <w:rStyle w:val="IntenseReference"/>
          <w:rFonts w:cs="Arial" w:ascii="Arial" w:hAnsi="Arial"/>
          <w:iCs/>
          <w:color w:val="000000"/>
          <w:sz w:val="14"/>
          <w:szCs w:val="14"/>
          <w:lang w:val="pl-PL" w:bidi="pl-PL"/>
        </w:rPr>
        <w:t>postanowienia dodatkowe i odmienne od owu</w:t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wordsection1"/>
        <w:spacing w:lineRule="auto" w:line="259" w:before="0" w:after="0"/>
        <w:jc w:val="center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POSTANOWIENIA DODATKOWE I ODMIENNE OD OGÓLNYCH WARUNKÓW UBEZPIECZENIA EDU PLUS ZATWIERDZONYCH UCHWAŁĄ NR 01/24/03/2026 Zarządu UBEZPIECZYCIELA z dnia 24 marca 2026 roku</w:t>
      </w:r>
    </w:p>
    <w:p>
      <w:pPr>
        <w:pStyle w:val="wordsection1"/>
        <w:spacing w:lineRule="auto" w:line="259" w:before="0" w:after="0"/>
        <w:jc w:val="center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Działając na podstawie art. 812 § 8 k.c. InterRisk Towarzystwo Ubezpieczeń Spółka Akcyjna Vienna Insurance Group wskazuje różnice pomiędzy proponowaną treścią umowy a OWU EDU PLUS</w:t>
      </w:r>
    </w:p>
    <w:p>
      <w:pPr>
        <w:pStyle w:val="wordsection1"/>
        <w:spacing w:lineRule="auto" w:line="259" w:before="0" w:after="0"/>
        <w:jc w:val="center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§ 1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Dla potrzeb niniejszej umowy ubezpieczenia wprowadza się następujące postanowienia dodatkowe lub odmienne od w/w ogólnych warunków ubezpieczenia:</w:t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b/>
          <w:bCs/>
          <w:iCs/>
          <w:color w:val="000000"/>
          <w:sz w:val="14"/>
          <w:szCs w:val="14"/>
        </w:rPr>
      </w:pPr>
      <w:r>
        <w:rPr>
          <w:rFonts w:cs="Arial" w:ascii="Arial" w:hAnsi="Arial"/>
          <w:b/>
          <w:bCs/>
          <w:iCs/>
          <w:color w:val="000000"/>
          <w:sz w:val="14"/>
          <w:szCs w:val="14"/>
        </w:rPr>
      </w:r>
    </w:p>
    <w:p>
      <w:pPr>
        <w:pStyle w:val="ListParagraph"/>
        <w:numPr>
          <w:ilvl w:val="0"/>
          <w:numId w:val="11"/>
        </w:numPr>
        <w:spacing w:lineRule="auto" w:line="240" w:before="0" w:after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w §8 pkt 6) otrzymuje brzmienie:</w:t>
      </w:r>
    </w:p>
    <w:p>
      <w:pPr>
        <w:pStyle w:val="Normal"/>
        <w:tabs>
          <w:tab w:val="clear" w:pos="720"/>
          <w:tab w:val="left" w:pos="426" w:leader="none"/>
        </w:tabs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b/>
          <w:bCs/>
          <w:iCs/>
          <w:color w:val="000000"/>
          <w:sz w:val="14"/>
          <w:szCs w:val="14"/>
        </w:rPr>
        <w:t xml:space="preserve">„6) </w:t>
      </w:r>
      <w:r>
        <w:rPr>
          <w:rFonts w:cs="Arial" w:ascii="Arial" w:hAnsi="Arial"/>
          <w:iCs/>
          <w:color w:val="000000"/>
          <w:sz w:val="14"/>
          <w:szCs w:val="14"/>
        </w:rPr>
        <w:t>w przypadku złamania jednej lub więcej kości lub ran lub urazu narządu ruchu w wyniku nieszczęśliwego wypadku, który wydarzył się w okresie ochrony ubezpieczeniowej:</w:t>
      </w:r>
    </w:p>
    <w:p>
      <w:pPr>
        <w:pStyle w:val="ListParagraph"/>
        <w:numPr>
          <w:ilvl w:val="0"/>
          <w:numId w:val="13"/>
        </w:numPr>
        <w:tabs>
          <w:tab w:val="clear" w:pos="720"/>
          <w:tab w:val="left" w:pos="426" w:leader="none"/>
        </w:tabs>
        <w:spacing w:lineRule="auto" w:line="240" w:before="0" w:after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 xml:space="preserve">w zależności od rodzaju złamania przysługuje – zgodnie z TABELĄ nr 2 - świadczenie w wysokości stanowiącej procent sumy ubezpieczenia określonej umowie ubezpieczenia dla złamania jednej lub więcej kości w wyniku nieszczęśliwego wypadku: 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b/>
          <w:bCs/>
          <w:iCs/>
          <w:color w:val="000000"/>
          <w:sz w:val="14"/>
          <w:szCs w:val="14"/>
        </w:rPr>
        <w:t>TABELA nr 2</w:t>
      </w:r>
    </w:p>
    <w:tbl>
      <w:tblPr>
        <w:tblW w:w="8708" w:type="dxa"/>
        <w:jc w:val="left"/>
        <w:tblInd w:w="435" w:type="dxa"/>
        <w:tblLayout w:type="fixed"/>
        <w:tblCellMar>
          <w:top w:w="0" w:type="dxa"/>
          <w:left w:w="70" w:type="dxa"/>
          <w:bottom w:w="0" w:type="dxa"/>
          <w:right w:w="70" w:type="dxa"/>
        </w:tblCellMar>
      </w:tblPr>
      <w:tblGrid>
        <w:gridCol w:w="442"/>
        <w:gridCol w:w="3269"/>
        <w:gridCol w:w="45"/>
        <w:gridCol w:w="4952"/>
      </w:tblGrid>
      <w:tr>
        <w:trPr/>
        <w:tc>
          <w:tcPr>
            <w:tcW w:w="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rFonts w:ascii="Arial" w:hAnsi="Arial" w:cs="Arial"/>
                <w:iCs/>
                <w:color w:val="000000"/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</w:r>
          </w:p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Lp.</w:t>
            </w:r>
          </w:p>
        </w:tc>
        <w:tc>
          <w:tcPr>
            <w:tcW w:w="331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Rodzaj złamania jednej lub więcej kości</w:t>
            </w:r>
          </w:p>
        </w:tc>
        <w:tc>
          <w:tcPr>
            <w:tcW w:w="49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Wysokość świadczenia wyrażona jako wartość procentowa (%) sumy ubezpieczenia określonej w umowie ubezpieczenia dla złamania jednej lub więcej kości w wyniku nieszczęśliwego wypadku</w:t>
            </w:r>
          </w:p>
        </w:tc>
      </w:tr>
      <w:tr>
        <w:trPr/>
        <w:tc>
          <w:tcPr>
            <w:tcW w:w="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1.</w:t>
            </w:r>
          </w:p>
        </w:tc>
        <w:tc>
          <w:tcPr>
            <w:tcW w:w="826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Złamanie kości czaszki (podstawy, sklepienia, twarzoczaszki), złamanie kości miednicy (z wyjątkiem izolowanych złamań kości łonowej lub kulszowej oraz ogonowej), kości w obrębie stawu biodrowego (panewka stawu, nasady bliższej kości udowej, krętarzy, złamania pod- i nad-krętarzowe) oraz kości talerza biodrowego:</w:t>
            </w:r>
          </w:p>
        </w:tc>
      </w:tr>
      <w:tr>
        <w:trPr/>
        <w:tc>
          <w:tcPr>
            <w:tcW w:w="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a)</w:t>
            </w:r>
          </w:p>
        </w:tc>
        <w:tc>
          <w:tcPr>
            <w:tcW w:w="32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wieloodłamowe otwarte</w:t>
            </w:r>
          </w:p>
        </w:tc>
        <w:tc>
          <w:tcPr>
            <w:tcW w:w="499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10</w:t>
            </w:r>
          </w:p>
        </w:tc>
      </w:tr>
      <w:tr>
        <w:trPr/>
        <w:tc>
          <w:tcPr>
            <w:tcW w:w="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b)</w:t>
            </w:r>
          </w:p>
        </w:tc>
        <w:tc>
          <w:tcPr>
            <w:tcW w:w="32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inne złamania otwarte</w:t>
            </w:r>
          </w:p>
        </w:tc>
        <w:tc>
          <w:tcPr>
            <w:tcW w:w="499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5</w:t>
            </w:r>
          </w:p>
        </w:tc>
      </w:tr>
      <w:tr>
        <w:trPr/>
        <w:tc>
          <w:tcPr>
            <w:tcW w:w="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c)</w:t>
            </w:r>
          </w:p>
        </w:tc>
        <w:tc>
          <w:tcPr>
            <w:tcW w:w="32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inne wieloodłamowe</w:t>
            </w:r>
          </w:p>
        </w:tc>
        <w:tc>
          <w:tcPr>
            <w:tcW w:w="499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3</w:t>
            </w:r>
          </w:p>
        </w:tc>
      </w:tr>
      <w:tr>
        <w:trPr/>
        <w:tc>
          <w:tcPr>
            <w:tcW w:w="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d)</w:t>
            </w:r>
          </w:p>
        </w:tc>
        <w:tc>
          <w:tcPr>
            <w:tcW w:w="32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inne złamania</w:t>
            </w:r>
          </w:p>
        </w:tc>
        <w:tc>
          <w:tcPr>
            <w:tcW w:w="499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2</w:t>
            </w:r>
          </w:p>
        </w:tc>
      </w:tr>
      <w:tr>
        <w:trPr/>
        <w:tc>
          <w:tcPr>
            <w:tcW w:w="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e)</w:t>
            </w:r>
          </w:p>
        </w:tc>
        <w:tc>
          <w:tcPr>
            <w:tcW w:w="32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złamanie nosa</w:t>
            </w:r>
          </w:p>
        </w:tc>
        <w:tc>
          <w:tcPr>
            <w:tcW w:w="499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1</w:t>
            </w:r>
          </w:p>
        </w:tc>
      </w:tr>
      <w:tr>
        <w:trPr/>
        <w:tc>
          <w:tcPr>
            <w:tcW w:w="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2.</w:t>
            </w:r>
          </w:p>
        </w:tc>
        <w:tc>
          <w:tcPr>
            <w:tcW w:w="826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Złamanie kości udowej, piętowej:</w:t>
            </w:r>
          </w:p>
        </w:tc>
      </w:tr>
      <w:tr>
        <w:trPr/>
        <w:tc>
          <w:tcPr>
            <w:tcW w:w="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a)</w:t>
            </w:r>
          </w:p>
        </w:tc>
        <w:tc>
          <w:tcPr>
            <w:tcW w:w="32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wieloodłamowe otwarte</w:t>
            </w:r>
          </w:p>
        </w:tc>
        <w:tc>
          <w:tcPr>
            <w:tcW w:w="499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5</w:t>
            </w:r>
          </w:p>
        </w:tc>
      </w:tr>
      <w:tr>
        <w:trPr/>
        <w:tc>
          <w:tcPr>
            <w:tcW w:w="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b)</w:t>
            </w:r>
          </w:p>
        </w:tc>
        <w:tc>
          <w:tcPr>
            <w:tcW w:w="32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inne złamania otwarte</w:t>
            </w:r>
          </w:p>
        </w:tc>
        <w:tc>
          <w:tcPr>
            <w:tcW w:w="499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4</w:t>
            </w:r>
          </w:p>
        </w:tc>
      </w:tr>
      <w:tr>
        <w:trPr/>
        <w:tc>
          <w:tcPr>
            <w:tcW w:w="442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c)</w:t>
            </w:r>
          </w:p>
        </w:tc>
        <w:tc>
          <w:tcPr>
            <w:tcW w:w="3269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inne wieloodłamowe</w:t>
            </w:r>
          </w:p>
        </w:tc>
        <w:tc>
          <w:tcPr>
            <w:tcW w:w="4997" w:type="dxa"/>
            <w:gridSpan w:val="2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3</w:t>
            </w:r>
          </w:p>
        </w:tc>
      </w:tr>
      <w:tr>
        <w:trPr/>
        <w:tc>
          <w:tcPr>
            <w:tcW w:w="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d)</w:t>
            </w:r>
          </w:p>
        </w:tc>
        <w:tc>
          <w:tcPr>
            <w:tcW w:w="32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inne złamania</w:t>
            </w:r>
          </w:p>
        </w:tc>
        <w:tc>
          <w:tcPr>
            <w:tcW w:w="499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2</w:t>
            </w:r>
          </w:p>
        </w:tc>
      </w:tr>
      <w:tr>
        <w:trPr/>
        <w:tc>
          <w:tcPr>
            <w:tcW w:w="44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3.</w:t>
            </w:r>
          </w:p>
        </w:tc>
        <w:tc>
          <w:tcPr>
            <w:tcW w:w="8266" w:type="dxa"/>
            <w:gridSpan w:val="3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both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Złamanie kości podudzia, obojczyka, kostki bocznej i przyśrodkowej, kości ramiennej, przedramienia, kości nadgarstka (w przypadku występowania w ramach jednego nieszczęśliwego wypadku złamania kilku kości nadgarstka, wypłacane jest świadczenie za jedną kość nadgarstka, w której wystąpił najwyższy rodzaj złamania)</w:t>
            </w:r>
          </w:p>
        </w:tc>
      </w:tr>
      <w:tr>
        <w:trPr/>
        <w:tc>
          <w:tcPr>
            <w:tcW w:w="44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a)</w:t>
            </w:r>
          </w:p>
        </w:tc>
        <w:tc>
          <w:tcPr>
            <w:tcW w:w="326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wieloodłamowe otwarte</w:t>
            </w:r>
          </w:p>
        </w:tc>
        <w:tc>
          <w:tcPr>
            <w:tcW w:w="4997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5</w:t>
            </w:r>
          </w:p>
        </w:tc>
      </w:tr>
      <w:tr>
        <w:trPr/>
        <w:tc>
          <w:tcPr>
            <w:tcW w:w="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b)</w:t>
            </w:r>
          </w:p>
        </w:tc>
        <w:tc>
          <w:tcPr>
            <w:tcW w:w="32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inne złamania otwarte</w:t>
            </w:r>
          </w:p>
        </w:tc>
        <w:tc>
          <w:tcPr>
            <w:tcW w:w="499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4</w:t>
            </w:r>
          </w:p>
        </w:tc>
      </w:tr>
      <w:tr>
        <w:trPr/>
        <w:tc>
          <w:tcPr>
            <w:tcW w:w="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c)</w:t>
            </w:r>
          </w:p>
        </w:tc>
        <w:tc>
          <w:tcPr>
            <w:tcW w:w="32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inne wieloodłamowe</w:t>
            </w:r>
          </w:p>
        </w:tc>
        <w:tc>
          <w:tcPr>
            <w:tcW w:w="499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3</w:t>
            </w:r>
          </w:p>
        </w:tc>
      </w:tr>
      <w:tr>
        <w:trPr/>
        <w:tc>
          <w:tcPr>
            <w:tcW w:w="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d)</w:t>
            </w:r>
          </w:p>
        </w:tc>
        <w:tc>
          <w:tcPr>
            <w:tcW w:w="32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inne złamania</w:t>
            </w:r>
          </w:p>
        </w:tc>
        <w:tc>
          <w:tcPr>
            <w:tcW w:w="499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2</w:t>
            </w:r>
          </w:p>
        </w:tc>
      </w:tr>
      <w:tr>
        <w:trPr/>
        <w:tc>
          <w:tcPr>
            <w:tcW w:w="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4.</w:t>
            </w:r>
          </w:p>
        </w:tc>
        <w:tc>
          <w:tcPr>
            <w:tcW w:w="826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Złamania dolnej szczęki:</w:t>
            </w:r>
          </w:p>
        </w:tc>
      </w:tr>
      <w:tr>
        <w:trPr/>
        <w:tc>
          <w:tcPr>
            <w:tcW w:w="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a)</w:t>
            </w:r>
          </w:p>
        </w:tc>
        <w:tc>
          <w:tcPr>
            <w:tcW w:w="32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wieloodłamowe otwarte</w:t>
            </w:r>
          </w:p>
        </w:tc>
        <w:tc>
          <w:tcPr>
            <w:tcW w:w="499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5</w:t>
            </w:r>
          </w:p>
        </w:tc>
      </w:tr>
      <w:tr>
        <w:trPr/>
        <w:tc>
          <w:tcPr>
            <w:tcW w:w="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b)</w:t>
            </w:r>
          </w:p>
        </w:tc>
        <w:tc>
          <w:tcPr>
            <w:tcW w:w="32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inne złamania otwarte</w:t>
            </w:r>
          </w:p>
        </w:tc>
        <w:tc>
          <w:tcPr>
            <w:tcW w:w="499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4</w:t>
            </w:r>
          </w:p>
        </w:tc>
      </w:tr>
      <w:tr>
        <w:trPr/>
        <w:tc>
          <w:tcPr>
            <w:tcW w:w="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c)</w:t>
            </w:r>
          </w:p>
        </w:tc>
        <w:tc>
          <w:tcPr>
            <w:tcW w:w="32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inne wieloodłamowe</w:t>
            </w:r>
          </w:p>
        </w:tc>
        <w:tc>
          <w:tcPr>
            <w:tcW w:w="499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3</w:t>
            </w:r>
          </w:p>
        </w:tc>
      </w:tr>
      <w:tr>
        <w:trPr/>
        <w:tc>
          <w:tcPr>
            <w:tcW w:w="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d)</w:t>
            </w:r>
          </w:p>
        </w:tc>
        <w:tc>
          <w:tcPr>
            <w:tcW w:w="32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inne złamania</w:t>
            </w:r>
          </w:p>
        </w:tc>
        <w:tc>
          <w:tcPr>
            <w:tcW w:w="499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2</w:t>
            </w:r>
          </w:p>
        </w:tc>
      </w:tr>
      <w:tr>
        <w:trPr/>
        <w:tc>
          <w:tcPr>
            <w:tcW w:w="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5.</w:t>
            </w:r>
          </w:p>
        </w:tc>
        <w:tc>
          <w:tcPr>
            <w:tcW w:w="826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Złamania łopatki, rzepki, mostka, śródręcza, śródstopia, kości stępu:</w:t>
            </w:r>
          </w:p>
        </w:tc>
      </w:tr>
      <w:tr>
        <w:trPr/>
        <w:tc>
          <w:tcPr>
            <w:tcW w:w="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a)</w:t>
            </w:r>
          </w:p>
        </w:tc>
        <w:tc>
          <w:tcPr>
            <w:tcW w:w="3269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złamania otwarte</w:t>
            </w:r>
          </w:p>
        </w:tc>
        <w:tc>
          <w:tcPr>
            <w:tcW w:w="499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3</w:t>
            </w:r>
          </w:p>
        </w:tc>
      </w:tr>
      <w:tr>
        <w:trPr/>
        <w:tc>
          <w:tcPr>
            <w:tcW w:w="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b)</w:t>
            </w:r>
          </w:p>
        </w:tc>
        <w:tc>
          <w:tcPr>
            <w:tcW w:w="32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inne złamania</w:t>
            </w:r>
          </w:p>
        </w:tc>
        <w:tc>
          <w:tcPr>
            <w:tcW w:w="499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2</w:t>
            </w:r>
          </w:p>
        </w:tc>
      </w:tr>
      <w:tr>
        <w:trPr/>
        <w:tc>
          <w:tcPr>
            <w:tcW w:w="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6.</w:t>
            </w:r>
          </w:p>
        </w:tc>
        <w:tc>
          <w:tcPr>
            <w:tcW w:w="826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Złamania kręgosłupa (trzonów kręgów):</w:t>
            </w:r>
          </w:p>
        </w:tc>
      </w:tr>
      <w:tr>
        <w:trPr/>
        <w:tc>
          <w:tcPr>
            <w:tcW w:w="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a)</w:t>
            </w:r>
          </w:p>
        </w:tc>
        <w:tc>
          <w:tcPr>
            <w:tcW w:w="32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 xml:space="preserve"> złamania kompresyjne</w:t>
            </w:r>
          </w:p>
        </w:tc>
        <w:tc>
          <w:tcPr>
            <w:tcW w:w="499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2</w:t>
            </w:r>
          </w:p>
        </w:tc>
      </w:tr>
      <w:tr>
        <w:trPr/>
        <w:tc>
          <w:tcPr>
            <w:tcW w:w="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b)</w:t>
            </w:r>
          </w:p>
        </w:tc>
        <w:tc>
          <w:tcPr>
            <w:tcW w:w="32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 xml:space="preserve"> złamania kręgosłupa,</w:t>
            </w:r>
          </w:p>
        </w:tc>
        <w:tc>
          <w:tcPr>
            <w:tcW w:w="499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2</w:t>
            </w:r>
          </w:p>
        </w:tc>
      </w:tr>
      <w:tr>
        <w:trPr/>
        <w:tc>
          <w:tcPr>
            <w:tcW w:w="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c)</w:t>
            </w:r>
          </w:p>
        </w:tc>
        <w:tc>
          <w:tcPr>
            <w:tcW w:w="32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 xml:space="preserve"> inne złamania wyrostków kolczystych i poprzecznych</w:t>
            </w:r>
          </w:p>
        </w:tc>
        <w:tc>
          <w:tcPr>
            <w:tcW w:w="499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1</w:t>
            </w:r>
          </w:p>
        </w:tc>
      </w:tr>
      <w:tr>
        <w:trPr/>
        <w:tc>
          <w:tcPr>
            <w:tcW w:w="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7.</w:t>
            </w:r>
          </w:p>
        </w:tc>
        <w:tc>
          <w:tcPr>
            <w:tcW w:w="826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both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Złamania żebra lub żeber, kości ogonowej, kulszowej, łonowej, górnej szczęki:</w:t>
            </w:r>
          </w:p>
        </w:tc>
      </w:tr>
      <w:tr>
        <w:trPr/>
        <w:tc>
          <w:tcPr>
            <w:tcW w:w="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a)</w:t>
            </w:r>
          </w:p>
        </w:tc>
        <w:tc>
          <w:tcPr>
            <w:tcW w:w="32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wieloodłamowe otwarte</w:t>
            </w:r>
          </w:p>
        </w:tc>
        <w:tc>
          <w:tcPr>
            <w:tcW w:w="499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2</w:t>
            </w:r>
          </w:p>
        </w:tc>
      </w:tr>
      <w:tr>
        <w:trPr/>
        <w:tc>
          <w:tcPr>
            <w:tcW w:w="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b)</w:t>
            </w:r>
          </w:p>
        </w:tc>
        <w:tc>
          <w:tcPr>
            <w:tcW w:w="32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inne złamania</w:t>
            </w:r>
          </w:p>
        </w:tc>
        <w:tc>
          <w:tcPr>
            <w:tcW w:w="499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1</w:t>
            </w:r>
          </w:p>
        </w:tc>
      </w:tr>
      <w:tr>
        <w:trPr/>
        <w:tc>
          <w:tcPr>
            <w:tcW w:w="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8.</w:t>
            </w:r>
          </w:p>
        </w:tc>
        <w:tc>
          <w:tcPr>
            <w:tcW w:w="32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Złamania zębów stałych (za każdy ząb):</w:t>
            </w:r>
          </w:p>
        </w:tc>
        <w:tc>
          <w:tcPr>
            <w:tcW w:w="499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0,5</w:t>
            </w:r>
          </w:p>
        </w:tc>
      </w:tr>
      <w:tr>
        <w:trPr>
          <w:trHeight w:val="296" w:hRule="atLeast"/>
        </w:trPr>
        <w:tc>
          <w:tcPr>
            <w:tcW w:w="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a)</w:t>
            </w:r>
          </w:p>
        </w:tc>
        <w:tc>
          <w:tcPr>
            <w:tcW w:w="32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łącznie nie więcej niż</w:t>
            </w:r>
          </w:p>
        </w:tc>
        <w:tc>
          <w:tcPr>
            <w:tcW w:w="499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2</w:t>
            </w:r>
          </w:p>
        </w:tc>
      </w:tr>
      <w:tr>
        <w:trPr/>
        <w:tc>
          <w:tcPr>
            <w:tcW w:w="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9.</w:t>
            </w:r>
          </w:p>
        </w:tc>
        <w:tc>
          <w:tcPr>
            <w:tcW w:w="32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Złamania palca</w:t>
            </w:r>
          </w:p>
        </w:tc>
        <w:tc>
          <w:tcPr>
            <w:tcW w:w="499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0,5</w:t>
            </w:r>
          </w:p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rFonts w:ascii="Arial" w:hAnsi="Arial" w:cs="Arial"/>
                <w:iCs/>
                <w:color w:val="000000"/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</w:r>
          </w:p>
        </w:tc>
      </w:tr>
    </w:tbl>
    <w:p>
      <w:pPr>
        <w:pStyle w:val="Normal"/>
        <w:spacing w:lineRule="auto" w:line="259" w:before="0" w:after="0"/>
        <w:jc w:val="both"/>
        <w:rPr>
          <w:rFonts w:ascii="Arial" w:hAnsi="Arial" w:cs="Arial"/>
          <w:b/>
          <w:bCs/>
          <w:iCs/>
          <w:color w:val="000000"/>
          <w:sz w:val="14"/>
          <w:szCs w:val="14"/>
        </w:rPr>
      </w:pPr>
      <w:r>
        <w:rPr>
          <w:rFonts w:cs="Arial" w:ascii="Arial" w:hAnsi="Arial"/>
          <w:b/>
          <w:bCs/>
          <w:iCs/>
          <w:color w:val="000000"/>
          <w:sz w:val="14"/>
          <w:szCs w:val="14"/>
        </w:rPr>
      </w:r>
    </w:p>
    <w:p>
      <w:pPr>
        <w:pStyle w:val="BodyText"/>
        <w:numPr>
          <w:ilvl w:val="0"/>
          <w:numId w:val="13"/>
        </w:numPr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jeżeli w wyniku tego samego nieszczęśliwego wypadku, który wydarzył się w okresie ochrony ubezpieczeniowej, nastąpi więcej niż jedno złamanie, przysługuje – zgodnie z TABELĄ NR 2 – świadczenie będące sumą kwot za każdy rodzaj złamania, ale wysokość świadczenia nie może przekroczyć sumy ubezpieczenia ustalonej w umowie ubezpieczenia za złamanie jednej lub więcej kości w wyniku nieszczęśliwego wypadku,</w:t>
      </w:r>
    </w:p>
    <w:p>
      <w:pPr>
        <w:pStyle w:val="BodyText"/>
        <w:numPr>
          <w:ilvl w:val="0"/>
          <w:numId w:val="13"/>
        </w:numPr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jeżeli w wyniku tego samego nieszczęśliwego wypadku, który wydarzył się w okresie ochrony ubezpieczeniowej wystąpi złamanie jednej lub więcej kości w wyniku nieszczęśliwego wypadku, za które InterRisk wypłacił Ubezpieczonemu świadczenie,  a następnie w związku z tym złamaniem jednej lub więcej kości wystąpi trwałe inwalidztwo częściowe określone w TABELI nr 1, powstałe na skutek tego samego nieszczęśliwego wypadku, który wydarzył się w okresie ochrony ubezpieczeniowej, wówczas świadczenie wypłacone z tytułu złamania zostanie zaliczone na poczet świadczenia przysługującego w przypadku trwałego inwalidztwa częściowego, a Ubezpieczonemu przysługuje prawo do świadczenia w wysokości różnicy pomiędzy świadczeniem przysługującym w przypadku trwałego inwalidztwa częściowego, a wypłaconym świadczeniem w przypadku złamania jednej lub więcej kości w wyniku nieszczęśliwego wypadku;</w:t>
      </w:r>
    </w:p>
    <w:p>
      <w:pPr>
        <w:pStyle w:val="BodyText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oraz</w:t>
      </w:r>
    </w:p>
    <w:p>
      <w:pPr>
        <w:pStyle w:val="BodyText"/>
        <w:numPr>
          <w:ilvl w:val="0"/>
          <w:numId w:val="13"/>
        </w:numPr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w przypadku ran będących następstwem nieszczęśliwego wypadku:</w:t>
      </w:r>
    </w:p>
    <w:p>
      <w:pPr>
        <w:pStyle w:val="BodyText"/>
        <w:numPr>
          <w:ilvl w:val="0"/>
          <w:numId w:val="12"/>
        </w:numPr>
        <w:tabs>
          <w:tab w:val="clear" w:pos="720"/>
          <w:tab w:val="left" w:pos="1134" w:leader="none"/>
        </w:tabs>
        <w:spacing w:lineRule="auto" w:line="259" w:before="0" w:after="0"/>
        <w:ind w:hanging="425" w:left="1134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jeżeli w okresie ochrony ubezpieczeniowej Ubezpieczony dozna rany w następstwie nieszczęśliwego wypadku i zostanie poddany zabiegowi założenia co najmniej dwóch szwów (szycie rany) – przysługuje jednorazowe świadczenie w wysokości 2% sumy ubezpieczenia określonej w umowie ubezpieczenia, z zastrzeżeniem lit. b),</w:t>
      </w:r>
    </w:p>
    <w:p>
      <w:pPr>
        <w:pStyle w:val="BodyText"/>
        <w:numPr>
          <w:ilvl w:val="0"/>
          <w:numId w:val="12"/>
        </w:numPr>
        <w:tabs>
          <w:tab w:val="clear" w:pos="720"/>
          <w:tab w:val="left" w:pos="1134" w:leader="none"/>
        </w:tabs>
        <w:spacing w:lineRule="auto" w:line="259" w:before="0" w:after="0"/>
        <w:ind w:hanging="425" w:left="1134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jeżeli w okresie ochrony ubezpieczeniowej Ubezpieczony dozna rany palca kończyny górnej w następstwie nieszczęśliwego wypadku i zostanie poddany zabiegowi założenia co najmniej dwóch szwów (szycie rany) – przysługuje jednorazowe świadczenie w wysokości 0,4% sumy ubezpieczenia określonej w umowie ubezpieczenia;</w:t>
      </w:r>
    </w:p>
    <w:p>
      <w:pPr>
        <w:pStyle w:val="BodyText"/>
        <w:numPr>
          <w:ilvl w:val="0"/>
          <w:numId w:val="13"/>
        </w:numPr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 xml:space="preserve">w przypadku urazów narządu ruchu będących następstwem nieszczęśliwego wypadku: </w:t>
      </w:r>
    </w:p>
    <w:p>
      <w:pPr>
        <w:pStyle w:val="ListParagraph"/>
        <w:numPr>
          <w:ilvl w:val="0"/>
          <w:numId w:val="14"/>
        </w:numPr>
        <w:spacing w:lineRule="auto" w:line="240" w:before="0" w:after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 xml:space="preserve">jeżeli w okresie ochrony ubezpieczeniowej Ubezpieczony dozna urazu ciała, w wyniku którego nie nastąpi złamanie kości narządu ruchu, ale zgodnie z zaleceniem lekarza narząd ruchu zostanie unieruchomiony na dłużej niż 7 dni wyłącznie z zastosowaniem następującego środka medycznego: gipsu, gipsu syntetycznego (lekkiego), szyny, gorsetu, powodującego wyłączenie czynności narządu ruchu – przysługuje jednorazowe świadczenie w wysokości 2% sumy ubezpieczenia określonej w umowie ubezpieczenia, </w:t>
      </w:r>
    </w:p>
    <w:p>
      <w:pPr>
        <w:pStyle w:val="ListParagraph"/>
        <w:numPr>
          <w:ilvl w:val="0"/>
          <w:numId w:val="14"/>
        </w:numPr>
        <w:spacing w:lineRule="auto" w:line="240" w:before="0" w:after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 xml:space="preserve">jeżeli w okresie ochrony ubezpieczeniowej Ubezpieczony dozna urazu ciała, w wyniku którego nie nastąpi złamanie kości narządu ruchu, ale zgodnie z zaleceniem lekarza narząd ruchu zostanie unieruchomiony na dłużej niż 7 dni wyłącznie z zastosowaniem następującego środka medycznego: kołnierza ortopedycznego, stabilizatora, ortezy, tutora gipsowego, longety, kamizelki ortopedycznej, powodującego wyłączenie czynności narządu ruchu – przysługuje jednorazowe świadczenie w wysokości 1% sumy ubezpieczenia określonej w umowie ubezpieczenia, </w:t>
      </w:r>
    </w:p>
    <w:p>
      <w:pPr>
        <w:pStyle w:val="ListParagraph"/>
        <w:numPr>
          <w:ilvl w:val="0"/>
          <w:numId w:val="14"/>
        </w:numPr>
        <w:spacing w:lineRule="auto" w:line="240" w:before="0" w:after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jeżeli w okresie ochrony ubezpieczeniowej Ubezpieczony dozna urazu palca lub palców u nóg lub palca lub palców dłoni, w wyniku którego nie nastąpi złamanie kości, ale zgodnie z zaleceniem lekarza palec lub palce zostaną unieruchomione na dłużej niż 7 dni wyłącznie z zastosowaniem następującego środka medycznego: gipsu, gipsu syntetycznego (lekkiego), szyny, powodującego wyłączenie funkcji palca lub palców – przysługuje jednorazowe świadczenie w wysokości 0,5% sumy ubezpieczenia określonej w umowie ubezpieczenia,</w:t>
      </w:r>
    </w:p>
    <w:p>
      <w:pPr>
        <w:pStyle w:val="ListParagraph"/>
        <w:numPr>
          <w:ilvl w:val="0"/>
          <w:numId w:val="14"/>
        </w:numPr>
        <w:spacing w:lineRule="auto" w:line="240" w:before="0" w:after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jeżeli w wyniku tego samego nieszczęśliwego wypadku, który wydarzył się w okresie ochrony ubezpieczeniowej, dojdzie do urazu narządu ruchu, za które InterRisk wypłacił Ubezpieczonemu świadczenie, a następnie w związku z tym urazem narządu ruchu wystąpi trwałe inwalidztwo częściowe określone w TABELI nr 1, powstałe w skutek tego samego nieszczęśliwego wypadku, wówczas świadczenie wypłacone w przypadku urazu narządu ruchu zostanie zaliczone na poczet świadczenia przysługującego w przypadku trwałego inwalidztwa częściowego, a Ubezpieczonemu przysługuje prawo do świadczenia w wysokości różnicy pomiędzy wysokością świadczenia przysługującego w przypadku trwałego inwalidztwa częściowego, a wypłaconym świadczeniem w przypadku urazu narządu ruchu;</w:t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b/>
          <w:bCs/>
          <w:iCs/>
          <w:color w:val="000000"/>
          <w:sz w:val="14"/>
          <w:szCs w:val="14"/>
          <w:u w:val="single"/>
        </w:rPr>
      </w:pPr>
      <w:r>
        <w:rPr>
          <w:rFonts w:cs="Arial" w:ascii="Arial" w:hAnsi="Arial"/>
          <w:b/>
          <w:bCs/>
          <w:iCs/>
          <w:color w:val="000000"/>
          <w:sz w:val="14"/>
          <w:szCs w:val="14"/>
          <w:u w:val="single"/>
        </w:rPr>
      </w:r>
    </w:p>
    <w:p>
      <w:pPr>
        <w:pStyle w:val="Heading2"/>
        <w:numPr>
          <w:ilvl w:val="0"/>
          <w:numId w:val="2"/>
        </w:numPr>
        <w:spacing w:lineRule="auto" w:line="240" w:before="0" w:after="0"/>
        <w:ind w:hanging="360" w:left="360"/>
        <w:jc w:val="both"/>
        <w:rPr>
          <w:sz w:val="14"/>
          <w:szCs w:val="14"/>
        </w:rPr>
      </w:pPr>
      <w:r>
        <w:rPr>
          <w:rFonts w:cs="Arial"/>
          <w:b/>
          <w:iCs/>
          <w:color w:val="000000"/>
          <w:sz w:val="14"/>
          <w:szCs w:val="14"/>
          <w:u w:val="single"/>
        </w:rPr>
        <w:t>OKULARY KOREKCYJNE USZKODZONE NA LEKCJI WF</w:t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b/>
          <w:bCs/>
          <w:iCs/>
          <w:color w:val="000000"/>
          <w:sz w:val="14"/>
          <w:szCs w:val="14"/>
          <w:u w:val="single"/>
        </w:rPr>
      </w:pPr>
      <w:r>
        <w:rPr>
          <w:rFonts w:cs="Arial" w:ascii="Arial" w:hAnsi="Arial"/>
          <w:b/>
          <w:bCs/>
          <w:iCs/>
          <w:color w:val="000000"/>
          <w:sz w:val="14"/>
          <w:szCs w:val="14"/>
          <w:u w:val="single"/>
        </w:rPr>
      </w:r>
    </w:p>
    <w:p>
      <w:pPr>
        <w:pStyle w:val="BodyTextIndent"/>
        <w:spacing w:lineRule="auto" w:line="259" w:before="0" w:after="0"/>
        <w:ind w:hanging="0" w:left="0"/>
        <w:jc w:val="center"/>
        <w:rPr/>
      </w:pPr>
      <w:r>
        <w:rPr>
          <w:rStyle w:val="IntenseReference"/>
          <w:rFonts w:cs="Arial" w:ascii="Arial" w:hAnsi="Arial"/>
          <w:iCs/>
          <w:color w:val="000000"/>
          <w:sz w:val="14"/>
          <w:szCs w:val="14"/>
          <w:lang w:val="pl-PL" w:bidi="pl-PL"/>
        </w:rPr>
        <w:t>postanowienia dodatkowe i odmienne od owu</w:t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wordsection1"/>
        <w:spacing w:lineRule="auto" w:line="259" w:before="0" w:after="0"/>
        <w:jc w:val="center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POSTANOWIENIA DODATKOWE I ODMIENNE OD OGÓLNYCH WARUNKÓW UBEZPIECZENIA EDU PLUS ZATWIERDZONYCH UCHWAŁĄ NR 01/24/03/2026 Zarządu UBEZPIECZYCIELA z dnia 24 marca 2026 roku</w:t>
      </w:r>
    </w:p>
    <w:p>
      <w:pPr>
        <w:pStyle w:val="wordsection1"/>
        <w:spacing w:lineRule="auto" w:line="259" w:before="0" w:after="0"/>
        <w:jc w:val="center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Działając na podstawie art. 812 § 8 k.c. InterRisk Towarzystwo Ubezpieczeń Spółka Akcyjna Vienna Insurance Group wskazuje różnice pomiędzy proponowaną treścią umowy a OWU EDU PLUS</w:t>
      </w:r>
    </w:p>
    <w:p>
      <w:pPr>
        <w:pStyle w:val="wordsection1"/>
        <w:spacing w:lineRule="auto" w:line="259" w:before="0" w:after="0"/>
        <w:jc w:val="center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§ 1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Dla potrzeb niniejszej umowy ubezpieczenia wprowadza się następujące postanowienia dodatkowe lub odmienne od w/w ogólnych warunków ubezpieczenia:</w:t>
      </w:r>
    </w:p>
    <w:p>
      <w:pPr>
        <w:pStyle w:val="ListParagraph"/>
        <w:numPr>
          <w:ilvl w:val="0"/>
          <w:numId w:val="15"/>
        </w:numPr>
        <w:spacing w:lineRule="auto" w:line="240" w:before="0" w:after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w §8 pkt 10) ppkt b) otrzymuje brzmienie: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„b) zakupu lub naprawy okularów korekcyjnych, aparatu słuchowego, aparatu ortodontycznego lub pompy insulinowej uszkodzonych w wyniku nieszczęśliwego wypadku na terenie placówki oświatowej – do wysokości 300 PLN, pod warunkiem że nieszczęśliwy wypadek, w wyniku którego doszło do uszkodzenia okularów korekcyjnych, aparatu słuchowego, aparatu ortodontycznego lub pompy insulinowej miał miejsce na terenie placówki oświatowej oraz spowodował uszkodzenie ciała wymagające interwencji lekarskiej w placówce medycznej. W przypadku okularów korekcyjnych, jeśli do ich uszkodzenia doszło w wyniku nieszczęśliwego wypadku podczas zajęć wychowania fizycznego na terenie placówki oświatowej świadczenie 300 PLN przysługuje pod warunkiem złożenia przez nauczyciela prowadzącego w/w zajęcia wychowania fizycznego oświadczenia zawierającego opis okoliczności nieszczęśliwego wypadku oraz datę jego zajścia.”</w:t>
      </w:r>
    </w:p>
    <w:p>
      <w:pPr>
        <w:pStyle w:val="ListParagraph"/>
        <w:spacing w:lineRule="auto" w:line="240" w:before="0" w:after="0"/>
        <w:ind w:hanging="0" w:left="0"/>
        <w:contextualSpacing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Heading2"/>
        <w:numPr>
          <w:ilvl w:val="0"/>
          <w:numId w:val="2"/>
        </w:numPr>
        <w:spacing w:lineRule="auto" w:line="240" w:before="0" w:after="0"/>
        <w:ind w:hanging="360" w:left="360"/>
        <w:jc w:val="both"/>
        <w:rPr>
          <w:sz w:val="14"/>
          <w:szCs w:val="14"/>
        </w:rPr>
      </w:pPr>
      <w:r>
        <w:rPr>
          <w:rFonts w:cs="Arial"/>
          <w:b/>
          <w:iCs/>
          <w:color w:val="000000"/>
          <w:sz w:val="14"/>
          <w:szCs w:val="14"/>
          <w:u w:val="single"/>
        </w:rPr>
        <w:t>UMOWY DWULETNIE – PODWYŻSZONE ŚWIADCZENIE</w:t>
      </w:r>
    </w:p>
    <w:p>
      <w:pPr>
        <w:pStyle w:val="ListParagraph"/>
        <w:spacing w:lineRule="auto" w:line="240" w:before="0" w:after="0"/>
        <w:ind w:hanging="0" w:left="0"/>
        <w:contextualSpacing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ListParagraph"/>
        <w:spacing w:lineRule="auto" w:line="240" w:before="0" w:after="0"/>
        <w:ind w:hanging="0" w:left="0"/>
        <w:contextualSpacing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BodyTextIndent"/>
        <w:spacing w:lineRule="auto" w:line="259" w:before="0" w:after="0"/>
        <w:ind w:hanging="0" w:left="0"/>
        <w:jc w:val="center"/>
        <w:rPr/>
      </w:pPr>
      <w:r>
        <w:rPr>
          <w:rStyle w:val="IntenseReference"/>
          <w:rFonts w:cs="Arial" w:ascii="Arial" w:hAnsi="Arial"/>
          <w:iCs/>
          <w:color w:val="000000"/>
          <w:sz w:val="14"/>
          <w:szCs w:val="14"/>
          <w:lang w:val="pl-PL" w:bidi="pl-PL"/>
        </w:rPr>
        <w:t>postanowienia dodatkowe i odmienne od owu</w:t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wordsection1"/>
        <w:spacing w:lineRule="auto" w:line="259" w:before="0" w:after="0"/>
        <w:jc w:val="center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POSTANOWIENIA DODATKOWE I ODMIENNE OD OGÓLNYCH WARUNKÓW UBEZPIECZENIA EDU PLUS ZATWIERDZONYCH UCHWAŁĄ NR 01/24/03/2026 Zarządu UBEZPIECZYCIELA z dnia 24 marca 2026 roku</w:t>
      </w:r>
    </w:p>
    <w:p>
      <w:pPr>
        <w:pStyle w:val="wordsection1"/>
        <w:spacing w:lineRule="auto" w:line="259" w:before="0" w:after="0"/>
        <w:jc w:val="center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Działając na podstawie art. 812 § 8 k.c. InterRisk Towarzystwo Ubezpieczeń Spółka Akcyjna Vienna Insurance Group wskazuje różnice pomiędzy proponowaną treścią umowy a OWU EDU PLUS</w:t>
      </w:r>
    </w:p>
    <w:p>
      <w:pPr>
        <w:pStyle w:val="wordsection1"/>
        <w:spacing w:lineRule="auto" w:line="259" w:before="0" w:after="0"/>
        <w:jc w:val="center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§ 1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Dla potrzeb niniejszej umowy ubezpieczenia wprowadza się następujące postanowienia dodatkowe lub odmienne od w/w ogólnych warunków ubezpieczenia:</w:t>
      </w:r>
    </w:p>
    <w:p>
      <w:pPr>
        <w:pStyle w:val="ListParagraph"/>
        <w:spacing w:lineRule="auto" w:line="240" w:before="0" w:after="0"/>
        <w:ind w:hanging="0" w:left="0"/>
        <w:contextualSpacing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ListParagraph"/>
        <w:numPr>
          <w:ilvl w:val="6"/>
          <w:numId w:val="9"/>
        </w:numPr>
        <w:spacing w:lineRule="auto" w:line="240" w:before="0" w:after="0"/>
        <w:contextualSpacing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w  §22 dodaje się ust.9 w brzmieniu:</w:t>
        <w:br/>
      </w:r>
    </w:p>
    <w:p>
      <w:pPr>
        <w:pStyle w:val="ListParagraph"/>
        <w:spacing w:lineRule="auto" w:line="240" w:before="0" w:after="0"/>
        <w:ind w:hanging="0" w:left="0"/>
        <w:contextualSpacing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„9. W przypadku, gdy umowa ubezpieczenia została zawarta na okres 24 m-cy nieszczęśliwy wypadek, wysokość świadczenia, o których mowa w Tabeli nr 2 OWU zostają podwyższone o 10%, czyli z zastosowaniem mnożnika 1,1.”</w:t>
        <w:br/>
      </w:r>
    </w:p>
    <w:p>
      <w:pPr>
        <w:pStyle w:val="ListParagraph"/>
        <w:spacing w:lineRule="auto" w:line="240" w:before="0" w:after="0"/>
        <w:ind w:hanging="0" w:left="0"/>
        <w:contextualSpacing/>
        <w:rPr>
          <w:rFonts w:ascii="Arial" w:hAnsi="Arial" w:cs="Arial"/>
          <w:iCs/>
          <w:color w:val="000000"/>
          <w:sz w:val="14"/>
          <w:szCs w:val="14"/>
          <w:lang w:eastAsia="pl-PL"/>
        </w:rPr>
      </w:pPr>
      <w:r>
        <w:rPr>
          <w:rFonts w:cs="Arial" w:ascii="Arial" w:hAnsi="Arial"/>
          <w:iCs/>
          <w:color w:val="000000"/>
          <w:sz w:val="14"/>
          <w:szCs w:val="14"/>
          <w:lang w:eastAsia="pl-PL"/>
        </w:rPr>
      </w:r>
    </w:p>
    <w:p>
      <w:pPr>
        <w:pStyle w:val="ListParagraph"/>
        <w:numPr>
          <w:ilvl w:val="0"/>
          <w:numId w:val="2"/>
        </w:numPr>
        <w:spacing w:lineRule="auto" w:line="240" w:before="0" w:after="0"/>
        <w:contextualSpacing/>
        <w:rPr>
          <w:sz w:val="14"/>
          <w:szCs w:val="14"/>
        </w:rPr>
      </w:pPr>
      <w:r>
        <w:rPr>
          <w:rFonts w:cs="Arial" w:ascii="Arial" w:hAnsi="Arial"/>
          <w:b/>
          <w:iCs/>
          <w:color w:val="000000"/>
          <w:sz w:val="14"/>
          <w:szCs w:val="14"/>
          <w:u w:val="single"/>
        </w:rPr>
        <w:t>UCIĄŻLIWE LECZENIE</w:t>
      </w:r>
    </w:p>
    <w:p>
      <w:pPr>
        <w:pStyle w:val="ListParagraph"/>
        <w:spacing w:lineRule="auto" w:line="240" w:before="0" w:after="0"/>
        <w:ind w:hanging="0" w:left="426"/>
        <w:contextualSpacing/>
        <w:rPr>
          <w:rFonts w:ascii="Arial" w:hAnsi="Arial" w:cs="Arial"/>
          <w:iCs/>
          <w:color w:val="000000"/>
          <w:sz w:val="14"/>
          <w:szCs w:val="14"/>
          <w:lang w:eastAsia="pl-PL"/>
        </w:rPr>
      </w:pPr>
      <w:r>
        <w:rPr>
          <w:rFonts w:cs="Arial" w:ascii="Arial" w:hAnsi="Arial"/>
          <w:iCs/>
          <w:color w:val="000000"/>
          <w:sz w:val="14"/>
          <w:szCs w:val="14"/>
          <w:lang w:eastAsia="pl-PL"/>
        </w:rPr>
      </w:r>
    </w:p>
    <w:p>
      <w:pPr>
        <w:pStyle w:val="BodyTextIndent"/>
        <w:spacing w:lineRule="auto" w:line="259" w:before="0" w:after="0"/>
        <w:ind w:hanging="0" w:left="0"/>
        <w:jc w:val="center"/>
        <w:rPr/>
      </w:pPr>
      <w:r>
        <w:rPr>
          <w:rStyle w:val="IntenseReference"/>
          <w:rFonts w:cs="Arial" w:ascii="Arial" w:hAnsi="Arial"/>
          <w:iCs/>
          <w:color w:val="000000"/>
          <w:sz w:val="14"/>
          <w:szCs w:val="14"/>
          <w:lang w:val="pl-PL" w:bidi="pl-PL"/>
        </w:rPr>
        <w:t>postanowienia dodatkowe i odmienne od owu</w:t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wordsection1"/>
        <w:spacing w:lineRule="auto" w:line="259" w:before="0" w:after="0"/>
        <w:jc w:val="center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POSTANOWIENIA DODATKOWE I ODMIENNE OD OGÓLNYCH WARUNKÓW UBEZPIECZENIA EDU PLUS ZATWIERDZONYCH UCHWAŁĄ NR 01/24/03/2026 Zarządu UBEZPIECZYCIELA z dnia 24 marca 2026 roku</w:t>
      </w:r>
    </w:p>
    <w:p>
      <w:pPr>
        <w:pStyle w:val="wordsection1"/>
        <w:spacing w:lineRule="auto" w:line="259" w:before="0" w:after="0"/>
        <w:jc w:val="center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Działając na podstawie art. 812 § 8 k.c. InterRisk Towarzystwo Ubezpieczeń Spółka Akcyjna Vienna Insurance Group wskazuje różnice pomiędzy proponowaną treścią umowy a OWU EDU PLUS</w:t>
      </w:r>
    </w:p>
    <w:p>
      <w:pPr>
        <w:pStyle w:val="wordsection1"/>
        <w:spacing w:lineRule="auto" w:line="259" w:before="0" w:after="0"/>
        <w:jc w:val="center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§ 1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Dla potrzeb niniejszej umowy ubezpieczenia wprowadza się następujące postanowienia dodatkowe lub odmienne od w/w ogólnych warunków ubezpieczenia:</w:t>
      </w:r>
    </w:p>
    <w:p>
      <w:pPr>
        <w:pStyle w:val="ListParagraph"/>
        <w:spacing w:lineRule="auto" w:line="240" w:before="0" w:after="0"/>
        <w:ind w:hanging="0" w:left="426"/>
        <w:contextualSpacing/>
        <w:rPr>
          <w:rFonts w:ascii="Arial" w:hAnsi="Arial" w:cs="Arial"/>
          <w:iCs/>
          <w:color w:val="000000"/>
          <w:sz w:val="14"/>
          <w:szCs w:val="14"/>
          <w:lang w:eastAsia="pl-PL"/>
        </w:rPr>
      </w:pPr>
      <w:r>
        <w:rPr>
          <w:rFonts w:cs="Arial" w:ascii="Arial" w:hAnsi="Arial"/>
          <w:iCs/>
          <w:color w:val="000000"/>
          <w:sz w:val="14"/>
          <w:szCs w:val="14"/>
          <w:lang w:eastAsia="pl-PL"/>
        </w:rPr>
      </w:r>
    </w:p>
    <w:p>
      <w:pPr>
        <w:pStyle w:val="ListParagraph"/>
        <w:numPr>
          <w:ilvl w:val="0"/>
          <w:numId w:val="16"/>
        </w:numPr>
        <w:spacing w:lineRule="auto" w:line="240" w:before="0" w:after="0"/>
        <w:contextualSpacing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w  §2 pkt 110) otrzymuje brzmienie:</w:t>
        <w:br/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 xml:space="preserve">„110) </w:t>
      </w:r>
      <w:r>
        <w:rPr>
          <w:rFonts w:cs="Arial" w:ascii="Arial" w:hAnsi="Arial"/>
          <w:b/>
          <w:bCs/>
          <w:iCs/>
          <w:color w:val="000000"/>
          <w:sz w:val="14"/>
          <w:szCs w:val="14"/>
        </w:rPr>
        <w:t xml:space="preserve">uciążliwe leczenie </w:t>
      </w:r>
      <w:r>
        <w:rPr>
          <w:rFonts w:cs="Arial" w:ascii="Arial" w:hAnsi="Arial"/>
          <w:iCs/>
          <w:color w:val="000000"/>
          <w:sz w:val="14"/>
          <w:szCs w:val="14"/>
        </w:rPr>
        <w:t>– leczenie Ubezpieczonego będące następstwem nieszczęśliwego wypadku, który miał miejsce w okresie ochrony ubezpieczeniowej oraz spowodował uszkodzenia ciała Ubezpieczonego, z tytułu którego:</w:t>
      </w:r>
    </w:p>
    <w:p>
      <w:pPr>
        <w:pStyle w:val="ListParagraph"/>
        <w:numPr>
          <w:ilvl w:val="0"/>
          <w:numId w:val="7"/>
        </w:numPr>
        <w:spacing w:lineRule="auto" w:line="240" w:before="0" w:after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Ubezpieczonemu nie przysługują świadczenia z żadnej z Opcji, o których mowa §4 ust. 1, oraz</w:t>
      </w:r>
    </w:p>
    <w:p>
      <w:pPr>
        <w:pStyle w:val="ListParagraph"/>
        <w:numPr>
          <w:ilvl w:val="0"/>
          <w:numId w:val="7"/>
        </w:numPr>
        <w:spacing w:lineRule="auto" w:line="240" w:before="0" w:after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Ubezpieczony wymagał leczenia, w trakcie którego odbył co najmniej jedną wizytę lekarską oraz jedną wizytę kontrolną, z czego wszystkie z nich miały miejsce w placówce medycznej w trybie stacjonarnym (łącznie co najmniej dwie wizyty), lub Ubezpieczony doznał czasowej niezdolności do nauki lub do pracy przez okres nie krótszy niż 12 dni;”</w:t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Heading5"/>
        <w:spacing w:before="49" w:after="0"/>
        <w:outlineLvl w:val="9"/>
        <w:rPr/>
      </w:pPr>
      <w:r>
        <mc:AlternateContent>
          <mc:Choice Requires="wps">
            <w:drawing>
              <wp:anchor distT="3810" distB="2540" distL="3810" distR="2540" simplePos="0" relativeHeight="105" behindDoc="0" locked="0" layoutInCell="0" allowOverlap="1">
                <wp:simplePos x="0" y="0"/>
                <wp:positionH relativeFrom="page">
                  <wp:posOffset>360045</wp:posOffset>
                </wp:positionH>
                <wp:positionV relativeFrom="paragraph">
                  <wp:posOffset>90170</wp:posOffset>
                </wp:positionV>
                <wp:extent cx="144145" cy="540385"/>
                <wp:effectExtent l="3810" t="3810" r="2540" b="2540"/>
                <wp:wrapNone/>
                <wp:docPr id="18" name="Textbox 2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4000" cy="540360"/>
                        </a:xfrm>
                        <a:prstGeom prst="rect">
                          <a:avLst/>
                        </a:prstGeom>
                        <a:noFill/>
                        <a:ln w="6480">
                          <a:solidFill>
                            <a:srgbClr val="a9a9a9"/>
                          </a:solidFill>
                          <a:prstDash val="sysDash"/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Zawartoramki"/>
                              <w:spacing w:before="61" w:after="0"/>
                              <w:ind w:left="142"/>
                              <w:rPr>
                                <w:sz w:val="8"/>
                              </w:rPr>
                            </w:pPr>
                            <w:r>
                              <w:rPr>
                                <w:color w:val="A9A9A9"/>
                                <w:sz w:val="8"/>
                              </w:rPr>
                              <w:t>Tu</w:t>
                            </w:r>
                            <w:r>
                              <w:rPr>
                                <w:color w:val="A9A9A9"/>
                                <w:spacing w:val="-5"/>
                                <w:sz w:val="8"/>
                              </w:rPr>
                              <w:t xml:space="preserve"> </w:t>
                            </w:r>
                            <w:r>
                              <w:rPr>
                                <w:color w:val="A9A9A9"/>
                                <w:sz w:val="8"/>
                              </w:rPr>
                              <w:t>zepnij</w:t>
                            </w:r>
                            <w:r>
                              <w:rPr>
                                <w:color w:val="A9A9A9"/>
                                <w:spacing w:val="-4"/>
                                <w:sz w:val="8"/>
                              </w:rPr>
                              <w:t xml:space="preserve"> </w:t>
                            </w:r>
                            <w:r>
                              <w:rPr>
                                <w:color w:val="A9A9A9"/>
                                <w:spacing w:val="-2"/>
                                <w:sz w:val="8"/>
                              </w:rPr>
                              <w:t>polisę</w:t>
                            </w:r>
                          </w:p>
                        </w:txbxContent>
                      </wps:txbx>
                      <wps:bodyPr lIns="0" rIns="0" tIns="0" bIns="0" anchor="t" vert="vert27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stroked="t" o:allowincell="f" style="position:absolute;margin-left:28.35pt;margin-top:7.1pt;width:11.3pt;height:42.5pt;mso-wrap-style:square;v-text-anchor:top;mso-position-horizontal-relative:page">
                <v:fill o:detectmouseclick="t" on="false"/>
                <v:stroke color="#a9a9a9" weight="6480" dashstyle="shortdash" joinstyle="round" endcap="flat"/>
                <v:textbox style="mso-layout-flow-alt:bottom-to-top">
                  <w:txbxContent>
                    <w:p>
                      <w:pPr>
                        <w:pStyle w:val="Zawartoramki"/>
                        <w:spacing w:before="61" w:after="0"/>
                        <w:ind w:left="142"/>
                        <w:rPr>
                          <w:sz w:val="8"/>
                        </w:rPr>
                      </w:pPr>
                      <w:r>
                        <w:rPr>
                          <w:color w:val="A9A9A9"/>
                          <w:sz w:val="8"/>
                        </w:rPr>
                        <w:t>Tu</w:t>
                      </w:r>
                      <w:r>
                        <w:rPr>
                          <w:color w:val="A9A9A9"/>
                          <w:spacing w:val="-5"/>
                          <w:sz w:val="8"/>
                        </w:rPr>
                        <w:t xml:space="preserve"> </w:t>
                      </w:r>
                      <w:r>
                        <w:rPr>
                          <w:color w:val="A9A9A9"/>
                          <w:sz w:val="8"/>
                        </w:rPr>
                        <w:t>zepnij</w:t>
                      </w:r>
                      <w:r>
                        <w:rPr>
                          <w:color w:val="A9A9A9"/>
                          <w:spacing w:val="-4"/>
                          <w:sz w:val="8"/>
                        </w:rPr>
                        <w:t xml:space="preserve"> </w:t>
                      </w:r>
                      <w:r>
                        <w:rPr>
                          <w:color w:val="A9A9A9"/>
                          <w:spacing w:val="-2"/>
                          <w:sz w:val="8"/>
                        </w:rPr>
                        <w:t>polisę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distT="3810" distB="2540" distL="3810" distR="2540" simplePos="0" relativeHeight="112" behindDoc="0" locked="0" layoutInCell="0" allowOverlap="1">
                <wp:simplePos x="0" y="0"/>
                <wp:positionH relativeFrom="page">
                  <wp:posOffset>360045</wp:posOffset>
                </wp:positionH>
                <wp:positionV relativeFrom="paragraph">
                  <wp:posOffset>90170</wp:posOffset>
                </wp:positionV>
                <wp:extent cx="144145" cy="540385"/>
                <wp:effectExtent l="3810" t="3810" r="2540" b="2540"/>
                <wp:wrapNone/>
                <wp:docPr id="19" name="Textbox 24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4000" cy="540360"/>
                        </a:xfrm>
                        <a:prstGeom prst="rect">
                          <a:avLst/>
                        </a:prstGeom>
                        <a:noFill/>
                        <a:ln w="6480">
                          <a:solidFill>
                            <a:srgbClr val="a9a9a9"/>
                          </a:solidFill>
                          <a:prstDash val="sysDash"/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Zawartoramki"/>
                              <w:spacing w:before="61" w:after="0"/>
                              <w:ind w:left="142"/>
                              <w:rPr>
                                <w:sz w:val="8"/>
                              </w:rPr>
                            </w:pPr>
                            <w:r>
                              <w:rPr>
                                <w:color w:val="A9A9A9"/>
                                <w:sz w:val="8"/>
                              </w:rPr>
                              <w:t>Tu</w:t>
                            </w:r>
                            <w:r>
                              <w:rPr>
                                <w:color w:val="A9A9A9"/>
                                <w:spacing w:val="-5"/>
                                <w:sz w:val="8"/>
                              </w:rPr>
                              <w:t xml:space="preserve"> </w:t>
                            </w:r>
                            <w:r>
                              <w:rPr>
                                <w:color w:val="A9A9A9"/>
                                <w:sz w:val="8"/>
                              </w:rPr>
                              <w:t>zepnij</w:t>
                            </w:r>
                            <w:r>
                              <w:rPr>
                                <w:color w:val="A9A9A9"/>
                                <w:spacing w:val="-4"/>
                                <w:sz w:val="8"/>
                              </w:rPr>
                              <w:t xml:space="preserve"> </w:t>
                            </w:r>
                            <w:r>
                              <w:rPr>
                                <w:color w:val="A9A9A9"/>
                                <w:spacing w:val="-2"/>
                                <w:sz w:val="8"/>
                              </w:rPr>
                              <w:t>polisę</w:t>
                            </w:r>
                          </w:p>
                        </w:txbxContent>
                      </wps:txbx>
                      <wps:bodyPr lIns="0" rIns="0" tIns="0" bIns="0" anchor="t" vert="vert27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stroked="t" o:allowincell="f" style="position:absolute;margin-left:28.35pt;margin-top:7.1pt;width:11.3pt;height:42.5pt;mso-wrap-style:square;v-text-anchor:top;mso-position-horizontal-relative:page">
                <v:fill o:detectmouseclick="t" on="false"/>
                <v:stroke color="#a9a9a9" weight="6480" dashstyle="shortdash" joinstyle="round" endcap="flat"/>
                <v:textbox style="mso-layout-flow-alt:bottom-to-top">
                  <w:txbxContent>
                    <w:p>
                      <w:pPr>
                        <w:pStyle w:val="Zawartoramki"/>
                        <w:spacing w:before="61" w:after="0"/>
                        <w:ind w:left="142"/>
                        <w:rPr>
                          <w:sz w:val="8"/>
                        </w:rPr>
                      </w:pPr>
                      <w:r>
                        <w:rPr>
                          <w:color w:val="A9A9A9"/>
                          <w:sz w:val="8"/>
                        </w:rPr>
                        <w:t>Tu</w:t>
                      </w:r>
                      <w:r>
                        <w:rPr>
                          <w:color w:val="A9A9A9"/>
                          <w:spacing w:val="-5"/>
                          <w:sz w:val="8"/>
                        </w:rPr>
                        <w:t xml:space="preserve"> </w:t>
                      </w:r>
                      <w:r>
                        <w:rPr>
                          <w:color w:val="A9A9A9"/>
                          <w:sz w:val="8"/>
                        </w:rPr>
                        <w:t>zepnij</w:t>
                      </w:r>
                      <w:r>
                        <w:rPr>
                          <w:color w:val="A9A9A9"/>
                          <w:spacing w:val="-4"/>
                          <w:sz w:val="8"/>
                        </w:rPr>
                        <w:t xml:space="preserve"> </w:t>
                      </w:r>
                      <w:r>
                        <w:rPr>
                          <w:color w:val="A9A9A9"/>
                          <w:spacing w:val="-2"/>
                          <w:sz w:val="8"/>
                        </w:rPr>
                        <w:t>polisę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>
          <w:sz w:val="14"/>
          <w:szCs w:val="14"/>
        </w:rPr>
        <w:tab/>
      </w:r>
    </w:p>
    <w:p>
      <w:pPr>
        <w:pStyle w:val="Heading2"/>
        <w:spacing w:before="73" w:after="0"/>
        <w:rPr>
          <w:spacing w:val="-2"/>
        </w:rPr>
      </w:pPr>
      <w:r>
        <w:rPr>
          <w:spacing w:val="-2"/>
        </w:rPr>
        <w:t>OŚWIADCZENIA</w:t>
      </w:r>
    </w:p>
    <w:p>
      <w:pPr>
        <w:pStyle w:val="BodyText"/>
        <w:spacing w:before="8" w:after="0"/>
        <w:rPr>
          <w:rFonts w:ascii="Arial" w:hAnsi="Arial"/>
          <w:b/>
          <w:i/>
          <w:sz w:val="4"/>
        </w:rPr>
      </w:pPr>
      <w:r>
        <w:rPr>
          <w:rFonts w:ascii="Arial" w:hAnsi="Arial"/>
          <w:b/>
          <w:i/>
          <w:sz w:val="4"/>
        </w:rPr>
        <mc:AlternateContent>
          <mc:Choice Requires="wps">
            <w:drawing>
              <wp:anchor distT="0" distB="0" distL="0" distR="0" simplePos="0" relativeHeight="107" behindDoc="0" locked="0" layoutInCell="0" allowOverlap="1">
                <wp:simplePos x="0" y="0"/>
                <wp:positionH relativeFrom="page">
                  <wp:posOffset>360045</wp:posOffset>
                </wp:positionH>
                <wp:positionV relativeFrom="paragraph">
                  <wp:posOffset>50165</wp:posOffset>
                </wp:positionV>
                <wp:extent cx="6840220" cy="6350"/>
                <wp:effectExtent l="0" t="635" r="0" b="635"/>
                <wp:wrapTopAndBottom/>
                <wp:docPr id="20" name="Graphic 25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840360" cy="6480"/>
                        </a:xfrm>
                        <a:custGeom>
                          <a:avLst/>
                          <a:gdLst>
                            <a:gd name="textAreaLeft" fmla="*/ 0 w 3877920"/>
                            <a:gd name="textAreaRight" fmla="*/ 3880440 w 3877920"/>
                            <a:gd name="textAreaTop" fmla="*/ 0 h 3600"/>
                            <a:gd name="textAreaBottom" fmla="*/ 6120 h 3600"/>
                          </a:gdLst>
                          <a:ahLst/>
                          <a:cxnLst/>
                          <a:rect l="textAreaLeft" t="textAreaTop" r="textAreaRight" b="textAreaBottom"/>
                          <a:pathLst>
                            <a:path w="6840220" h="6350">
                              <a:moveTo>
                                <a:pt x="6840004" y="6350"/>
                              </a:moveTo>
                              <a:lnTo>
                                <a:pt x="0" y="6350"/>
                              </a:lnTo>
                              <a:lnTo>
                                <a:pt x="0" y="0"/>
                              </a:lnTo>
                              <a:lnTo>
                                <a:pt x="6840004" y="0"/>
                              </a:lnTo>
                              <a:lnTo>
                                <a:pt x="6840004" y="635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/>
          </mc:Fallback>
        </mc:AlternateContent>
      </w:r>
    </w:p>
    <w:p>
      <w:pPr>
        <w:pStyle w:val="BodyText"/>
        <w:spacing w:before="20" w:after="0"/>
        <w:rPr>
          <w:rFonts w:ascii="Arial" w:hAnsi="Arial"/>
          <w:b/>
          <w:i/>
        </w:rPr>
      </w:pPr>
      <w:r>
        <w:rPr>
          <w:rFonts w:ascii="Arial" w:hAnsi="Arial"/>
          <w:b/>
          <w:i/>
        </w:rPr>
      </w:r>
    </w:p>
    <w:p>
      <w:pPr>
        <w:pStyle w:val="BodyText"/>
        <w:rPr/>
      </w:pPr>
      <w:r>
        <w:rPr/>
        <w:t>1. Oświadczam, że otrzymałem(am) i zapoznałem(am) się z warunkami umowy ubezpieczenia, w tym z Ogólnymi Warunkami Ubezpieczenia Edu Plus zatwierdzonymi</w:t>
      </w:r>
    </w:p>
    <w:p>
      <w:pPr>
        <w:pStyle w:val="BodyText"/>
        <w:rPr/>
      </w:pPr>
      <w:r>
        <w:rPr/>
        <w:t>uchwałą nr 01/27/03/2024 Zarządu InterRisk Towarzystwo Ubezpieczeń Spółka Akcyjna Vienna Insurance Group z dnia 27 marca 2024 roku ("Ogólne Warunki</w:t>
      </w:r>
    </w:p>
    <w:p>
      <w:pPr>
        <w:pStyle w:val="BodyText"/>
        <w:rPr/>
      </w:pPr>
      <w:r>
        <w:rPr/>
        <w:t>Ubezpieczenia"), informacją o której mowa w art. 17 ust. 1 ustawy o działalności ubezpieczeniowej i reasekuracyjnej, informacją dotyczącą możliwości i procedury</w:t>
      </w:r>
    </w:p>
    <w:p>
      <w:pPr>
        <w:pStyle w:val="BodyText"/>
        <w:rPr/>
      </w:pPr>
      <w:r>
        <w:rPr/>
        <w:t>złożenia i rozpatrzenia skarg i reklamacji, organu właściwego do ich rozpatrzenia oraz pozasądowego rozpatrywania sporów.</w:t>
      </w:r>
    </w:p>
    <w:p>
      <w:pPr>
        <w:pStyle w:val="BodyText"/>
        <w:rPr/>
      </w:pPr>
      <w:r>
        <w:rPr/>
        <w:t>2. Oświadczam, że otrzymałem(am) ustandaryzowany dokument zawierający informacje o produkcie ubezpieczeniowym. Jestem świadomy(ma), że dokument ten ma</w:t>
      </w:r>
    </w:p>
    <w:p>
      <w:pPr>
        <w:pStyle w:val="BodyText"/>
        <w:rPr/>
      </w:pPr>
      <w:r>
        <w:rPr/>
        <w:t>charakter informacyjny, a pełne informacje o produkcie ubezpieczeniowym zawarte są w Ogólnych Warunkach Ubezpieczenia.</w:t>
      </w:r>
    </w:p>
    <w:p>
      <w:pPr>
        <w:pStyle w:val="BodyText"/>
        <w:rPr/>
      </w:pPr>
      <w:r>
        <w:rPr/>
        <w:t>3. Oświadczam, że zostałem(am) poinformowany(na) o charakterze wynagrodzenia otrzymywanego przez agenta lub osoby wykonujące czynności dystrybucyjne zakładu</w:t>
      </w:r>
    </w:p>
    <w:p>
      <w:pPr>
        <w:pStyle w:val="BodyText"/>
        <w:rPr/>
      </w:pPr>
      <w:r>
        <w:rPr/>
        <w:t>ubezpieczeń w związku z proponowanym zawarciem umowy ubezpieczenia.</w:t>
      </w:r>
    </w:p>
    <w:p>
      <w:pPr>
        <w:pStyle w:val="BodyText"/>
        <w:rPr/>
      </w:pPr>
      <w:r>
        <w:rPr/>
        <w:t>4. Ubezpieczający wyraża zgodę na przekazanie przez InterRisk informacji o ostatecznej liczbie ubezpieczonych oraz ostatecznej wysokości składki w postaci</w:t>
      </w:r>
    </w:p>
    <w:p>
      <w:pPr>
        <w:pStyle w:val="BodyText"/>
        <w:rPr/>
      </w:pPr>
      <w:r>
        <w:rPr/>
        <w:t>elektronicznej, na adres email wskazany w umowie ubezpieczenia.</w:t>
      </w:r>
    </w:p>
    <w:p>
      <w:pPr>
        <w:pStyle w:val="BodyText"/>
        <w:rPr>
          <w:b/>
          <w:bCs/>
          <w:i/>
          <w:iCs/>
        </w:rPr>
      </w:pPr>
      <w:r>
        <w:rPr/>
        <w:t xml:space="preserve">5. </w:t>
      </w:r>
      <w:r>
        <w:rPr>
          <w:b/>
          <w:bCs/>
          <w:i/>
          <w:iCs/>
        </w:rPr>
        <w:t>Informacja zgodna z art. 13 Rozporządzenia Parlamentu Europejskiego i Rady (UE) 2016/679 z dnia 27.04.2016 r. w sprawie ochrony osób fizycznych w</w:t>
      </w:r>
    </w:p>
    <w:p>
      <w:pPr>
        <w:pStyle w:val="BodyText"/>
        <w:rPr>
          <w:b/>
          <w:bCs/>
          <w:i/>
          <w:iCs/>
        </w:rPr>
      </w:pPr>
      <w:r>
        <w:rPr>
          <w:b/>
          <w:bCs/>
          <w:i/>
          <w:iCs/>
        </w:rPr>
        <w:t>związku z przetwarzaniem danych osobowych i w sprawie swobodnego przepływu takich danych oraz uchylenia dyrektywy 95/46/WE (ogólne</w:t>
      </w:r>
    </w:p>
    <w:p>
      <w:pPr>
        <w:pStyle w:val="BodyText"/>
        <w:rPr>
          <w:b/>
          <w:bCs/>
          <w:i/>
          <w:iCs/>
        </w:rPr>
      </w:pPr>
      <w:r>
        <w:rPr>
          <w:b/>
          <w:bCs/>
          <w:i/>
          <w:iCs/>
        </w:rPr>
        <w:t>rozporządzenie o ochronie danych), zwanego dalej „RODO”.</w:t>
      </w:r>
    </w:p>
    <w:p>
      <w:pPr>
        <w:pStyle w:val="BodyText"/>
        <w:rPr/>
      </w:pPr>
      <w:r>
        <w:rPr/>
        <w:t>Administrator danych osobowych</w:t>
      </w:r>
    </w:p>
    <w:p>
      <w:pPr>
        <w:pStyle w:val="BodyText"/>
        <w:rPr/>
      </w:pPr>
      <w:r>
        <w:rPr>
          <w:b/>
          <w:bCs/>
          <w:i/>
          <w:iCs/>
        </w:rPr>
        <w:t xml:space="preserve">Administratorem Pani/Pana danych osobowych jest InterRisk TU SA Vienna Insurance Group z siedzibą w Warszawie </w:t>
      </w:r>
      <w:r>
        <w:rPr/>
        <w:t>(00-668), ul. Noakowskiego 22 (dalej jako</w:t>
      </w:r>
    </w:p>
    <w:p>
      <w:pPr>
        <w:pStyle w:val="BodyText"/>
        <w:rPr/>
      </w:pPr>
      <w:r>
        <w:rPr>
          <w:b/>
          <w:bCs/>
          <w:i/>
          <w:iCs/>
        </w:rPr>
        <w:t>„Administrator”</w:t>
      </w:r>
      <w:r>
        <w:rPr/>
        <w:t xml:space="preserve">, </w:t>
      </w:r>
      <w:r>
        <w:rPr>
          <w:b/>
          <w:bCs/>
          <w:i/>
          <w:iCs/>
        </w:rPr>
        <w:t xml:space="preserve">„InterRisk” </w:t>
      </w:r>
      <w:r>
        <w:rPr/>
        <w:t xml:space="preserve">lub </w:t>
      </w:r>
      <w:r>
        <w:rPr>
          <w:b/>
          <w:bCs/>
          <w:i/>
          <w:iCs/>
        </w:rPr>
        <w:t>„My”</w:t>
      </w:r>
      <w:r>
        <w:rPr/>
        <w:t>). Z InterRisk można się skontaktować poprzez adres email: sekretariat@InterRisk.pl, telefonicznie pod numerem 48 22 537 68</w:t>
      </w:r>
    </w:p>
    <w:p>
      <w:pPr>
        <w:pStyle w:val="BodyText"/>
        <w:rPr/>
      </w:pPr>
      <w:r>
        <w:rPr/>
        <w:t>00 lub pisemnie na adres siedziby wskazany wyżej.</w:t>
      </w:r>
    </w:p>
    <w:p>
      <w:pPr>
        <w:pStyle w:val="BodyText"/>
        <w:rPr/>
      </w:pPr>
      <w:r>
        <w:rPr/>
        <w:t>Inspektor ochrony danych</w:t>
      </w:r>
    </w:p>
    <w:p>
      <w:pPr>
        <w:pStyle w:val="BodyText"/>
        <w:rPr/>
      </w:pPr>
      <w:r>
        <w:rPr>
          <w:b/>
          <w:bCs/>
          <w:i/>
          <w:iCs/>
        </w:rPr>
        <w:t>Wyznaczyliśmy inspektora ochrony danych</w:t>
      </w:r>
      <w:r>
        <w:rPr/>
        <w:t>, z którym można się skontaktować we wszystkich sprawach dotyczących przetwarzania danych osobowych oraz</w:t>
      </w:r>
    </w:p>
    <w:p>
      <w:pPr>
        <w:pStyle w:val="BodyText"/>
        <w:rPr/>
      </w:pPr>
      <w:r>
        <w:rPr/>
        <w:t>korzystania z praw związanych z przetwarzaniem danych - poprzez email iod@interrisk.pl lub pisemnie na adres siedziby Administratora.</w:t>
      </w:r>
    </w:p>
    <w:p>
      <w:pPr>
        <w:pStyle w:val="BodyText"/>
        <w:rPr/>
      </w:pPr>
      <w:r>
        <w:rPr/>
        <w:t>Cele przetwarzania oraz podstawa prawna przetwarzania</w:t>
      </w:r>
    </w:p>
    <w:p>
      <w:pPr>
        <w:pStyle w:val="BodyText"/>
        <w:rPr/>
      </w:pPr>
      <w:r>
        <w:rPr/>
        <w:t>Pani/Pana dane mogą być przetwarzane w celach:</w:t>
      </w:r>
    </w:p>
    <w:p>
      <w:pPr>
        <w:pStyle w:val="BodyText"/>
        <w:rPr/>
      </w:pPr>
      <w:r>
        <w:rPr/>
        <w:t xml:space="preserve">- </w:t>
      </w:r>
      <w:r>
        <w:rPr>
          <w:b/>
          <w:bCs/>
          <w:i/>
          <w:iCs/>
        </w:rPr>
        <w:t xml:space="preserve">zawarcia i wykonania umowy ubezpieczenia, w tym dokonania oceny ryzyka ubezpieczeniowego </w:t>
      </w:r>
      <w:r>
        <w:rPr/>
        <w:t>- podstawą prawną jest niezbędność przetwarzania danych</w:t>
      </w:r>
    </w:p>
    <w:p>
      <w:pPr>
        <w:pStyle w:val="BodyText"/>
        <w:rPr/>
      </w:pPr>
      <w:r>
        <w:rPr/>
        <w:t>do zawarcia i wykonywania umowy (art. 6 ust. 1 lit. b) RODO) oraz ewentualnie niezbędność przetwarzania ze względów związanych z ważnym interesem</w:t>
      </w:r>
    </w:p>
    <w:p>
      <w:pPr>
        <w:pStyle w:val="BodyText"/>
        <w:rPr/>
      </w:pPr>
      <w:r>
        <w:rPr/>
        <w:t>publicznym, na podstawie przepisów prawa (art. 9 ust. 2 lit. g) RODO),</w:t>
      </w:r>
    </w:p>
    <w:p>
      <w:pPr>
        <w:pStyle w:val="BodyText"/>
        <w:rPr/>
      </w:pPr>
      <w:r>
        <w:rPr/>
        <w:t xml:space="preserve">- </w:t>
      </w:r>
      <w:r>
        <w:rPr>
          <w:b/>
          <w:bCs/>
          <w:i/>
          <w:iCs/>
        </w:rPr>
        <w:t xml:space="preserve">oceny ryzyka ubezpieczeniowego w sposób zautomatyzowany w ramach profilowania klientów przed zawarciem umowy </w:t>
      </w:r>
      <w:r>
        <w:rPr/>
        <w:t>– podstawą prawną jest</w:t>
      </w:r>
    </w:p>
    <w:p>
      <w:pPr>
        <w:pStyle w:val="BodyText"/>
        <w:rPr/>
      </w:pPr>
      <w:r>
        <w:rPr/>
        <w:t>obowiązek prawny ciążący na Administratorze – (art. 6 ust. 1 lit. c) RODO) oraz niezbędność przetwarzania ze względów związanych z ważnym interesem</w:t>
      </w:r>
    </w:p>
    <w:p>
      <w:pPr>
        <w:pStyle w:val="BodyText"/>
        <w:rPr/>
      </w:pPr>
      <w:r>
        <w:rPr/>
        <w:t>publicznym, na podstawie przepisów prawa (art. 9 ust. 2 lit. g) RODO w zw. z art. 22 ust. 2 lit. b) RODO),</w:t>
      </w:r>
    </w:p>
    <w:p>
      <w:pPr>
        <w:pStyle w:val="BodyText"/>
        <w:rPr/>
      </w:pPr>
      <w:r>
        <w:rPr/>
        <w:t xml:space="preserve">- </w:t>
      </w:r>
      <w:r>
        <w:rPr>
          <w:b/>
          <w:bCs/>
          <w:i/>
          <w:iCs/>
        </w:rPr>
        <w:t xml:space="preserve">marketingu bezpośredniego produktów i usług własnych Administratora, w tym w celach analitycznych i profilowania </w:t>
      </w:r>
      <w:r>
        <w:rPr/>
        <w:t>- podstawą prawną w odniesieniu do</w:t>
      </w:r>
    </w:p>
    <w:p>
      <w:pPr>
        <w:pStyle w:val="BodyText"/>
        <w:rPr/>
      </w:pPr>
      <w:r>
        <w:rPr/>
        <w:t>aktualnych klientów InterRisk jest prawnie uzasadniony interes Administratora (art. 6 ust. 1 lit. f) RODO), którym jest prowadzenie marketingu bezpośredniego</w:t>
      </w:r>
    </w:p>
    <w:p>
      <w:pPr>
        <w:pStyle w:val="BodyText"/>
        <w:rPr/>
      </w:pPr>
      <w:r>
        <w:rPr/>
        <w:t>własnych produktów lub usług. W przypadku marketingu kierowanego do potencjalnych lub byłych klientów InterRisk podstawą przetwarzania danych jest zgoda</w:t>
      </w:r>
    </w:p>
    <w:p>
      <w:pPr>
        <w:pStyle w:val="BodyText"/>
        <w:rPr/>
      </w:pPr>
      <w:r>
        <w:rPr/>
        <w:t>(art. 6 ust. 1 lit. a) RODO);</w:t>
      </w:r>
    </w:p>
    <w:p>
      <w:pPr>
        <w:pStyle w:val="BodyText"/>
        <w:rPr/>
      </w:pPr>
      <w:r>
        <w:rPr/>
        <w:t xml:space="preserve">- </w:t>
      </w:r>
      <w:r>
        <w:rPr>
          <w:b/>
          <w:bCs/>
          <w:i/>
          <w:iCs/>
        </w:rPr>
        <w:t xml:space="preserve">ewentualnego dochodzenia roszczeń lub obrony przed roszczeniami </w:t>
      </w:r>
      <w:r>
        <w:rPr/>
        <w:t>w związku z zawartą z Panią/Panem umową ubezpieczenia – podstawą prawną jest</w:t>
      </w:r>
    </w:p>
    <w:p>
      <w:pPr>
        <w:pStyle w:val="BodyText"/>
        <w:rPr/>
      </w:pPr>
      <w:r>
        <w:rPr/>
        <w:t>prawnie uzasadniony interes Administratora (art. 6 ust. 1 lit. f) RODO); prawnie uzasadnionym interesem Administratora jest możliwość dochodzenia lub obrony</w:t>
      </w:r>
    </w:p>
    <w:p>
      <w:pPr>
        <w:pStyle w:val="BodyText"/>
        <w:rPr/>
      </w:pPr>
      <w:r>
        <w:rPr/>
        <w:t>przed roszczeniami oraz niezbędność przetwarzania do ustalenia, dochodzenia lub obrony roszczeń lub w ramach sprawowania wymiaru sprawiedliwości przez</w:t>
      </w:r>
    </w:p>
    <w:p>
      <w:pPr>
        <w:pStyle w:val="BodyText"/>
        <w:rPr/>
      </w:pPr>
      <w:r>
        <w:rPr/>
        <w:t>sądy (art. 9 ust. 2 lit. f) RODO);</w:t>
      </w:r>
    </w:p>
    <w:p>
      <w:pPr>
        <w:pStyle w:val="BodyText"/>
        <w:rPr/>
      </w:pPr>
      <w:r>
        <w:rPr/>
        <w:t xml:space="preserve">- </w:t>
      </w:r>
      <w:r>
        <w:rPr>
          <w:b/>
          <w:bCs/>
          <w:i/>
          <w:iCs/>
        </w:rPr>
        <w:t xml:space="preserve">ewentualnego podejmowania czynności w związku z przeciwdziałaniem przestępstwom ubezpieczeniowym, w tym wypłatom nienależnych świadczeń </w:t>
      </w:r>
      <w:r>
        <w:rPr/>
        <w:t>-</w:t>
      </w:r>
    </w:p>
    <w:p>
      <w:pPr>
        <w:pStyle w:val="BodyText"/>
        <w:rPr/>
      </w:pPr>
      <w:r>
        <w:rPr/>
        <w:t>podstawą prawną jest prawnie uzasadniony interes Administratora, (art. 6 ust. 1 lit. f) RODO), wynikający wprost z przepisów prawa, jakim jest zapobieganie i</w:t>
      </w:r>
    </w:p>
    <w:p>
      <w:pPr>
        <w:pStyle w:val="BodyText"/>
        <w:rPr/>
      </w:pPr>
      <w:r>
        <w:rPr/>
        <w:t>ściganie przestępstw popełnianych na jego szkodę oraz niezbędność przetwarzania ze względów związanych z ważnym interesem publicznym, na podstawie</w:t>
      </w:r>
    </w:p>
    <w:p>
      <w:pPr>
        <w:pStyle w:val="BodyText"/>
        <w:rPr/>
      </w:pPr>
      <w:r>
        <w:rPr/>
        <w:t>przepisów prawa (art. 9 ust. 2 lit. g) RODO w zw. z art. 22 ust. 2 lit. b) RODO);</w:t>
      </w:r>
    </w:p>
    <w:p>
      <w:pPr>
        <w:pStyle w:val="BodyText"/>
        <w:rPr/>
      </w:pPr>
      <w:r>
        <w:rPr/>
        <w:t xml:space="preserve">- </w:t>
      </w:r>
      <w:r>
        <w:rPr>
          <w:b/>
          <w:bCs/>
          <w:i/>
          <w:iCs/>
        </w:rPr>
        <w:t xml:space="preserve">realizacji obowiązków nałożonych na Administratora danych przez przepisy prawa (takie jak przepisy podatkowe lub przepisy o rachunkowości) </w:t>
      </w:r>
      <w:r>
        <w:rPr/>
        <w:t>-</w:t>
      </w:r>
    </w:p>
    <w:p>
      <w:pPr>
        <w:pStyle w:val="BodyText"/>
        <w:rPr/>
      </w:pPr>
      <w:r>
        <w:rPr/>
        <w:t>podstawą prawną jest obowiązek prawny ciążący na Administratorze – (art. 6 ust.1 lit. c) RODO);</w:t>
      </w:r>
    </w:p>
    <w:p>
      <w:pPr>
        <w:pStyle w:val="BodyText"/>
        <w:rPr/>
      </w:pPr>
      <w:r>
        <w:rPr/>
        <w:t xml:space="preserve">- </w:t>
      </w:r>
      <w:r>
        <w:rPr>
          <w:b/>
          <w:bCs/>
          <w:i/>
          <w:iCs/>
        </w:rPr>
        <w:t xml:space="preserve">reasekuracji ryzyk </w:t>
      </w:r>
      <w:r>
        <w:rPr/>
        <w:t>- podstawą prawną jest prawnie uzasadniony interes Administratora (art. 6 ust. 1 lit. f) RODO), którym jest zmniejszenie ryzyka</w:t>
      </w:r>
    </w:p>
    <w:p>
      <w:pPr>
        <w:pStyle w:val="BodyText"/>
        <w:rPr/>
      </w:pPr>
      <w:r>
        <w:rPr/>
        <w:t>ubezpieczeniowego związanego z umową zawartą z Panią/Panem;</w:t>
      </w:r>
    </w:p>
    <w:p>
      <w:pPr>
        <w:pStyle w:val="BodyText"/>
        <w:rPr/>
      </w:pPr>
      <w:r>
        <w:rPr/>
        <w:t xml:space="preserve">- </w:t>
      </w:r>
      <w:r>
        <w:rPr>
          <w:b/>
          <w:bCs/>
          <w:i/>
          <w:iCs/>
        </w:rPr>
        <w:t xml:space="preserve">realizacji obowiązków związanych z przeciwdziałaniem praniu pieniędzy oraz finansowaniu terroryzmu </w:t>
      </w:r>
      <w:r>
        <w:rPr/>
        <w:t>- podstawą prawną jest obowiązek prawny ciążący</w:t>
      </w:r>
    </w:p>
    <w:p>
      <w:pPr>
        <w:pStyle w:val="BodyText"/>
        <w:rPr/>
      </w:pPr>
      <w:r>
        <w:rPr/>
        <w:t>na Administratorze (art. 6 ust.1 lit. c) RODO);</w:t>
      </w:r>
    </w:p>
    <w:p>
      <w:pPr>
        <w:pStyle w:val="BodyText"/>
        <w:rPr>
          <w:b/>
          <w:bCs/>
          <w:i/>
          <w:iCs/>
        </w:rPr>
      </w:pPr>
      <w:r>
        <w:rPr/>
        <w:t xml:space="preserve">- </w:t>
      </w:r>
      <w:r>
        <w:rPr>
          <w:b/>
          <w:bCs/>
          <w:i/>
          <w:iCs/>
        </w:rPr>
        <w:t>komunikacji i rozwiązania sprawy, której dotyczy korespondencja, kierowana do Administratora za pośrednictwem poczty e-mail lub tradycyjnej</w:t>
      </w:r>
    </w:p>
    <w:p>
      <w:pPr>
        <w:pStyle w:val="BodyText"/>
        <w:rPr>
          <w:b/>
          <w:bCs/>
          <w:i/>
          <w:iCs/>
        </w:rPr>
      </w:pPr>
      <w:r>
        <w:rPr>
          <w:b/>
          <w:bCs/>
          <w:i/>
          <w:iCs/>
        </w:rPr>
        <w:t>korespondencji bądź rozmowy telefonicznej, niezwiązanej z usługami świadczonymi na rzecz nadawcy wiadomości e-mail bądź listu czy też</w:t>
      </w:r>
    </w:p>
    <w:p>
      <w:pPr>
        <w:pStyle w:val="BodyText"/>
        <w:rPr/>
      </w:pPr>
      <w:r>
        <w:rPr>
          <w:b/>
          <w:bCs/>
          <w:i/>
          <w:iCs/>
        </w:rPr>
        <w:t xml:space="preserve">telefonującego, lub inną zawartą z nim umową </w:t>
      </w:r>
      <w:r>
        <w:rPr/>
        <w:t>- podstawą prawną przetwarzania jest uzasadniony interes Administratora (art. 6 ust. 1 lit. f) RODO) polegający</w:t>
      </w:r>
    </w:p>
    <w:p>
      <w:pPr>
        <w:pStyle w:val="BodyText"/>
        <w:rPr/>
      </w:pPr>
      <w:r>
        <w:rPr/>
        <w:t>na prowadzeniu korespondencji kierowanej do niego w związku z jego działalnością gospodarczą i rozwiązania zgłoszonej sprawy związanej z prowadzoną przez</w:t>
      </w:r>
    </w:p>
    <w:p>
      <w:pPr>
        <w:pStyle w:val="BodyText"/>
        <w:rPr/>
      </w:pPr>
      <w:r>
        <w:rPr/>
        <w:t>niego działalnością gospodarczą;</w:t>
      </w:r>
    </w:p>
    <w:p>
      <w:pPr>
        <w:pStyle w:val="BodyText"/>
        <w:rPr/>
      </w:pPr>
      <w:r>
        <w:rPr/>
        <w:t xml:space="preserve">- </w:t>
      </w:r>
      <w:r>
        <w:rPr>
          <w:b/>
          <w:bCs/>
          <w:i/>
          <w:iCs/>
        </w:rPr>
        <w:t xml:space="preserve">obsługi zgłoszonego roszczenia, w tym wypłaty świadczenia oraz likwidacja szkody z umowy ubezpieczenia </w:t>
      </w:r>
      <w:r>
        <w:rPr/>
        <w:t>- podstawą prawną jest obowiązek prawny</w:t>
      </w:r>
    </w:p>
    <w:p>
      <w:pPr>
        <w:pStyle w:val="BodyText"/>
        <w:rPr/>
      </w:pPr>
      <w:r>
        <w:rPr/>
        <w:t>ciążący na Administratorze (art. 6 ust.1 lit. c) RODO);</w:t>
      </w:r>
    </w:p>
    <w:p>
      <w:pPr>
        <w:pStyle w:val="BodyText"/>
        <w:rPr/>
      </w:pPr>
      <w:r>
        <w:rPr/>
        <w:t xml:space="preserve">- </w:t>
      </w:r>
      <w:r>
        <w:rPr>
          <w:b/>
          <w:bCs/>
          <w:i/>
          <w:iCs/>
        </w:rPr>
        <w:t xml:space="preserve">obsługi klientów i interesantów za pośrednictwem infolinii </w:t>
      </w:r>
      <w:r>
        <w:rPr/>
        <w:t>– podstawą prawną przetwarzania jest niezbędność przetwarzania do świadczenia usługi (art. 6 ust.</w:t>
      </w:r>
    </w:p>
    <w:p>
      <w:pPr>
        <w:pStyle w:val="BodyText"/>
        <w:rPr/>
      </w:pPr>
      <w:r>
        <w:rPr/>
        <w:t>1 lit. b) RODO).</w:t>
      </w:r>
    </w:p>
    <w:p>
      <w:pPr>
        <w:pStyle w:val="BodyText"/>
        <w:rPr/>
      </w:pPr>
      <w:r>
        <w:rPr/>
        <w:t>Informacja o zautomatyzowanym podejmowaniu decyzji, w tym profilowaniu</w:t>
      </w:r>
    </w:p>
    <w:p>
      <w:pPr>
        <w:pStyle w:val="BodyText"/>
        <w:rPr>
          <w:b/>
          <w:bCs/>
          <w:i/>
          <w:iCs/>
        </w:rPr>
      </w:pPr>
      <w:r>
        <w:rPr/>
        <w:t xml:space="preserve">W niektórych przypadkach </w:t>
      </w:r>
      <w:r>
        <w:rPr>
          <w:b/>
          <w:bCs/>
          <w:i/>
          <w:iCs/>
        </w:rPr>
        <w:t>decyzje dotyczące Pani/Pana mogą być podejmowane w sposób zautomatyzowany (tj. bez wpływu człowieka). Decyzje te będą</w:t>
      </w:r>
    </w:p>
    <w:p>
      <w:pPr>
        <w:pStyle w:val="BodyText"/>
        <w:rPr/>
      </w:pPr>
      <w:r>
        <w:rPr>
          <w:b/>
          <w:bCs/>
          <w:i/>
          <w:iCs/>
        </w:rPr>
        <w:t xml:space="preserve">dotyczyły oceny ryzyka ubezpieczeniowego </w:t>
      </w:r>
      <w:r>
        <w:rPr/>
        <w:t>(dla celów możliwości przedstawienia konkretnej oferty, ustalenia wysokości składki ubezpieczeniowej i zawarcia umowy</w:t>
      </w:r>
    </w:p>
    <w:p>
      <w:pPr>
        <w:pStyle w:val="BodyText"/>
        <w:rPr/>
      </w:pPr>
      <w:r>
        <w:rPr/>
        <w:t>ubezpieczenia) i będą podejmowane na podstawie Pani/Pana danych takich jak: data urodzenia, miejsce zamieszkania, wykonywany zawód, rok uzyskania prawa</w:t>
      </w:r>
    </w:p>
    <w:p>
      <w:pPr>
        <w:pStyle w:val="BodyText"/>
        <w:rPr/>
      </w:pPr>
      <w:r>
        <w:rPr/>
        <w:t>jazdy, dane dotyczące typu pojazdu i jego parametry techniczne, liczba szkód w ostatnich latach, informacje o stanie zdrowia, wartość i lokalizacja nieruchomości (w</w:t>
      </w:r>
    </w:p>
    <w:p>
      <w:pPr>
        <w:pStyle w:val="BodyText"/>
        <w:rPr/>
      </w:pPr>
      <w:r>
        <w:rPr/>
        <w:t>zależności od rodzaju ubezpieczenia dla potrzeb oceny ryzyka ubezpieczeniowego różne kategorie danych mogą być uznane za istotne);</w:t>
      </w:r>
    </w:p>
    <w:p>
      <w:pPr>
        <w:pStyle w:val="BodyText"/>
        <w:rPr/>
      </w:pPr>
      <w:r>
        <w:rPr/>
        <w:t>Powyższe decyzje będą oparte o profilowanie, tj. automatyczną ocenę ryzyka ubezpieczeniowego zawarcia z Panią/Panem umowy ubezpieczenia. W wyniku</w:t>
      </w:r>
    </w:p>
    <w:p>
      <w:pPr>
        <w:pStyle w:val="BodyText"/>
        <w:rPr/>
      </w:pPr>
      <w:r>
        <w:rPr/>
        <w:t>profilowania Administrator oceni w szczególności prawdopodobieństwo wystąpienia danego zdarzenia. Na podstawie tak dokonanej oceny Administrator podejmie</w:t>
      </w:r>
    </w:p>
    <w:p>
      <w:pPr>
        <w:pStyle w:val="BodyText"/>
        <w:rPr/>
      </w:pPr>
      <w:r>
        <w:rPr/>
        <w:t>decyzję o możliwości zawarcia z Panem/Panią umowy ubezpieczenia oraz o wysokości składki ubezpieczeniowej. Przykładowo: im więcej szkód miało miejsce w</w:t>
      </w:r>
    </w:p>
    <w:p>
      <w:pPr>
        <w:pStyle w:val="BodyText"/>
        <w:rPr/>
      </w:pPr>
      <w:r>
        <w:rPr/>
        <w:t>minionym okresie, tym większe może być ryzyko ubezpieczeniowe i w związku z tym wyliczona na podstawie automatycznej oceny ryzyka składka ubezpieczeniowa</w:t>
      </w:r>
    </w:p>
    <w:p>
      <w:pPr>
        <w:pStyle w:val="BodyText"/>
        <w:rPr/>
      </w:pPr>
      <w:r>
        <w:rPr/>
        <w:t>może być wyższa.</w:t>
      </w:r>
    </w:p>
    <w:p>
      <w:pPr>
        <w:pStyle w:val="BodyText"/>
        <w:rPr/>
      </w:pPr>
      <w:r>
        <w:rPr/>
        <w:t>W związku ze zautomatyzowanym podejmowaniem decyzji ma Pani/Pan prawo do otrzymania stosownych wyjaśnień, co do podstaw podjętej decyzji, prawo do</w:t>
      </w:r>
    </w:p>
    <w:p>
      <w:pPr>
        <w:pStyle w:val="BodyText"/>
        <w:rPr/>
      </w:pPr>
      <w:r>
        <w:rPr/>
        <w:t>zakwestionowania tej decyzji, do wyrażenia własnego stanowiska lub do uzyskania interwencji człowieka (tj. przeanalizowania danych i podjęcia decyzji przez</w:t>
      </w:r>
    </w:p>
    <w:p>
      <w:pPr>
        <w:pStyle w:val="BodyText"/>
        <w:rPr/>
      </w:pPr>
      <w:r>
        <w:rPr/>
        <w:t>człowieka).</w:t>
      </w:r>
    </w:p>
    <w:p>
      <w:pPr>
        <w:pStyle w:val="BodyText"/>
        <w:rPr/>
      </w:pPr>
      <w:r>
        <w:rPr/>
        <w:t>Okres przechowywania danych</w:t>
      </w:r>
    </w:p>
    <w:p>
      <w:pPr>
        <w:pStyle w:val="BodyText"/>
        <w:rPr/>
      </w:pPr>
      <w:r>
        <w:rPr/>
        <w:t>Pani/Pana dane osobowe będą przechowywane do momentu przedawnienia roszczeń z tytułu zawartej umowy ubezpieczenia lub do momentu wygaśnięcia obowiązku</w:t>
      </w:r>
    </w:p>
    <w:p>
      <w:pPr>
        <w:pStyle w:val="BodyText"/>
        <w:rPr/>
      </w:pPr>
      <w:r>
        <w:rPr/>
        <w:t>przechowywania danych wynikającego z przepisów prawa, w szczególności obowiązku przechowywania dokumentów księgowych dotyczących umowy ubezpieczenia i</w:t>
      </w:r>
    </w:p>
    <w:p>
      <w:pPr>
        <w:pStyle w:val="BodyText"/>
        <w:rPr/>
      </w:pPr>
      <w:r>
        <w:rPr/>
        <w:t>przepisów o przeciwdziałaniu praniu pieniędzy oraz finansowaniu terroryzmu.</w:t>
      </w:r>
    </w:p>
    <w:p>
      <w:pPr>
        <w:pStyle w:val="BodyText"/>
        <w:rPr/>
      </w:pPr>
      <w:r>
        <w:rPr/>
        <w:t>Administrator przestanie wcześniej przetwarzać dane na podstawie udzielonej zgody, jeśli wycofa Pani/Pan udzieloną wcześniej zgodę, jak również przestanie</w:t>
      </w:r>
    </w:p>
    <w:p>
      <w:pPr>
        <w:pStyle w:val="BodyText"/>
        <w:rPr/>
      </w:pPr>
      <w:r>
        <w:rPr/>
        <w:t>przetwarzać dane na podstawie prawnie uzasadnionego interesu Administratora (np. dane wykorzystywane do celów marketingu bezpośredniego, w tym profilowania i</w:t>
      </w:r>
    </w:p>
    <w:p>
      <w:pPr>
        <w:pStyle w:val="BodyText"/>
        <w:rPr/>
      </w:pPr>
      <w:r>
        <w:rPr/>
        <w:t>celów analitycznych) jeżeli zgłosi Pani/Pan sprzeciw wobec przetwarzania Pani/Pana danych w tych celach, chyba że wykaże on istnienie ważnych prawnie</w:t>
      </w:r>
    </w:p>
    <w:p>
      <w:pPr>
        <w:pStyle w:val="BodyText"/>
        <w:rPr/>
      </w:pPr>
      <w:r>
        <w:rPr/>
        <w:t>uzasadnionych podstaw do przetwarzania, nadrzędnych wobec Pana/Pani interesów, praw i wolności, lub podstaw do ustalenia, dochodzenia lub obrony roszczeń.</w:t>
      </w:r>
    </w:p>
    <w:p>
      <w:pPr>
        <w:pStyle w:val="BodyText"/>
        <w:rPr/>
      </w:pPr>
      <w:r>
        <w:rPr/>
        <w:t>Wycofanie zgody lub zgłoszenie sprzeciwu nie oznacza jednak, że Administrator usunie wszystkie dane – w szczególności dalsze przechowywanie danych może mieć</w:t>
      </w:r>
    </w:p>
    <w:p>
      <w:pPr>
        <w:pStyle w:val="BodyText"/>
        <w:rPr>
          <w:szCs w:val="22"/>
        </w:rPr>
      </w:pPr>
      <w:r>
        <w:rPr>
          <w:szCs w:val="22"/>
        </w:rPr>
        <w:t>jeszcze miejsce przez okres przedawnienia roszczeń i dla potrzeb wykazania rozliczalności.</w:t>
      </w:r>
    </w:p>
    <w:p>
      <w:pPr>
        <w:pStyle w:val="BodyText"/>
        <w:rPr/>
      </w:pPr>
      <w:r>
        <w:rPr/>
        <w:t>Odbiorcy danych</w:t>
      </w:r>
    </w:p>
    <w:p>
      <w:pPr>
        <w:pStyle w:val="BodyText"/>
        <w:rPr/>
      </w:pPr>
      <w:r>
        <w:rPr/>
        <w:t>Pani/Pana dane osobowe z uwagi na charakter przetwarzania mogą być w niezbędnym zakresie przekazywane zakładom reasekuracji, a także innym podmiotom takim</w:t>
      </w:r>
    </w:p>
    <w:p>
      <w:pPr>
        <w:pStyle w:val="BodyText"/>
        <w:rPr/>
      </w:pPr>
      <w:r>
        <w:rPr/>
        <w:t>jak operatorzy pocztowi, operatorzy wybranych przez Panią/Pana sposobów płatności czy podmioty świadczące usługi w zakresie likwidacji szkód.</w:t>
      </w:r>
    </w:p>
    <w:p>
      <w:pPr>
        <w:pStyle w:val="BodyText"/>
        <w:rPr/>
      </w:pPr>
      <w:r>
        <w:rPr/>
        <w:t>Ponadto Pani/Pana dane mogą być przekazywane podmiotom przetwarzającym dane osobowe na zlecenie Administratora, m.in. dostawcom usług IT, przetwarzającym</w:t>
      </w:r>
    </w:p>
    <w:p>
      <w:pPr>
        <w:pStyle w:val="BodyText"/>
        <w:rPr/>
      </w:pPr>
      <w:r>
        <w:rPr/>
        <w:t>dane w celu dochodzenia lub obrony przed roszczeniami, agencjom marketingowym, agentom ubezpieczeniowym, podmiotom przetwarzającym dane w celu windykacji</w:t>
      </w:r>
    </w:p>
    <w:p>
      <w:pPr>
        <w:pStyle w:val="BodyText"/>
        <w:rPr/>
      </w:pPr>
      <w:r>
        <w:rPr/>
        <w:t>należności oraz podmiotom archiwizującym lub usuwającym dane – przy czym takie podmioty przetwarzają dane na podstawie umowy z Administratorem i wyłącznie</w:t>
      </w:r>
    </w:p>
    <w:p>
      <w:pPr>
        <w:pStyle w:val="BodyText"/>
        <w:rPr/>
      </w:pPr>
      <w:r>
        <w:rPr/>
        <w:t>zgodnie z poleceniami Administratora.</w:t>
      </w:r>
    </w:p>
    <w:p>
      <w:pPr>
        <w:pStyle w:val="BodyText"/>
        <w:rPr/>
      </w:pPr>
      <w:r>
        <w:rPr/>
        <w:t>Przekazywanie danych poza EOG</w:t>
      </w:r>
    </w:p>
    <w:p>
      <w:pPr>
        <w:pStyle w:val="BodyText"/>
        <w:rPr/>
      </w:pPr>
      <w:r>
        <w:rPr/>
        <w:t>Pani/Pana dane osobowe nie będą przekazywane odbiorcom znajdującym się w państwach poza Europejskim Obszarem Gospodarczym.</w:t>
      </w:r>
    </w:p>
    <w:p>
      <w:pPr>
        <w:pStyle w:val="BodyText"/>
        <w:rPr/>
      </w:pPr>
      <w:r>
        <w:rPr/>
        <w:t>Prawa osoby, której dane dotyczą</w:t>
      </w:r>
    </w:p>
    <w:p>
      <w:pPr>
        <w:pStyle w:val="BodyText"/>
        <w:rPr/>
      </w:pPr>
      <w:r>
        <w:rPr/>
        <w:t>Przysługuje Pani/Panu prawo do:</w:t>
      </w:r>
    </w:p>
    <w:p>
      <w:pPr>
        <w:pStyle w:val="BodyText"/>
        <w:rPr/>
      </w:pPr>
      <w:r>
        <w:rPr/>
        <w:t>- dostępu do Pani/Pana danych, w tym otrzymania ich kopii;</w:t>
      </w:r>
    </w:p>
    <w:p>
      <w:pPr>
        <w:pStyle w:val="BodyText"/>
        <w:rPr/>
      </w:pPr>
      <w:r>
        <w:rPr/>
        <w:t>- żądania sprostowania, usunięcia lub ograniczenia przetwarzania danych,</w:t>
      </w:r>
    </w:p>
    <w:p>
      <w:pPr>
        <w:pStyle w:val="BodyText"/>
        <w:rPr/>
      </w:pPr>
      <w:r>
        <w:rPr/>
        <w:t xml:space="preserve">- </w:t>
      </w:r>
      <w:r>
        <w:rPr>
          <w:b/>
          <w:bCs/>
          <w:i/>
          <w:iCs/>
        </w:rPr>
        <w:t xml:space="preserve">wniesienia sprzeciwu wobec przetwarzania Pani/Pana danych osobowych </w:t>
      </w:r>
      <w:r>
        <w:rPr/>
        <w:t>(w zakresie, w jakim podstawą przetwarzania danych jest przesłanka prawnie</w:t>
      </w:r>
    </w:p>
    <w:p>
      <w:pPr>
        <w:pStyle w:val="BodyText"/>
        <w:rPr>
          <w:b/>
          <w:bCs/>
          <w:i/>
          <w:iCs/>
        </w:rPr>
      </w:pPr>
      <w:r>
        <w:rPr/>
        <w:t xml:space="preserve">uzasadnionego interesu Administratora) – </w:t>
      </w:r>
      <w:r>
        <w:rPr>
          <w:b/>
          <w:bCs/>
          <w:i/>
          <w:iCs/>
        </w:rPr>
        <w:t>w szczególności prawo sprzeciwu przysługuje wobec przetwarzania danych na potrzeby marketingu</w:t>
      </w:r>
    </w:p>
    <w:p>
      <w:pPr>
        <w:pStyle w:val="BodyText"/>
        <w:rPr>
          <w:b/>
          <w:bCs/>
          <w:i/>
          <w:iCs/>
        </w:rPr>
      </w:pPr>
      <w:r>
        <w:rPr>
          <w:b/>
          <w:bCs/>
          <w:i/>
          <w:iCs/>
        </w:rPr>
        <w:t>bezpośredniego oraz profilowania,</w:t>
      </w:r>
    </w:p>
    <w:p>
      <w:pPr>
        <w:pStyle w:val="BodyText"/>
        <w:rPr/>
      </w:pPr>
      <w:r>
        <w:rPr/>
        <w:t>- wycofania zgody na przetwarzanie Pani/Pana danych osobowych (w zakresie w jakim zgoda stanowi podstawę tego przetwarzania); wycofanie zgody nie ma</w:t>
      </w:r>
    </w:p>
    <w:p>
      <w:pPr>
        <w:pStyle w:val="BodyText"/>
        <w:rPr/>
      </w:pPr>
      <w:r>
        <w:rPr/>
        <w:t>wpływu na zgodność z prawem przetwarzania, którego dokonano na podstawie zgody przed jej wycofaniem;</w:t>
      </w:r>
    </w:p>
    <w:p>
      <w:pPr>
        <w:pStyle w:val="BodyText"/>
        <w:rPr/>
      </w:pPr>
      <w:r>
        <w:rPr/>
        <w:t>- przenoszenia danych osobowych (w zakresie, w jakim Pani/Pana dane są przetwarzane w sposób zautomatyzowany i przetwarzanie to odbywa się na podstawie</w:t>
      </w:r>
    </w:p>
    <w:p>
      <w:pPr>
        <w:pStyle w:val="BodyText"/>
        <w:rPr/>
      </w:pPr>
      <w:r>
        <w:rPr/>
        <w:t>zgody lub na podstawie zawartej z Administratorem umowy), tj. do otrzymania od Administratora Pani/Pana danych osobowych, w ustrukturyzowanym,</w:t>
      </w:r>
    </w:p>
    <w:p>
      <w:pPr>
        <w:pStyle w:val="BodyText"/>
        <w:rPr/>
      </w:pPr>
      <w:r>
        <w:rPr/>
        <w:t>powszechnie używanym formacie nadającym się do odczytu maszynowego); może Pani/Pan przesłać te dane innemu administratorowi danych,</w:t>
      </w:r>
    </w:p>
    <w:p>
      <w:pPr>
        <w:pStyle w:val="BodyText"/>
        <w:rPr>
          <w:b/>
          <w:bCs/>
          <w:i/>
          <w:iCs/>
        </w:rPr>
      </w:pPr>
      <w:r>
        <w:rPr>
          <w:b/>
          <w:bCs/>
          <w:i/>
          <w:iCs/>
        </w:rPr>
        <w:t>W celu skorzystania z powyższych praw należy skontaktować się z Administratorem lub z inspektorem ochrony danych. Dane kontaktowe wskazane są</w:t>
      </w:r>
    </w:p>
    <w:p>
      <w:pPr>
        <w:pStyle w:val="BodyText"/>
        <w:rPr>
          <w:b/>
          <w:bCs/>
          <w:i/>
          <w:iCs/>
        </w:rPr>
      </w:pPr>
      <w:r>
        <w:rPr>
          <w:b/>
          <w:bCs/>
          <w:i/>
          <w:iCs/>
        </w:rPr>
        <w:t>powyżej.</w:t>
      </w:r>
    </w:p>
    <w:p>
      <w:pPr>
        <w:pStyle w:val="BodyText"/>
        <w:rPr/>
      </w:pPr>
      <w:r>
        <w:rPr/>
        <w:t>Ponadto przysługuje Pani/Panu prawo wniesienia skargi do organu nadzorczego zajmującego się ochroną danych osobowych, tzn. do Urzędu Ochrony Danych</w:t>
      </w:r>
    </w:p>
    <w:p>
      <w:pPr>
        <w:pStyle w:val="BodyText"/>
        <w:rPr/>
      </w:pPr>
      <w:r>
        <w:rPr/>
        <w:t>Osobowych.</w:t>
      </w:r>
    </w:p>
    <w:p>
      <w:pPr>
        <w:pStyle w:val="BodyText"/>
        <w:rPr/>
      </w:pPr>
      <w:r>
        <w:rPr/>
        <w:t>Informacja o wymogu podania danych</w:t>
      </w:r>
    </w:p>
    <w:p>
      <w:pPr>
        <w:pStyle w:val="BodyText"/>
        <w:rPr/>
      </w:pPr>
      <w:r>
        <w:rPr/>
        <w:t>Podanie danych osobowych w związku z zawieraną umową jest dobrowolne ale konieczne do zawarcia i wykonywania umowy – bez podania danych osobowych nie</w:t>
      </w:r>
    </w:p>
    <w:p>
      <w:pPr>
        <w:pStyle w:val="BodyText"/>
        <w:rPr/>
      </w:pPr>
      <w:r>
        <w:rPr/>
        <w:t>jest możliwe zawarcie umowy ubezpieczenia. Podanie danych osobowych w celach marketingowych jest dobrowolne.</w:t>
      </w:r>
    </w:p>
    <w:p>
      <w:pPr>
        <w:pStyle w:val="BodyText"/>
        <w:rPr/>
      </w:pPr>
      <w:r>
        <w:rPr/>
        <w:t>6. Niniejsze oświadczenia składam dobrowolnie</w:t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spacing w:before="118" w:after="0"/>
        <w:rPr/>
      </w:pPr>
      <w:r>
        <w:rPr/>
      </w:r>
    </w:p>
    <w:p>
      <w:pPr>
        <w:pStyle w:val="Heading3"/>
        <w:tabs>
          <w:tab w:val="clear" w:pos="720"/>
          <w:tab w:val="left" w:pos="4321" w:leader="none"/>
        </w:tabs>
        <w:rPr/>
      </w:pPr>
      <w:r>
        <mc:AlternateContent>
          <mc:Choice Requires="wps">
            <w:drawing>
              <wp:anchor distT="0" distB="1270" distL="1270" distR="0" simplePos="0" relativeHeight="114" behindDoc="0" locked="0" layoutInCell="0" allowOverlap="1">
                <wp:simplePos x="0" y="0"/>
                <wp:positionH relativeFrom="page">
                  <wp:posOffset>360045</wp:posOffset>
                </wp:positionH>
                <wp:positionV relativeFrom="paragraph">
                  <wp:posOffset>138430</wp:posOffset>
                </wp:positionV>
                <wp:extent cx="1800225" cy="6350"/>
                <wp:effectExtent l="1270" t="0" r="0" b="1270"/>
                <wp:wrapNone/>
                <wp:docPr id="21" name="Graphic 27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00360" cy="6480"/>
                        </a:xfrm>
                        <a:custGeom>
                          <a:avLst/>
                          <a:gdLst>
                            <a:gd name="textAreaLeft" fmla="*/ 0 w 1020600"/>
                            <a:gd name="textAreaRight" fmla="*/ 1023120 w 1020600"/>
                            <a:gd name="textAreaTop" fmla="*/ 0 h 3600"/>
                            <a:gd name="textAreaBottom" fmla="*/ 6120 h 3600"/>
                          </a:gdLst>
                          <a:ahLst/>
                          <a:cxnLst/>
                          <a:rect l="textAreaLeft" t="textAreaTop" r="textAreaRight" b="textAreaBottom"/>
                          <a:pathLst>
                            <a:path w="1800225" h="6350">
                              <a:moveTo>
                                <a:pt x="1799970" y="6350"/>
                              </a:moveTo>
                              <a:lnTo>
                                <a:pt x="0" y="6350"/>
                              </a:lnTo>
                              <a:lnTo>
                                <a:pt x="0" y="0"/>
                              </a:lnTo>
                              <a:lnTo>
                                <a:pt x="1799970" y="0"/>
                              </a:lnTo>
                              <a:lnTo>
                                <a:pt x="1799970" y="635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/>
          </mc:Fallback>
        </mc:AlternateContent>
      </w:r>
      <w:r>
        <w:rPr>
          <w:spacing w:val="-2"/>
        </w:rPr>
        <w:t>OLSZTYN,</w:t>
      </w:r>
      <w:r>
        <w:rPr>
          <w:spacing w:val="16"/>
        </w:rPr>
        <w:t xml:space="preserve"> </w:t>
      </w:r>
      <w:r>
        <w:rPr/>
        <w:tab/>
        <w:t>DARIUSZ</w:t>
      </w:r>
      <w:r>
        <w:rPr>
          <w:spacing w:val="-11"/>
        </w:rPr>
        <w:t xml:space="preserve"> </w:t>
      </w:r>
      <w:r>
        <w:rPr/>
        <w:t>ZABOROWSKI,</w:t>
      </w:r>
      <w:r>
        <w:rPr>
          <w:spacing w:val="-9"/>
        </w:rPr>
        <w:t xml:space="preserve"> </w:t>
      </w:r>
      <w:r>
        <w:rPr>
          <w:spacing w:val="-2"/>
        </w:rPr>
        <w:t>33/655/001</w:t>
      </w:r>
    </w:p>
    <w:p>
      <w:pPr>
        <w:sectPr>
          <w:footerReference w:type="default" r:id="rId5"/>
          <w:type w:val="nextPage"/>
          <w:pgSz w:w="11906" w:h="16838"/>
          <w:pgMar w:left="647" w:right="541" w:gutter="0" w:header="0" w:top="180" w:footer="859" w:bottom="1120"/>
          <w:pgNumType w:fmt="decimal"/>
          <w:formProt w:val="false"/>
          <w:textDirection w:val="lrTb"/>
          <w:docGrid w:type="default" w:linePitch="100" w:charSpace="0"/>
        </w:sectPr>
      </w:pPr>
    </w:p>
    <w:p>
      <w:pPr>
        <w:pStyle w:val="BodyText"/>
        <w:spacing w:before="116" w:after="0"/>
        <w:ind w:left="987"/>
        <w:rPr/>
      </w:pPr>
      <w:r>
        <w:rPr>
          <w:spacing w:val="-2"/>
        </w:rPr>
        <w:t>Miejscowość,</w:t>
      </w:r>
      <w:r>
        <w:rPr>
          <w:spacing w:val="5"/>
        </w:rPr>
        <w:t xml:space="preserve"> </w:t>
      </w:r>
      <w:r>
        <w:rPr>
          <w:spacing w:val="-4"/>
        </w:rPr>
        <w:t>data</w:t>
      </w:r>
    </w:p>
    <w:p>
      <w:pPr>
        <w:pStyle w:val="BodyText"/>
        <w:spacing w:before="0" w:after="0"/>
        <w:rPr>
          <w:sz w:val="4"/>
        </w:rPr>
      </w:pPr>
      <w:r>
        <w:br w:type="column"/>
      </w:r>
      <w:r>
        <w:rPr>
          <w:sz w:val="4"/>
        </w:rPr>
      </w:r>
    </w:p>
    <w:p>
      <w:pPr>
        <w:pStyle w:val="Normal"/>
        <w:spacing w:lineRule="exact" w:line="20"/>
        <w:ind w:left="888" w:right="-116"/>
        <w:rPr>
          <w:sz w:val="2"/>
        </w:rPr>
      </w:pPr>
      <w:r>
        <w:rPr/>
        <mc:AlternateContent>
          <mc:Choice Requires="wpg">
            <w:drawing>
              <wp:inline distT="0" distB="0" distL="0" distR="0">
                <wp:extent cx="1800225" cy="6350"/>
                <wp:effectExtent l="0" t="0" r="0" b="0"/>
                <wp:docPr id="30" name="Group 28"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800360" cy="6480"/>
                          <a:chOff x="0" y="0"/>
                          <a:chExt cx="1800360" cy="6480"/>
                        </a:xfrm>
                      </wpg:grpSpPr>
                      <wps:wsp>
                        <wps:cNvPr id="31" name="Graphic 29"/>
                        <wps:cNvSpPr/>
                        <wps:spPr>
                          <a:xfrm>
                            <a:off x="0" y="0"/>
                            <a:ext cx="1800360" cy="6480"/>
                          </a:xfrm>
                          <a:custGeom>
                            <a:avLst/>
                            <a:gdLst>
                              <a:gd name="textAreaLeft" fmla="*/ 0 w 1020600"/>
                              <a:gd name="textAreaRight" fmla="*/ 1023120 w 1020600"/>
                              <a:gd name="textAreaTop" fmla="*/ 0 h 3600"/>
                              <a:gd name="textAreaBottom" fmla="*/ 6120 h 3600"/>
                            </a:gdLst>
                            <a:ahLst/>
                            <a:cxnLst/>
                            <a:rect l="textAreaLeft" t="textAreaTop" r="textAreaRight" b="textAreaBottom"/>
                            <a:pathLst>
                              <a:path w="1800225" h="6350">
                                <a:moveTo>
                                  <a:pt x="1799996" y="6350"/>
                                </a:moveTo>
                                <a:lnTo>
                                  <a:pt x="0" y="6350"/>
                                </a:lnTo>
                                <a:lnTo>
                                  <a:pt x="0" y="0"/>
                                </a:lnTo>
                                <a:lnTo>
                                  <a:pt x="1799996" y="0"/>
                                </a:lnTo>
                                <a:lnTo>
                                  <a:pt x="1799996" y="635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id="shape_0" alt="Group 28" style="position:absolute;margin-left:0pt;margin-top:-0.55pt;width:141.75pt;height:0.5pt" coordorigin="0,-11" coordsize="2835,10"/>
            </w:pict>
          </mc:Fallback>
        </mc:AlternateContent>
      </w:r>
    </w:p>
    <w:p>
      <w:pPr>
        <w:pStyle w:val="BodyText"/>
        <w:spacing w:lineRule="auto" w:line="245" w:before="39" w:after="0"/>
        <w:ind w:firstLine="307" w:left="987"/>
        <w:rPr/>
      </w:pPr>
      <w:r>
        <w:rPr/>
        <w:t>Podpis i pieczęć Przedstawiciela</w:t>
      </w:r>
      <w:r>
        <w:rPr>
          <w:spacing w:val="40"/>
        </w:rPr>
        <w:t xml:space="preserve"> </w:t>
      </w:r>
      <w:r>
        <w:rPr/>
        <w:t>InterRisk</w:t>
      </w:r>
      <w:r>
        <w:rPr>
          <w:spacing w:val="-7"/>
        </w:rPr>
        <w:t xml:space="preserve"> </w:t>
      </w:r>
      <w:r>
        <w:rPr/>
        <w:t>TU</w:t>
      </w:r>
      <w:r>
        <w:rPr>
          <w:spacing w:val="-7"/>
        </w:rPr>
        <w:t xml:space="preserve"> </w:t>
      </w:r>
      <w:r>
        <w:rPr/>
        <w:t>S.A.</w:t>
      </w:r>
      <w:r>
        <w:rPr>
          <w:spacing w:val="-7"/>
        </w:rPr>
        <w:t xml:space="preserve"> </w:t>
      </w:r>
      <w:r>
        <w:rPr/>
        <w:t>Vienna</w:t>
      </w:r>
      <w:r>
        <w:rPr>
          <w:spacing w:val="-7"/>
        </w:rPr>
        <w:t xml:space="preserve"> </w:t>
      </w:r>
      <w:r>
        <w:rPr/>
        <w:t>Insurance</w:t>
      </w:r>
      <w:r>
        <w:rPr>
          <w:spacing w:val="-7"/>
        </w:rPr>
        <w:t xml:space="preserve"> </w:t>
      </w:r>
      <w:r>
        <w:rPr/>
        <w:t>Group</w:t>
      </w:r>
    </w:p>
    <w:p>
      <w:pPr>
        <w:pStyle w:val="BodyText"/>
        <w:spacing w:before="0" w:after="0"/>
        <w:rPr>
          <w:sz w:val="4"/>
        </w:rPr>
      </w:pPr>
      <w:r>
        <w:br w:type="column"/>
      </w:r>
      <w:r>
        <w:rPr>
          <w:sz w:val="4"/>
        </w:rPr>
      </w:r>
    </w:p>
    <w:p>
      <w:pPr>
        <w:pStyle w:val="Normal"/>
        <w:spacing w:lineRule="exact" w:line="20"/>
        <w:ind w:left="655"/>
        <w:rPr>
          <w:sz w:val="2"/>
        </w:rPr>
      </w:pPr>
      <w:r>
        <w:rPr/>
        <mc:AlternateContent>
          <mc:Choice Requires="wpg">
            <w:drawing>
              <wp:inline distT="0" distB="0" distL="0" distR="0">
                <wp:extent cx="1800225" cy="6350"/>
                <wp:effectExtent l="0" t="0" r="0" b="0"/>
                <wp:docPr id="32" name="Group 30"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800360" cy="6480"/>
                          <a:chOff x="0" y="0"/>
                          <a:chExt cx="1800360" cy="6480"/>
                        </a:xfrm>
                      </wpg:grpSpPr>
                      <wps:wsp>
                        <wps:cNvPr id="33" name="Graphic 31"/>
                        <wps:cNvSpPr/>
                        <wps:spPr>
                          <a:xfrm>
                            <a:off x="0" y="0"/>
                            <a:ext cx="1800360" cy="6480"/>
                          </a:xfrm>
                          <a:custGeom>
                            <a:avLst/>
                            <a:gdLst>
                              <a:gd name="textAreaLeft" fmla="*/ 0 w 1020600"/>
                              <a:gd name="textAreaRight" fmla="*/ 1023120 w 1020600"/>
                              <a:gd name="textAreaTop" fmla="*/ 0 h 3600"/>
                              <a:gd name="textAreaBottom" fmla="*/ 6120 h 3600"/>
                            </a:gdLst>
                            <a:ahLst/>
                            <a:cxnLst/>
                            <a:rect l="textAreaLeft" t="textAreaTop" r="textAreaRight" b="textAreaBottom"/>
                            <a:pathLst>
                              <a:path w="1800225" h="6350">
                                <a:moveTo>
                                  <a:pt x="1799996" y="6350"/>
                                </a:moveTo>
                                <a:lnTo>
                                  <a:pt x="0" y="6350"/>
                                </a:lnTo>
                                <a:lnTo>
                                  <a:pt x="0" y="0"/>
                                </a:lnTo>
                                <a:lnTo>
                                  <a:pt x="1799996" y="0"/>
                                </a:lnTo>
                                <a:lnTo>
                                  <a:pt x="1799996" y="635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id="shape_0" alt="Group 30" style="position:absolute;margin-left:0pt;margin-top:-0.55pt;width:141.75pt;height:0.5pt" coordorigin="0,-11" coordsize="2835,10"/>
            </w:pict>
          </mc:Fallback>
        </mc:AlternateContent>
      </w:r>
    </w:p>
    <w:p>
      <w:pPr>
        <w:pStyle w:val="BodyText"/>
        <w:spacing w:before="39" w:after="0"/>
        <w:ind w:left="987"/>
        <w:rPr/>
      </w:pPr>
      <w:r>
        <w:rPr/>
        <w:t>Czytelny</w:t>
      </w:r>
      <w:r>
        <w:rPr>
          <w:spacing w:val="-4"/>
        </w:rPr>
        <w:t xml:space="preserve"> </w:t>
      </w:r>
      <w:r>
        <w:rPr/>
        <w:t>podpis</w:t>
      </w:r>
      <w:r>
        <w:rPr>
          <w:spacing w:val="-4"/>
        </w:rPr>
        <w:t xml:space="preserve"> </w:t>
      </w:r>
      <w:r>
        <w:rPr>
          <w:spacing w:val="-2"/>
        </w:rPr>
        <w:t>Ubezpieczającego</w:t>
      </w:r>
    </w:p>
    <w:p>
      <w:pPr>
        <w:sectPr>
          <w:type w:val="continuous"/>
          <w:pgSz w:w="11906" w:h="16838"/>
          <w:pgMar w:left="647" w:right="541" w:gutter="0" w:header="0" w:top="180" w:footer="859" w:bottom="1120"/>
          <w:cols w:num="3" w:equalWidth="false" w:sep="false">
            <w:col w:w="2086" w:space="1052"/>
            <w:col w:w="3524" w:space="536"/>
            <w:col w:w="3519"/>
          </w:cols>
          <w:formProt w:val="false"/>
          <w:textDirection w:val="lrTb"/>
          <w:docGrid w:type="default" w:linePitch="100" w:charSpace="0"/>
        </w:sectPr>
      </w:pPr>
    </w:p>
    <w:p>
      <w:pPr>
        <w:pStyle w:val="BodyText"/>
        <w:spacing w:before="11" w:after="0"/>
        <w:rPr>
          <w:sz w:val="12"/>
        </w:rPr>
      </w:pPr>
      <w:r>
        <w:rPr>
          <w:sz w:val="12"/>
        </w:rPr>
      </w:r>
    </w:p>
    <w:p>
      <w:pPr>
        <w:pStyle w:val="Normal"/>
        <w:spacing w:lineRule="auto" w:line="300"/>
        <w:ind w:left="278" w:right="7334"/>
        <w:rPr>
          <w:sz w:val="12"/>
        </w:rPr>
      </w:pPr>
      <w:r>
        <w:rPr>
          <w:spacing w:val="-2"/>
          <w:w w:val="105"/>
          <w:sz w:val="12"/>
        </w:rPr>
        <w:t>Numery telefonów niezbędne do realizacji świadczeń:</w:t>
      </w:r>
      <w:r>
        <w:rPr>
          <w:spacing w:val="40"/>
          <w:w w:val="105"/>
          <w:sz w:val="12"/>
        </w:rPr>
        <w:t xml:space="preserve"> </w:t>
      </w:r>
      <w:r>
        <w:rPr>
          <w:sz w:val="12"/>
        </w:rPr>
        <w:t>Assistance EDU PLUS – InterRisk Kontakt (22) 575 25 25</w:t>
      </w:r>
    </w:p>
    <w:p>
      <w:pPr>
        <w:pStyle w:val="BodyText"/>
        <w:spacing w:before="8" w:after="0"/>
        <w:rPr>
          <w:sz w:val="6"/>
        </w:rPr>
      </w:pPr>
      <w:r>
        <w:rPr>
          <w:sz w:val="6"/>
        </w:rPr>
      </w:r>
    </w:p>
    <w:sectPr>
      <w:type w:val="continuous"/>
      <w:pgSz w:w="11906" w:h="16838"/>
      <w:pgMar w:left="647" w:right="541" w:gutter="0" w:header="0" w:top="180" w:footer="859" w:bottom="1120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ee"/>
    <w:family w:val="roman"/>
    <w:pitch w:val="variable"/>
  </w:font>
  <w:font w:name="Calibri">
    <w:charset w:val="ee"/>
    <w:family w:val="roman"/>
    <w:pitch w:val="variable"/>
  </w:font>
  <w:font w:name="Microsoft Sans Serif">
    <w:charset w:val="ee"/>
    <w:family w:val="swiss"/>
    <w:pitch w:val="variable"/>
  </w:font>
  <w:font w:name="Arial">
    <w:charset w:val="ee"/>
    <w:family w:val="swiss"/>
    <w:pitch w:val="variable"/>
  </w:font>
  <w:font w:name="Cambria">
    <w:charset w:val="ee"/>
    <w:family w:val="roman"/>
    <w:pitch w:val="variable"/>
  </w:font>
  <w:font w:name="MyriadPro-Regular">
    <w:charset w:val="ee"/>
    <w:family w:val="roman"/>
    <w:pitch w:val="variable"/>
  </w:font>
  <w:font w:name="MyriadPro-Bold">
    <w:charset w:val="ee"/>
    <w:family w:val="roman"/>
    <w:pitch w:val="variable"/>
  </w:font>
  <w:font w:name="Times New Roman">
    <w:charset w:val="ee"/>
    <w:family w:val="roman"/>
    <w:pitch w:val="variable"/>
  </w:font>
  <w:font w:name="Aptos Display">
    <w:charset w:val="ee"/>
    <w:family w:val="roman"/>
    <w:pitch w:val="variable"/>
  </w:font>
  <w:font w:name="Liberation Sans">
    <w:altName w:val="Arial"/>
    <w:charset w:val="ee"/>
    <w:family w:val="swiss"/>
    <w:pitch w:val="variable"/>
  </w:font>
  <w:font w:name="Arial Narrow">
    <w:charset w:val="ee"/>
    <w:family w:val="swiss"/>
    <w:pitch w:val="variable"/>
  </w:font>
  <w:font w:name="Calibri">
    <w:charset w:val="ee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uto" w:line="14"/>
      <w:rPr>
        <w:sz w:val="20"/>
      </w:rPr>
    </w:pPr>
    <w:r>
      <w:rPr>
        <w:sz w:val="20"/>
      </w:rPr>
      <mc:AlternateContent>
        <mc:Choice Requires="wps">
          <w:drawing>
            <wp:anchor distT="0" distB="0" distL="0" distR="0" simplePos="0" relativeHeight="3" behindDoc="1" locked="0" layoutInCell="0" allowOverlap="1">
              <wp:simplePos x="0" y="0"/>
              <wp:positionH relativeFrom="page">
                <wp:posOffset>393065</wp:posOffset>
              </wp:positionH>
              <wp:positionV relativeFrom="page">
                <wp:posOffset>10008235</wp:posOffset>
              </wp:positionV>
              <wp:extent cx="6350" cy="396240"/>
              <wp:effectExtent l="0" t="0" r="635" b="0"/>
              <wp:wrapNone/>
              <wp:docPr id="3" name="Graphic 1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480" cy="396360"/>
                      </a:xfrm>
                      <a:custGeom>
                        <a:avLst/>
                        <a:gdLst>
                          <a:gd name="textAreaLeft" fmla="*/ 0 w 3600"/>
                          <a:gd name="textAreaRight" fmla="*/ 6120 w 3600"/>
                          <a:gd name="textAreaTop" fmla="*/ 0 h 224640"/>
                          <a:gd name="textAreaBottom" fmla="*/ 227160 h 224640"/>
                        </a:gdLst>
                        <a:ahLst/>
                        <a:cxnLst/>
                        <a:rect l="textAreaLeft" t="textAreaTop" r="textAreaRight" b="textAreaBottom"/>
                        <a:pathLst>
                          <a:path w="6350" h="396240">
                            <a:moveTo>
                              <a:pt x="6349" y="395960"/>
                            </a:moveTo>
                            <a:lnTo>
                              <a:pt x="0" y="395960"/>
                            </a:lnTo>
                            <a:lnTo>
                              <a:pt x="0" y="0"/>
                            </a:lnTo>
                            <a:lnTo>
                              <a:pt x="6349" y="0"/>
                            </a:lnTo>
                            <a:lnTo>
                              <a:pt x="6349" y="39596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mc:AlternateContent>
        <mc:Choice Requires="wps">
          <w:drawing>
            <wp:anchor distT="0" distB="0" distL="0" distR="1270" simplePos="0" relativeHeight="6" behindDoc="1" locked="0" layoutInCell="0" allowOverlap="1">
              <wp:simplePos x="0" y="0"/>
              <wp:positionH relativeFrom="page">
                <wp:posOffset>2733040</wp:posOffset>
              </wp:positionH>
              <wp:positionV relativeFrom="page">
                <wp:posOffset>10008235</wp:posOffset>
              </wp:positionV>
              <wp:extent cx="6350" cy="396240"/>
              <wp:effectExtent l="0" t="0" r="1270" b="0"/>
              <wp:wrapNone/>
              <wp:docPr id="4" name="Graphic 2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480" cy="396360"/>
                      </a:xfrm>
                      <a:custGeom>
                        <a:avLst/>
                        <a:gdLst>
                          <a:gd name="textAreaLeft" fmla="*/ 0 w 3600"/>
                          <a:gd name="textAreaRight" fmla="*/ 6120 w 3600"/>
                          <a:gd name="textAreaTop" fmla="*/ 0 h 224640"/>
                          <a:gd name="textAreaBottom" fmla="*/ 227160 h 224640"/>
                        </a:gdLst>
                        <a:ahLst/>
                        <a:cxnLst/>
                        <a:rect l="textAreaLeft" t="textAreaTop" r="textAreaRight" b="textAreaBottom"/>
                        <a:pathLst>
                          <a:path w="6350" h="396240">
                            <a:moveTo>
                              <a:pt x="6350" y="395960"/>
                            </a:moveTo>
                            <a:lnTo>
                              <a:pt x="0" y="395960"/>
                            </a:lnTo>
                            <a:lnTo>
                              <a:pt x="0" y="0"/>
                            </a:lnTo>
                            <a:lnTo>
                              <a:pt x="6350" y="0"/>
                            </a:lnTo>
                            <a:lnTo>
                              <a:pt x="6350" y="39596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mc:AlternateContent>
        <mc:Choice Requires="wps">
          <w:drawing>
            <wp:anchor distT="0" distB="0" distL="0" distR="0" simplePos="0" relativeHeight="7" behindDoc="1" locked="0" layoutInCell="0" allowOverlap="1">
              <wp:simplePos x="0" y="0"/>
              <wp:positionH relativeFrom="page">
                <wp:posOffset>5073015</wp:posOffset>
              </wp:positionH>
              <wp:positionV relativeFrom="page">
                <wp:posOffset>10008235</wp:posOffset>
              </wp:positionV>
              <wp:extent cx="6350" cy="396240"/>
              <wp:effectExtent l="0" t="0" r="635" b="0"/>
              <wp:wrapNone/>
              <wp:docPr id="5" name="Graphic 3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480" cy="396360"/>
                      </a:xfrm>
                      <a:custGeom>
                        <a:avLst/>
                        <a:gdLst>
                          <a:gd name="textAreaLeft" fmla="*/ 0 w 3600"/>
                          <a:gd name="textAreaRight" fmla="*/ 6120 w 3600"/>
                          <a:gd name="textAreaTop" fmla="*/ 0 h 224640"/>
                          <a:gd name="textAreaBottom" fmla="*/ 227160 h 224640"/>
                        </a:gdLst>
                        <a:ahLst/>
                        <a:cxnLst/>
                        <a:rect l="textAreaLeft" t="textAreaTop" r="textAreaRight" b="textAreaBottom"/>
                        <a:pathLst>
                          <a:path w="6350" h="396240">
                            <a:moveTo>
                              <a:pt x="6350" y="395960"/>
                            </a:moveTo>
                            <a:lnTo>
                              <a:pt x="0" y="395960"/>
                            </a:lnTo>
                            <a:lnTo>
                              <a:pt x="0" y="0"/>
                            </a:lnTo>
                            <a:lnTo>
                              <a:pt x="6350" y="0"/>
                            </a:lnTo>
                            <a:lnTo>
                              <a:pt x="6350" y="39596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mc:AlternateContent>
        <mc:Choice Requires="wps">
          <w:drawing>
            <wp:anchor distT="0" distB="0" distL="0" distR="0" simplePos="0" relativeHeight="8" behindDoc="1" locked="0" layoutInCell="0" allowOverlap="1">
              <wp:simplePos x="0" y="0"/>
              <wp:positionH relativeFrom="page">
                <wp:posOffset>360045</wp:posOffset>
              </wp:positionH>
              <wp:positionV relativeFrom="page">
                <wp:posOffset>9968865</wp:posOffset>
              </wp:positionV>
              <wp:extent cx="6840220" cy="6350"/>
              <wp:effectExtent l="0" t="0" r="0" b="635"/>
              <wp:wrapNone/>
              <wp:docPr id="6" name="Graphic 4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840360" cy="6480"/>
                      </a:xfrm>
                      <a:custGeom>
                        <a:avLst/>
                        <a:gdLst>
                          <a:gd name="textAreaLeft" fmla="*/ 0 w 3877920"/>
                          <a:gd name="textAreaRight" fmla="*/ 3880440 w 3877920"/>
                          <a:gd name="textAreaTop" fmla="*/ 0 h 3600"/>
                          <a:gd name="textAreaBottom" fmla="*/ 6120 h 3600"/>
                        </a:gdLst>
                        <a:ahLst/>
                        <a:cxnLst/>
                        <a:rect l="textAreaLeft" t="textAreaTop" r="textAreaRight" b="textAreaBottom"/>
                        <a:pathLst>
                          <a:path w="6840220" h="6350">
                            <a:moveTo>
                              <a:pt x="6840004" y="6350"/>
                            </a:moveTo>
                            <a:lnTo>
                              <a:pt x="0" y="6350"/>
                            </a:lnTo>
                            <a:lnTo>
                              <a:pt x="0" y="0"/>
                            </a:lnTo>
                            <a:lnTo>
                              <a:pt x="6840004" y="0"/>
                            </a:lnTo>
                            <a:lnTo>
                              <a:pt x="6840004" y="635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mc:AlternateContent>
        <mc:Choice Requires="wps">
          <w:drawing>
            <wp:anchor distT="0" distB="0" distL="0" distR="0" simplePos="0" relativeHeight="9" behindDoc="1" locked="0" layoutInCell="0" allowOverlap="1">
              <wp:simplePos x="0" y="0"/>
              <wp:positionH relativeFrom="page">
                <wp:posOffset>456565</wp:posOffset>
              </wp:positionH>
              <wp:positionV relativeFrom="page">
                <wp:posOffset>9995535</wp:posOffset>
              </wp:positionV>
              <wp:extent cx="786765" cy="402590"/>
              <wp:effectExtent l="635" t="0" r="0" b="0"/>
              <wp:wrapNone/>
              <wp:docPr id="7" name="Textbox 5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86600" cy="40248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Zawartoramki"/>
                            <w:spacing w:before="18" w:after="0"/>
                            <w:ind w:left="20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Centrala</w:t>
                          </w:r>
                        </w:p>
                        <w:p>
                          <w:pPr>
                            <w:pStyle w:val="Zawartoramki"/>
                            <w:spacing w:before="2" w:after="0"/>
                            <w:ind w:left="20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ul.</w:t>
                          </w:r>
                          <w:r>
                            <w:rPr>
                              <w:color w:val="000000"/>
                              <w:spacing w:val="4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Noakowskiego</w:t>
                          </w:r>
                          <w:r>
                            <w:rPr>
                              <w:color w:val="000000"/>
                              <w:spacing w:val="5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pacing w:val="-5"/>
                              <w:sz w:val="13"/>
                            </w:rPr>
                            <w:t>22</w:t>
                          </w:r>
                        </w:p>
                        <w:p>
                          <w:pPr>
                            <w:pStyle w:val="Zawartoramki"/>
                            <w:spacing w:lineRule="auto" w:line="245" w:before="2" w:after="0"/>
                            <w:ind w:left="20" w:right="161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z w:val="13"/>
                            </w:rPr>
                            <w:t>00-668</w:t>
                          </w:r>
                          <w:r>
                            <w:rPr>
                              <w:color w:val="000000"/>
                              <w:spacing w:val="-9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Warszawa</w:t>
                          </w:r>
                          <w:r>
                            <w:rPr>
                              <w:color w:val="000000"/>
                              <w:spacing w:val="40"/>
                              <w:sz w:val="13"/>
                            </w:rPr>
                            <w:t xml:space="preserve"> </w:t>
                          </w:r>
                          <w:hyperlink r:id="rId1">
                            <w:r>
                              <w:rPr>
                                <w:rStyle w:val="Style4"/>
                                <w:color w:val="000000"/>
                                <w:spacing w:val="-2"/>
                                <w:sz w:val="13"/>
                              </w:rPr>
                              <w:t>www.interrisk.pl</w:t>
                            </w:r>
                          </w:hyperlink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35.95pt;margin-top:787.05pt;width:61.9pt;height:31.65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Zawartoramki"/>
                      <w:spacing w:before="18" w:after="0"/>
                      <w:ind w:left="20"/>
                      <w:rPr>
                        <w:sz w:val="13"/>
                      </w:rPr>
                    </w:pPr>
                    <w:r>
                      <w:rPr>
                        <w:color w:val="000000"/>
                        <w:spacing w:val="-2"/>
                        <w:sz w:val="13"/>
                      </w:rPr>
                      <w:t>Centrala</w:t>
                    </w:r>
                  </w:p>
                  <w:p>
                    <w:pPr>
                      <w:pStyle w:val="Zawartoramki"/>
                      <w:spacing w:before="2" w:after="0"/>
                      <w:ind w:left="20"/>
                      <w:rPr>
                        <w:sz w:val="13"/>
                      </w:rPr>
                    </w:pPr>
                    <w:r>
                      <w:rPr>
                        <w:color w:val="000000"/>
                        <w:spacing w:val="-2"/>
                        <w:sz w:val="13"/>
                      </w:rPr>
                      <w:t>ul.</w:t>
                    </w:r>
                    <w:r>
                      <w:rPr>
                        <w:color w:val="000000"/>
                        <w:spacing w:val="4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pacing w:val="-2"/>
                        <w:sz w:val="13"/>
                      </w:rPr>
                      <w:t>Noakowskiego</w:t>
                    </w:r>
                    <w:r>
                      <w:rPr>
                        <w:color w:val="000000"/>
                        <w:spacing w:val="5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pacing w:val="-5"/>
                        <w:sz w:val="13"/>
                      </w:rPr>
                      <w:t>22</w:t>
                    </w:r>
                  </w:p>
                  <w:p>
                    <w:pPr>
                      <w:pStyle w:val="Zawartoramki"/>
                      <w:spacing w:lineRule="auto" w:line="245" w:before="2" w:after="0"/>
                      <w:ind w:left="20" w:right="161"/>
                      <w:rPr>
                        <w:sz w:val="13"/>
                      </w:rPr>
                    </w:pPr>
                    <w:r>
                      <w:rPr>
                        <w:color w:val="000000"/>
                        <w:sz w:val="13"/>
                      </w:rPr>
                      <w:t>00-668</w:t>
                    </w:r>
                    <w:r>
                      <w:rPr>
                        <w:color w:val="000000"/>
                        <w:spacing w:val="-9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Warszawa</w:t>
                    </w:r>
                    <w:r>
                      <w:rPr>
                        <w:color w:val="000000"/>
                        <w:spacing w:val="40"/>
                        <w:sz w:val="13"/>
                      </w:rPr>
                      <w:t xml:space="preserve"> </w:t>
                    </w:r>
                    <w:hyperlink r:id="rId2">
                      <w:r>
                        <w:rPr>
                          <w:rStyle w:val="Style4"/>
                          <w:color w:val="000000"/>
                          <w:spacing w:val="-2"/>
                          <w:sz w:val="13"/>
                        </w:rPr>
                        <w:t>www.interrisk.pl</w:t>
                      </w:r>
                    </w:hyperlink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distT="0" distB="0" distL="0" distR="0" simplePos="0" relativeHeight="11" behindDoc="1" locked="0" layoutInCell="0" allowOverlap="1">
              <wp:simplePos x="0" y="0"/>
              <wp:positionH relativeFrom="page">
                <wp:posOffset>2796540</wp:posOffset>
              </wp:positionH>
              <wp:positionV relativeFrom="page">
                <wp:posOffset>9995535</wp:posOffset>
              </wp:positionV>
              <wp:extent cx="2043430" cy="523875"/>
              <wp:effectExtent l="0" t="635" r="0" b="0"/>
              <wp:wrapNone/>
              <wp:docPr id="8" name="Textbox 6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043360" cy="52380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Zawartoramki"/>
                            <w:spacing w:lineRule="auto" w:line="245" w:before="18" w:after="0"/>
                            <w:ind w:left="20" w:right="1041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z w:val="13"/>
                            </w:rPr>
                            <w:t>Sąd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Rejonowy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dla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M.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St.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Warszawy</w:t>
                          </w:r>
                          <w:r>
                            <w:rPr>
                              <w:color w:val="000000"/>
                              <w:spacing w:val="40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XII Wydział Gospodarczy KRS</w:t>
                          </w:r>
                        </w:p>
                        <w:p>
                          <w:pPr>
                            <w:pStyle w:val="Zawartoramki"/>
                            <w:spacing w:lineRule="exact" w:line="146"/>
                            <w:ind w:left="20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z w:val="13"/>
                            </w:rPr>
                            <w:t>KRS</w:t>
                          </w:r>
                          <w:r>
                            <w:rPr>
                              <w:color w:val="000000"/>
                              <w:spacing w:val="-1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0000054136</w:t>
                          </w:r>
                        </w:p>
                        <w:p>
                          <w:pPr>
                            <w:pStyle w:val="Zawartoramki"/>
                            <w:spacing w:before="2" w:after="0"/>
                            <w:ind w:left="20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z w:val="13"/>
                            </w:rPr>
                            <w:t>Kapitał</w:t>
                          </w:r>
                          <w:r>
                            <w:rPr>
                              <w:color w:val="000000"/>
                              <w:spacing w:val="-8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zakładowy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i</w:t>
                          </w:r>
                          <w:r>
                            <w:rPr>
                              <w:color w:val="000000"/>
                              <w:spacing w:val="-8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kapitał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wpłacony:</w:t>
                          </w:r>
                          <w:r>
                            <w:rPr>
                              <w:color w:val="000000"/>
                              <w:spacing w:val="-8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137.640.100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pacing w:val="-5"/>
                              <w:sz w:val="13"/>
                            </w:rPr>
                            <w:t>PLN</w:t>
                          </w:r>
                        </w:p>
                        <w:p>
                          <w:pPr>
                            <w:pStyle w:val="Zawartoramki"/>
                            <w:spacing w:before="30" w:after="0"/>
                            <w:ind w:right="119"/>
                            <w:jc w:val="center"/>
                            <w:rPr>
                              <w:rFonts w:ascii="Arial" w:hAnsi="Arial"/>
                              <w:b/>
                              <w:i/>
                              <w:sz w:val="14"/>
                            </w:rPr>
                          </w:pP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2"/>
                              <w:sz w:val="14"/>
                            </w:rPr>
                            <w:t>ORYGINAŁ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220.2pt;margin-top:787.05pt;width:160.85pt;height:41.2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Zawartoramki"/>
                      <w:spacing w:lineRule="auto" w:line="245" w:before="18" w:after="0"/>
                      <w:ind w:left="20" w:right="1041"/>
                      <w:rPr>
                        <w:sz w:val="13"/>
                      </w:rPr>
                    </w:pPr>
                    <w:r>
                      <w:rPr>
                        <w:color w:val="000000"/>
                        <w:sz w:val="13"/>
                      </w:rPr>
                      <w:t>Sąd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Rejonowy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dla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M.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St.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Warszawy</w:t>
                    </w:r>
                    <w:r>
                      <w:rPr>
                        <w:color w:val="000000"/>
                        <w:spacing w:val="40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XII Wydział Gospodarczy KRS</w:t>
                    </w:r>
                  </w:p>
                  <w:p>
                    <w:pPr>
                      <w:pStyle w:val="Zawartoramki"/>
                      <w:spacing w:lineRule="exact" w:line="146"/>
                      <w:ind w:left="20"/>
                      <w:rPr>
                        <w:sz w:val="13"/>
                      </w:rPr>
                    </w:pPr>
                    <w:r>
                      <w:rPr>
                        <w:color w:val="000000"/>
                        <w:sz w:val="13"/>
                      </w:rPr>
                      <w:t>KRS</w:t>
                    </w:r>
                    <w:r>
                      <w:rPr>
                        <w:color w:val="000000"/>
                        <w:spacing w:val="-1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pacing w:val="-2"/>
                        <w:sz w:val="13"/>
                      </w:rPr>
                      <w:t>0000054136</w:t>
                    </w:r>
                  </w:p>
                  <w:p>
                    <w:pPr>
                      <w:pStyle w:val="Zawartoramki"/>
                      <w:spacing w:before="2" w:after="0"/>
                      <w:ind w:left="20"/>
                      <w:rPr>
                        <w:sz w:val="13"/>
                      </w:rPr>
                    </w:pPr>
                    <w:r>
                      <w:rPr>
                        <w:color w:val="000000"/>
                        <w:sz w:val="13"/>
                      </w:rPr>
                      <w:t>Kapitał</w:t>
                    </w:r>
                    <w:r>
                      <w:rPr>
                        <w:color w:val="000000"/>
                        <w:spacing w:val="-8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zakładowy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i</w:t>
                    </w:r>
                    <w:r>
                      <w:rPr>
                        <w:color w:val="000000"/>
                        <w:spacing w:val="-8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kapitał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wpłacony:</w:t>
                    </w:r>
                    <w:r>
                      <w:rPr>
                        <w:color w:val="000000"/>
                        <w:spacing w:val="-8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137.640.100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pacing w:val="-5"/>
                        <w:sz w:val="13"/>
                      </w:rPr>
                      <w:t>PLN</w:t>
                    </w:r>
                  </w:p>
                  <w:p>
                    <w:pPr>
                      <w:pStyle w:val="Zawartoramki"/>
                      <w:spacing w:before="30" w:after="0"/>
                      <w:ind w:right="119"/>
                      <w:jc w:val="center"/>
                      <w:rPr>
                        <w:rFonts w:ascii="Arial" w:hAnsi="Arial"/>
                        <w:b/>
                        <w:i/>
                        <w:sz w:val="14"/>
                      </w:rPr>
                    </w:pP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2"/>
                        <w:sz w:val="14"/>
                      </w:rPr>
                      <w:t>ORYGINAŁ</w:t>
                    </w:r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distT="0" distB="0" distL="0" distR="0" simplePos="0" relativeHeight="13" behindDoc="1" locked="0" layoutInCell="0" allowOverlap="1">
              <wp:simplePos x="0" y="0"/>
              <wp:positionH relativeFrom="page">
                <wp:posOffset>5137150</wp:posOffset>
              </wp:positionH>
              <wp:positionV relativeFrom="page">
                <wp:posOffset>9995535</wp:posOffset>
              </wp:positionV>
              <wp:extent cx="1745615" cy="402590"/>
              <wp:effectExtent l="635" t="0" r="0" b="0"/>
              <wp:wrapNone/>
              <wp:docPr id="9" name="Textbox 7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745640" cy="40248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Zawartoramki"/>
                            <w:spacing w:lineRule="auto" w:line="245" w:before="18" w:after="0"/>
                            <w:ind w:left="20" w:right="1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z w:val="13"/>
                            </w:rPr>
                            <w:t>Zezwolenie</w:t>
                          </w:r>
                          <w:r>
                            <w:rPr>
                              <w:color w:val="000000"/>
                              <w:spacing w:val="-9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Ministra</w:t>
                          </w:r>
                          <w:r>
                            <w:rPr>
                              <w:color w:val="000000"/>
                              <w:spacing w:val="-9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Finansów</w:t>
                          </w:r>
                          <w:r>
                            <w:rPr>
                              <w:color w:val="000000"/>
                              <w:spacing w:val="-8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Du/905/A/KP/93</w:t>
                          </w:r>
                          <w:r>
                            <w:rPr>
                              <w:color w:val="000000"/>
                              <w:spacing w:val="40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z dnia 5 listopada 1993 r.</w:t>
                          </w:r>
                        </w:p>
                        <w:p>
                          <w:pPr>
                            <w:pStyle w:val="Zawartoramki"/>
                            <w:spacing w:lineRule="exact" w:line="146"/>
                            <w:ind w:left="20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z w:val="13"/>
                            </w:rPr>
                            <w:t>REGON</w:t>
                          </w:r>
                          <w:r>
                            <w:rPr>
                              <w:color w:val="000000"/>
                              <w:spacing w:val="-3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010644132</w:t>
                          </w:r>
                        </w:p>
                        <w:p>
                          <w:pPr>
                            <w:pStyle w:val="Zawartoramki"/>
                            <w:spacing w:before="2" w:after="0"/>
                            <w:ind w:left="20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NIP</w:t>
                          </w:r>
                          <w:r>
                            <w:rPr>
                              <w:color w:val="000000"/>
                              <w:spacing w:val="15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526-00-38-</w:t>
                          </w:r>
                          <w:r>
                            <w:rPr>
                              <w:color w:val="000000"/>
                              <w:spacing w:val="-5"/>
                              <w:sz w:val="13"/>
                            </w:rPr>
                            <w:t>806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404.5pt;margin-top:787.05pt;width:137.4pt;height:31.65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Zawartoramki"/>
                      <w:spacing w:lineRule="auto" w:line="245" w:before="18" w:after="0"/>
                      <w:ind w:left="20" w:right="1"/>
                      <w:rPr>
                        <w:sz w:val="13"/>
                      </w:rPr>
                    </w:pPr>
                    <w:r>
                      <w:rPr>
                        <w:color w:val="000000"/>
                        <w:sz w:val="13"/>
                      </w:rPr>
                      <w:t>Zezwolenie</w:t>
                    </w:r>
                    <w:r>
                      <w:rPr>
                        <w:color w:val="000000"/>
                        <w:spacing w:val="-9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Ministra</w:t>
                    </w:r>
                    <w:r>
                      <w:rPr>
                        <w:color w:val="000000"/>
                        <w:spacing w:val="-9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Finansów</w:t>
                    </w:r>
                    <w:r>
                      <w:rPr>
                        <w:color w:val="000000"/>
                        <w:spacing w:val="-8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Du/905/A/KP/93</w:t>
                    </w:r>
                    <w:r>
                      <w:rPr>
                        <w:color w:val="000000"/>
                        <w:spacing w:val="40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z dnia 5 listopada 1993 r.</w:t>
                    </w:r>
                  </w:p>
                  <w:p>
                    <w:pPr>
                      <w:pStyle w:val="Zawartoramki"/>
                      <w:spacing w:lineRule="exact" w:line="146"/>
                      <w:ind w:left="20"/>
                      <w:rPr>
                        <w:sz w:val="13"/>
                      </w:rPr>
                    </w:pPr>
                    <w:r>
                      <w:rPr>
                        <w:color w:val="000000"/>
                        <w:sz w:val="13"/>
                      </w:rPr>
                      <w:t>REGON</w:t>
                    </w:r>
                    <w:r>
                      <w:rPr>
                        <w:color w:val="000000"/>
                        <w:spacing w:val="-3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pacing w:val="-2"/>
                        <w:sz w:val="13"/>
                      </w:rPr>
                      <w:t>010644132</w:t>
                    </w:r>
                  </w:p>
                  <w:p>
                    <w:pPr>
                      <w:pStyle w:val="Zawartoramki"/>
                      <w:spacing w:before="2" w:after="0"/>
                      <w:ind w:left="20"/>
                      <w:rPr>
                        <w:sz w:val="13"/>
                      </w:rPr>
                    </w:pPr>
                    <w:r>
                      <w:rPr>
                        <w:color w:val="000000"/>
                        <w:spacing w:val="-2"/>
                        <w:sz w:val="13"/>
                      </w:rPr>
                      <w:t>NIP</w:t>
                    </w:r>
                    <w:r>
                      <w:rPr>
                        <w:color w:val="000000"/>
                        <w:spacing w:val="15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pacing w:val="-2"/>
                        <w:sz w:val="13"/>
                      </w:rPr>
                      <w:t>526-00-38-</w:t>
                    </w:r>
                    <w:r>
                      <w:rPr>
                        <w:color w:val="000000"/>
                        <w:spacing w:val="-5"/>
                        <w:sz w:val="13"/>
                      </w:rPr>
                      <w:t>806</w:t>
                    </w:r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distT="0" distB="0" distL="0" distR="0" simplePos="0" relativeHeight="15" behindDoc="1" locked="0" layoutInCell="0" allowOverlap="1">
              <wp:simplePos x="0" y="0"/>
              <wp:positionH relativeFrom="page">
                <wp:posOffset>7021195</wp:posOffset>
              </wp:positionH>
              <wp:positionV relativeFrom="page">
                <wp:posOffset>10391140</wp:posOffset>
              </wp:positionV>
              <wp:extent cx="174625" cy="125095"/>
              <wp:effectExtent l="635" t="635" r="0" b="0"/>
              <wp:wrapNone/>
              <wp:docPr id="10" name="Textbox 8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74600" cy="12492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Zawartoramki"/>
                            <w:spacing w:before="15" w:after="0"/>
                            <w:ind w:left="60"/>
                            <w:rPr>
                              <w:rFonts w:ascii="Arial" w:hAnsi="Arial"/>
                              <w:b/>
                              <w:i/>
                              <w:sz w:val="14"/>
                            </w:rPr>
                          </w:pP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5"/>
                              <w:sz w:val="14"/>
                            </w:rPr>
                            <w:fldChar w:fldCharType="begin"/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5"/>
                              <w:sz w:val="14"/>
                            </w:rPr>
                            <w:instrText xml:space="preserve"> PAGE </w:instrText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5"/>
                              <w:sz w:val="14"/>
                            </w:rPr>
                            <w:fldChar w:fldCharType="separate"/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5"/>
                              <w:sz w:val="14"/>
                            </w:rPr>
                            <w:t>1</w:t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5"/>
                              <w:sz w:val="14"/>
                            </w:rPr>
                            <w:fldChar w:fldCharType="end"/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5"/>
                              <w:sz w:val="14"/>
                            </w:rPr>
                            <w:t>/4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552.85pt;margin-top:818.2pt;width:13.7pt;height:9.8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Zawartoramki"/>
                      <w:spacing w:before="15" w:after="0"/>
                      <w:ind w:left="60"/>
                      <w:rPr>
                        <w:rFonts w:ascii="Arial" w:hAnsi="Arial"/>
                        <w:b/>
                        <w:i/>
                        <w:sz w:val="14"/>
                      </w:rPr>
                    </w:pP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5"/>
                        <w:sz w:val="14"/>
                      </w:rPr>
                      <w:fldChar w:fldCharType="begin"/>
                    </w: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5"/>
                        <w:sz w:val="14"/>
                      </w:rPr>
                      <w:instrText xml:space="preserve"> PAGE </w:instrText>
                    </w: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5"/>
                        <w:sz w:val="14"/>
                      </w:rPr>
                      <w:fldChar w:fldCharType="separate"/>
                    </w: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5"/>
                        <w:sz w:val="14"/>
                      </w:rPr>
                      <w:t>1</w:t>
                    </w: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5"/>
                        <w:sz w:val="14"/>
                      </w:rPr>
                      <w:fldChar w:fldCharType="end"/>
                    </w: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5"/>
                        <w:sz w:val="14"/>
                      </w:rPr>
                      <w:t>/4</w:t>
                    </w:r>
                  </w:p>
                </w:txbxContent>
              </v:textbox>
              <w10:wrap type="none"/>
            </v:rect>
          </w:pict>
        </mc:Fallback>
      </mc:AlternateContent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uto" w:line="14"/>
      <w:rPr>
        <w:sz w:val="20"/>
      </w:rPr>
    </w:pPr>
    <w:r>
      <w:rPr>
        <w:sz w:val="20"/>
      </w:rPr>
      <mc:AlternateContent>
        <mc:Choice Requires="wps">
          <w:drawing>
            <wp:anchor distT="0" distB="0" distL="0" distR="0" simplePos="0" relativeHeight="23" behindDoc="1" locked="0" layoutInCell="0" allowOverlap="1">
              <wp:simplePos x="0" y="0"/>
              <wp:positionH relativeFrom="page">
                <wp:posOffset>393065</wp:posOffset>
              </wp:positionH>
              <wp:positionV relativeFrom="page">
                <wp:posOffset>10008235</wp:posOffset>
              </wp:positionV>
              <wp:extent cx="6350" cy="396240"/>
              <wp:effectExtent l="0" t="0" r="635" b="0"/>
              <wp:wrapNone/>
              <wp:docPr id="22" name="Graphic 5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480" cy="396360"/>
                      </a:xfrm>
                      <a:custGeom>
                        <a:avLst/>
                        <a:gdLst>
                          <a:gd name="textAreaLeft" fmla="*/ 0 w 3600"/>
                          <a:gd name="textAreaRight" fmla="*/ 6120 w 3600"/>
                          <a:gd name="textAreaTop" fmla="*/ 0 h 224640"/>
                          <a:gd name="textAreaBottom" fmla="*/ 227160 h 224640"/>
                        </a:gdLst>
                        <a:ahLst/>
                        <a:cxnLst/>
                        <a:rect l="textAreaLeft" t="textAreaTop" r="textAreaRight" b="textAreaBottom"/>
                        <a:pathLst>
                          <a:path w="6350" h="396240">
                            <a:moveTo>
                              <a:pt x="6349" y="395960"/>
                            </a:moveTo>
                            <a:lnTo>
                              <a:pt x="0" y="395960"/>
                            </a:lnTo>
                            <a:lnTo>
                              <a:pt x="0" y="0"/>
                            </a:lnTo>
                            <a:lnTo>
                              <a:pt x="6349" y="0"/>
                            </a:lnTo>
                            <a:lnTo>
                              <a:pt x="6349" y="39596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mc:AlternateContent>
        <mc:Choice Requires="wps">
          <w:drawing>
            <wp:anchor distT="0" distB="0" distL="0" distR="1270" simplePos="0" relativeHeight="30" behindDoc="1" locked="0" layoutInCell="0" allowOverlap="1">
              <wp:simplePos x="0" y="0"/>
              <wp:positionH relativeFrom="page">
                <wp:posOffset>2733040</wp:posOffset>
              </wp:positionH>
              <wp:positionV relativeFrom="page">
                <wp:posOffset>10008235</wp:posOffset>
              </wp:positionV>
              <wp:extent cx="6350" cy="396240"/>
              <wp:effectExtent l="0" t="0" r="1270" b="0"/>
              <wp:wrapNone/>
              <wp:docPr id="23" name="Graphic 6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480" cy="396360"/>
                      </a:xfrm>
                      <a:custGeom>
                        <a:avLst/>
                        <a:gdLst>
                          <a:gd name="textAreaLeft" fmla="*/ 0 w 3600"/>
                          <a:gd name="textAreaRight" fmla="*/ 6120 w 3600"/>
                          <a:gd name="textAreaTop" fmla="*/ 0 h 224640"/>
                          <a:gd name="textAreaBottom" fmla="*/ 227160 h 224640"/>
                        </a:gdLst>
                        <a:ahLst/>
                        <a:cxnLst/>
                        <a:rect l="textAreaLeft" t="textAreaTop" r="textAreaRight" b="textAreaBottom"/>
                        <a:pathLst>
                          <a:path w="6350" h="396240">
                            <a:moveTo>
                              <a:pt x="6350" y="395960"/>
                            </a:moveTo>
                            <a:lnTo>
                              <a:pt x="0" y="395960"/>
                            </a:lnTo>
                            <a:lnTo>
                              <a:pt x="0" y="0"/>
                            </a:lnTo>
                            <a:lnTo>
                              <a:pt x="6350" y="0"/>
                            </a:lnTo>
                            <a:lnTo>
                              <a:pt x="6350" y="39596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mc:AlternateContent>
        <mc:Choice Requires="wps">
          <w:drawing>
            <wp:anchor distT="0" distB="0" distL="0" distR="0" simplePos="0" relativeHeight="37" behindDoc="1" locked="0" layoutInCell="0" allowOverlap="1">
              <wp:simplePos x="0" y="0"/>
              <wp:positionH relativeFrom="page">
                <wp:posOffset>5073015</wp:posOffset>
              </wp:positionH>
              <wp:positionV relativeFrom="page">
                <wp:posOffset>10008235</wp:posOffset>
              </wp:positionV>
              <wp:extent cx="6350" cy="396240"/>
              <wp:effectExtent l="0" t="0" r="635" b="0"/>
              <wp:wrapNone/>
              <wp:docPr id="24" name="Graphic 7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480" cy="396360"/>
                      </a:xfrm>
                      <a:custGeom>
                        <a:avLst/>
                        <a:gdLst>
                          <a:gd name="textAreaLeft" fmla="*/ 0 w 3600"/>
                          <a:gd name="textAreaRight" fmla="*/ 6120 w 3600"/>
                          <a:gd name="textAreaTop" fmla="*/ 0 h 224640"/>
                          <a:gd name="textAreaBottom" fmla="*/ 227160 h 224640"/>
                        </a:gdLst>
                        <a:ahLst/>
                        <a:cxnLst/>
                        <a:rect l="textAreaLeft" t="textAreaTop" r="textAreaRight" b="textAreaBottom"/>
                        <a:pathLst>
                          <a:path w="6350" h="396240">
                            <a:moveTo>
                              <a:pt x="6350" y="395960"/>
                            </a:moveTo>
                            <a:lnTo>
                              <a:pt x="0" y="395960"/>
                            </a:lnTo>
                            <a:lnTo>
                              <a:pt x="0" y="0"/>
                            </a:lnTo>
                            <a:lnTo>
                              <a:pt x="6350" y="0"/>
                            </a:lnTo>
                            <a:lnTo>
                              <a:pt x="6350" y="39596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mc:AlternateContent>
        <mc:Choice Requires="wps">
          <w:drawing>
            <wp:anchor distT="0" distB="0" distL="0" distR="0" simplePos="0" relativeHeight="44" behindDoc="1" locked="0" layoutInCell="0" allowOverlap="1">
              <wp:simplePos x="0" y="0"/>
              <wp:positionH relativeFrom="page">
                <wp:posOffset>360045</wp:posOffset>
              </wp:positionH>
              <wp:positionV relativeFrom="page">
                <wp:posOffset>9968865</wp:posOffset>
              </wp:positionV>
              <wp:extent cx="6840220" cy="6350"/>
              <wp:effectExtent l="0" t="0" r="0" b="635"/>
              <wp:wrapNone/>
              <wp:docPr id="25" name="Graphic 8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840360" cy="6480"/>
                      </a:xfrm>
                      <a:custGeom>
                        <a:avLst/>
                        <a:gdLst>
                          <a:gd name="textAreaLeft" fmla="*/ 0 w 3877920"/>
                          <a:gd name="textAreaRight" fmla="*/ 3880440 w 3877920"/>
                          <a:gd name="textAreaTop" fmla="*/ 0 h 3600"/>
                          <a:gd name="textAreaBottom" fmla="*/ 6120 h 3600"/>
                        </a:gdLst>
                        <a:ahLst/>
                        <a:cxnLst/>
                        <a:rect l="textAreaLeft" t="textAreaTop" r="textAreaRight" b="textAreaBottom"/>
                        <a:pathLst>
                          <a:path w="6840220" h="6350">
                            <a:moveTo>
                              <a:pt x="6840004" y="6350"/>
                            </a:moveTo>
                            <a:lnTo>
                              <a:pt x="0" y="6350"/>
                            </a:lnTo>
                            <a:lnTo>
                              <a:pt x="0" y="0"/>
                            </a:lnTo>
                            <a:lnTo>
                              <a:pt x="6840004" y="0"/>
                            </a:lnTo>
                            <a:lnTo>
                              <a:pt x="6840004" y="635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mc:AlternateContent>
        <mc:Choice Requires="wps">
          <w:drawing>
            <wp:anchor distT="0" distB="0" distL="0" distR="0" simplePos="0" relativeHeight="56" behindDoc="1" locked="0" layoutInCell="0" allowOverlap="1">
              <wp:simplePos x="0" y="0"/>
              <wp:positionH relativeFrom="page">
                <wp:posOffset>456565</wp:posOffset>
              </wp:positionH>
              <wp:positionV relativeFrom="page">
                <wp:posOffset>9995535</wp:posOffset>
              </wp:positionV>
              <wp:extent cx="786765" cy="402590"/>
              <wp:effectExtent l="635" t="0" r="0" b="0"/>
              <wp:wrapNone/>
              <wp:docPr id="26" name="Textbox 1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86600" cy="40248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Zawartoramki"/>
                            <w:spacing w:before="18" w:after="0"/>
                            <w:ind w:left="20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Centrala</w:t>
                          </w:r>
                        </w:p>
                        <w:p>
                          <w:pPr>
                            <w:pStyle w:val="Zawartoramki"/>
                            <w:spacing w:before="2" w:after="0"/>
                            <w:ind w:left="20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ul.</w:t>
                          </w:r>
                          <w:r>
                            <w:rPr>
                              <w:color w:val="000000"/>
                              <w:spacing w:val="4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Noakowskiego</w:t>
                          </w:r>
                          <w:r>
                            <w:rPr>
                              <w:color w:val="000000"/>
                              <w:spacing w:val="5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pacing w:val="-5"/>
                              <w:sz w:val="13"/>
                            </w:rPr>
                            <w:t>22</w:t>
                          </w:r>
                        </w:p>
                        <w:p>
                          <w:pPr>
                            <w:pStyle w:val="Zawartoramki"/>
                            <w:spacing w:lineRule="auto" w:line="245" w:before="2" w:after="0"/>
                            <w:ind w:left="20" w:right="161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z w:val="13"/>
                            </w:rPr>
                            <w:t>00-668</w:t>
                          </w:r>
                          <w:r>
                            <w:rPr>
                              <w:color w:val="000000"/>
                              <w:spacing w:val="-9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Warszawa</w:t>
                          </w:r>
                          <w:r>
                            <w:rPr>
                              <w:color w:val="000000"/>
                              <w:spacing w:val="40"/>
                              <w:sz w:val="13"/>
                            </w:rPr>
                            <w:t xml:space="preserve"> </w:t>
                          </w:r>
                          <w:hyperlink r:id="rId1">
                            <w:r>
                              <w:rPr>
                                <w:rStyle w:val="Style4"/>
                                <w:color w:val="000000"/>
                                <w:spacing w:val="-2"/>
                                <w:sz w:val="13"/>
                              </w:rPr>
                              <w:t>www.interrisk.pl</w:t>
                            </w:r>
                          </w:hyperlink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35.95pt;margin-top:787.05pt;width:61.9pt;height:31.65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Zawartoramki"/>
                      <w:spacing w:before="18" w:after="0"/>
                      <w:ind w:left="20"/>
                      <w:rPr>
                        <w:sz w:val="13"/>
                      </w:rPr>
                    </w:pPr>
                    <w:r>
                      <w:rPr>
                        <w:color w:val="000000"/>
                        <w:spacing w:val="-2"/>
                        <w:sz w:val="13"/>
                      </w:rPr>
                      <w:t>Centrala</w:t>
                    </w:r>
                  </w:p>
                  <w:p>
                    <w:pPr>
                      <w:pStyle w:val="Zawartoramki"/>
                      <w:spacing w:before="2" w:after="0"/>
                      <w:ind w:left="20"/>
                      <w:rPr>
                        <w:sz w:val="13"/>
                      </w:rPr>
                    </w:pPr>
                    <w:r>
                      <w:rPr>
                        <w:color w:val="000000"/>
                        <w:spacing w:val="-2"/>
                        <w:sz w:val="13"/>
                      </w:rPr>
                      <w:t>ul.</w:t>
                    </w:r>
                    <w:r>
                      <w:rPr>
                        <w:color w:val="000000"/>
                        <w:spacing w:val="4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pacing w:val="-2"/>
                        <w:sz w:val="13"/>
                      </w:rPr>
                      <w:t>Noakowskiego</w:t>
                    </w:r>
                    <w:r>
                      <w:rPr>
                        <w:color w:val="000000"/>
                        <w:spacing w:val="5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pacing w:val="-5"/>
                        <w:sz w:val="13"/>
                      </w:rPr>
                      <w:t>22</w:t>
                    </w:r>
                  </w:p>
                  <w:p>
                    <w:pPr>
                      <w:pStyle w:val="Zawartoramki"/>
                      <w:spacing w:lineRule="auto" w:line="245" w:before="2" w:after="0"/>
                      <w:ind w:left="20" w:right="161"/>
                      <w:rPr>
                        <w:sz w:val="13"/>
                      </w:rPr>
                    </w:pPr>
                    <w:r>
                      <w:rPr>
                        <w:color w:val="000000"/>
                        <w:sz w:val="13"/>
                      </w:rPr>
                      <w:t>00-668</w:t>
                    </w:r>
                    <w:r>
                      <w:rPr>
                        <w:color w:val="000000"/>
                        <w:spacing w:val="-9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Warszawa</w:t>
                    </w:r>
                    <w:r>
                      <w:rPr>
                        <w:color w:val="000000"/>
                        <w:spacing w:val="40"/>
                        <w:sz w:val="13"/>
                      </w:rPr>
                      <w:t xml:space="preserve"> </w:t>
                    </w:r>
                    <w:hyperlink r:id="rId2">
                      <w:r>
                        <w:rPr>
                          <w:rStyle w:val="Style4"/>
                          <w:color w:val="000000"/>
                          <w:spacing w:val="-2"/>
                          <w:sz w:val="13"/>
                        </w:rPr>
                        <w:t>www.interrisk.pl</w:t>
                      </w:r>
                    </w:hyperlink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distT="0" distB="0" distL="0" distR="0" simplePos="0" relativeHeight="70" behindDoc="1" locked="0" layoutInCell="0" allowOverlap="1">
              <wp:simplePos x="0" y="0"/>
              <wp:positionH relativeFrom="page">
                <wp:posOffset>2796540</wp:posOffset>
              </wp:positionH>
              <wp:positionV relativeFrom="page">
                <wp:posOffset>9995535</wp:posOffset>
              </wp:positionV>
              <wp:extent cx="2043430" cy="523875"/>
              <wp:effectExtent l="0" t="635" r="0" b="0"/>
              <wp:wrapNone/>
              <wp:docPr id="27" name="Textbox 2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043360" cy="52380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Zawartoramki"/>
                            <w:spacing w:lineRule="auto" w:line="245" w:before="18" w:after="0"/>
                            <w:ind w:left="20" w:right="1041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z w:val="13"/>
                            </w:rPr>
                            <w:t>Sąd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Rejonowy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dla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M.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St.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Warszawy</w:t>
                          </w:r>
                          <w:r>
                            <w:rPr>
                              <w:color w:val="000000"/>
                              <w:spacing w:val="40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XII Wydział Gospodarczy KRS</w:t>
                          </w:r>
                        </w:p>
                        <w:p>
                          <w:pPr>
                            <w:pStyle w:val="Zawartoramki"/>
                            <w:spacing w:lineRule="exact" w:line="146"/>
                            <w:ind w:left="20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z w:val="13"/>
                            </w:rPr>
                            <w:t>KRS</w:t>
                          </w:r>
                          <w:r>
                            <w:rPr>
                              <w:color w:val="000000"/>
                              <w:spacing w:val="-1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0000054136</w:t>
                          </w:r>
                        </w:p>
                        <w:p>
                          <w:pPr>
                            <w:pStyle w:val="Zawartoramki"/>
                            <w:spacing w:before="2" w:after="0"/>
                            <w:ind w:left="20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z w:val="13"/>
                            </w:rPr>
                            <w:t>Kapitał</w:t>
                          </w:r>
                          <w:r>
                            <w:rPr>
                              <w:color w:val="000000"/>
                              <w:spacing w:val="-8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zakładowy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i</w:t>
                          </w:r>
                          <w:r>
                            <w:rPr>
                              <w:color w:val="000000"/>
                              <w:spacing w:val="-8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kapitał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wpłacony:</w:t>
                          </w:r>
                          <w:r>
                            <w:rPr>
                              <w:color w:val="000000"/>
                              <w:spacing w:val="-8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137.640.100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pacing w:val="-5"/>
                              <w:sz w:val="13"/>
                            </w:rPr>
                            <w:t>PLN</w:t>
                          </w:r>
                        </w:p>
                        <w:p>
                          <w:pPr>
                            <w:pStyle w:val="Zawartoramki"/>
                            <w:spacing w:before="30" w:after="0"/>
                            <w:ind w:right="119"/>
                            <w:jc w:val="center"/>
                            <w:rPr>
                              <w:rFonts w:ascii="Arial" w:hAnsi="Arial"/>
                              <w:b/>
                              <w:i/>
                              <w:sz w:val="14"/>
                            </w:rPr>
                          </w:pP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2"/>
                              <w:sz w:val="14"/>
                            </w:rPr>
                            <w:t>ORYGINAŁ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220.2pt;margin-top:787.05pt;width:160.85pt;height:41.2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Zawartoramki"/>
                      <w:spacing w:lineRule="auto" w:line="245" w:before="18" w:after="0"/>
                      <w:ind w:left="20" w:right="1041"/>
                      <w:rPr>
                        <w:sz w:val="13"/>
                      </w:rPr>
                    </w:pPr>
                    <w:r>
                      <w:rPr>
                        <w:color w:val="000000"/>
                        <w:sz w:val="13"/>
                      </w:rPr>
                      <w:t>Sąd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Rejonowy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dla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M.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St.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Warszawy</w:t>
                    </w:r>
                    <w:r>
                      <w:rPr>
                        <w:color w:val="000000"/>
                        <w:spacing w:val="40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XII Wydział Gospodarczy KRS</w:t>
                    </w:r>
                  </w:p>
                  <w:p>
                    <w:pPr>
                      <w:pStyle w:val="Zawartoramki"/>
                      <w:spacing w:lineRule="exact" w:line="146"/>
                      <w:ind w:left="20"/>
                      <w:rPr>
                        <w:sz w:val="13"/>
                      </w:rPr>
                    </w:pPr>
                    <w:r>
                      <w:rPr>
                        <w:color w:val="000000"/>
                        <w:sz w:val="13"/>
                      </w:rPr>
                      <w:t>KRS</w:t>
                    </w:r>
                    <w:r>
                      <w:rPr>
                        <w:color w:val="000000"/>
                        <w:spacing w:val="-1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pacing w:val="-2"/>
                        <w:sz w:val="13"/>
                      </w:rPr>
                      <w:t>0000054136</w:t>
                    </w:r>
                  </w:p>
                  <w:p>
                    <w:pPr>
                      <w:pStyle w:val="Zawartoramki"/>
                      <w:spacing w:before="2" w:after="0"/>
                      <w:ind w:left="20"/>
                      <w:rPr>
                        <w:sz w:val="13"/>
                      </w:rPr>
                    </w:pPr>
                    <w:r>
                      <w:rPr>
                        <w:color w:val="000000"/>
                        <w:sz w:val="13"/>
                      </w:rPr>
                      <w:t>Kapitał</w:t>
                    </w:r>
                    <w:r>
                      <w:rPr>
                        <w:color w:val="000000"/>
                        <w:spacing w:val="-8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zakładowy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i</w:t>
                    </w:r>
                    <w:r>
                      <w:rPr>
                        <w:color w:val="000000"/>
                        <w:spacing w:val="-8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kapitał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wpłacony:</w:t>
                    </w:r>
                    <w:r>
                      <w:rPr>
                        <w:color w:val="000000"/>
                        <w:spacing w:val="-8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137.640.100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pacing w:val="-5"/>
                        <w:sz w:val="13"/>
                      </w:rPr>
                      <w:t>PLN</w:t>
                    </w:r>
                  </w:p>
                  <w:p>
                    <w:pPr>
                      <w:pStyle w:val="Zawartoramki"/>
                      <w:spacing w:before="30" w:after="0"/>
                      <w:ind w:right="119"/>
                      <w:jc w:val="center"/>
                      <w:rPr>
                        <w:rFonts w:ascii="Arial" w:hAnsi="Arial"/>
                        <w:b/>
                        <w:i/>
                        <w:sz w:val="14"/>
                      </w:rPr>
                    </w:pP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2"/>
                        <w:sz w:val="14"/>
                      </w:rPr>
                      <w:t>ORYGINAŁ</w:t>
                    </w:r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distT="0" distB="0" distL="0" distR="0" simplePos="0" relativeHeight="84" behindDoc="1" locked="0" layoutInCell="0" allowOverlap="1">
              <wp:simplePos x="0" y="0"/>
              <wp:positionH relativeFrom="page">
                <wp:posOffset>5137150</wp:posOffset>
              </wp:positionH>
              <wp:positionV relativeFrom="page">
                <wp:posOffset>9995535</wp:posOffset>
              </wp:positionV>
              <wp:extent cx="1745615" cy="402590"/>
              <wp:effectExtent l="635" t="0" r="0" b="0"/>
              <wp:wrapNone/>
              <wp:docPr id="28" name="Textbox 3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745640" cy="40248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Zawartoramki"/>
                            <w:spacing w:lineRule="auto" w:line="245" w:before="18" w:after="0"/>
                            <w:ind w:left="20" w:right="1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z w:val="13"/>
                            </w:rPr>
                            <w:t>Zezwolenie</w:t>
                          </w:r>
                          <w:r>
                            <w:rPr>
                              <w:color w:val="000000"/>
                              <w:spacing w:val="-9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Ministra</w:t>
                          </w:r>
                          <w:r>
                            <w:rPr>
                              <w:color w:val="000000"/>
                              <w:spacing w:val="-9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Finansów</w:t>
                          </w:r>
                          <w:r>
                            <w:rPr>
                              <w:color w:val="000000"/>
                              <w:spacing w:val="-8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Du/905/A/KP/93</w:t>
                          </w:r>
                          <w:r>
                            <w:rPr>
                              <w:color w:val="000000"/>
                              <w:spacing w:val="40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z dnia 5 listopada 1993 r.</w:t>
                          </w:r>
                        </w:p>
                        <w:p>
                          <w:pPr>
                            <w:pStyle w:val="Zawartoramki"/>
                            <w:spacing w:lineRule="exact" w:line="146"/>
                            <w:ind w:left="20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z w:val="13"/>
                            </w:rPr>
                            <w:t>REGON</w:t>
                          </w:r>
                          <w:r>
                            <w:rPr>
                              <w:color w:val="000000"/>
                              <w:spacing w:val="-3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010644132</w:t>
                          </w:r>
                        </w:p>
                        <w:p>
                          <w:pPr>
                            <w:pStyle w:val="Zawartoramki"/>
                            <w:spacing w:before="2" w:after="0"/>
                            <w:ind w:left="20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NIP</w:t>
                          </w:r>
                          <w:r>
                            <w:rPr>
                              <w:color w:val="000000"/>
                              <w:spacing w:val="15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526-00-38-</w:t>
                          </w:r>
                          <w:r>
                            <w:rPr>
                              <w:color w:val="000000"/>
                              <w:spacing w:val="-5"/>
                              <w:sz w:val="13"/>
                            </w:rPr>
                            <w:t>806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404.5pt;margin-top:787.05pt;width:137.4pt;height:31.65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Zawartoramki"/>
                      <w:spacing w:lineRule="auto" w:line="245" w:before="18" w:after="0"/>
                      <w:ind w:left="20" w:right="1"/>
                      <w:rPr>
                        <w:sz w:val="13"/>
                      </w:rPr>
                    </w:pPr>
                    <w:r>
                      <w:rPr>
                        <w:color w:val="000000"/>
                        <w:sz w:val="13"/>
                      </w:rPr>
                      <w:t>Zezwolenie</w:t>
                    </w:r>
                    <w:r>
                      <w:rPr>
                        <w:color w:val="000000"/>
                        <w:spacing w:val="-9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Ministra</w:t>
                    </w:r>
                    <w:r>
                      <w:rPr>
                        <w:color w:val="000000"/>
                        <w:spacing w:val="-9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Finansów</w:t>
                    </w:r>
                    <w:r>
                      <w:rPr>
                        <w:color w:val="000000"/>
                        <w:spacing w:val="-8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Du/905/A/KP/93</w:t>
                    </w:r>
                    <w:r>
                      <w:rPr>
                        <w:color w:val="000000"/>
                        <w:spacing w:val="40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z dnia 5 listopada 1993 r.</w:t>
                    </w:r>
                  </w:p>
                  <w:p>
                    <w:pPr>
                      <w:pStyle w:val="Zawartoramki"/>
                      <w:spacing w:lineRule="exact" w:line="146"/>
                      <w:ind w:left="20"/>
                      <w:rPr>
                        <w:sz w:val="13"/>
                      </w:rPr>
                    </w:pPr>
                    <w:r>
                      <w:rPr>
                        <w:color w:val="000000"/>
                        <w:sz w:val="13"/>
                      </w:rPr>
                      <w:t>REGON</w:t>
                    </w:r>
                    <w:r>
                      <w:rPr>
                        <w:color w:val="000000"/>
                        <w:spacing w:val="-3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pacing w:val="-2"/>
                        <w:sz w:val="13"/>
                      </w:rPr>
                      <w:t>010644132</w:t>
                    </w:r>
                  </w:p>
                  <w:p>
                    <w:pPr>
                      <w:pStyle w:val="Zawartoramki"/>
                      <w:spacing w:before="2" w:after="0"/>
                      <w:ind w:left="20"/>
                      <w:rPr>
                        <w:sz w:val="13"/>
                      </w:rPr>
                    </w:pPr>
                    <w:r>
                      <w:rPr>
                        <w:color w:val="000000"/>
                        <w:spacing w:val="-2"/>
                        <w:sz w:val="13"/>
                      </w:rPr>
                      <w:t>NIP</w:t>
                    </w:r>
                    <w:r>
                      <w:rPr>
                        <w:color w:val="000000"/>
                        <w:spacing w:val="15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pacing w:val="-2"/>
                        <w:sz w:val="13"/>
                      </w:rPr>
                      <w:t>526-00-38-</w:t>
                    </w:r>
                    <w:r>
                      <w:rPr>
                        <w:color w:val="000000"/>
                        <w:spacing w:val="-5"/>
                        <w:sz w:val="13"/>
                      </w:rPr>
                      <w:t>806</w:t>
                    </w:r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distT="0" distB="0" distL="0" distR="0" simplePos="0" relativeHeight="98" behindDoc="1" locked="0" layoutInCell="0" allowOverlap="1">
              <wp:simplePos x="0" y="0"/>
              <wp:positionH relativeFrom="page">
                <wp:posOffset>7021195</wp:posOffset>
              </wp:positionH>
              <wp:positionV relativeFrom="page">
                <wp:posOffset>10391140</wp:posOffset>
              </wp:positionV>
              <wp:extent cx="174625" cy="125095"/>
              <wp:effectExtent l="635" t="635" r="0" b="0"/>
              <wp:wrapNone/>
              <wp:docPr id="29" name="Textbox 4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74600" cy="12492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Zawartoramki"/>
                            <w:spacing w:before="15" w:after="0"/>
                            <w:ind w:left="60"/>
                            <w:rPr>
                              <w:rFonts w:ascii="Arial" w:hAnsi="Arial"/>
                              <w:b/>
                              <w:i/>
                              <w:sz w:val="14"/>
                            </w:rPr>
                          </w:pP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5"/>
                              <w:sz w:val="14"/>
                            </w:rPr>
                            <w:fldChar w:fldCharType="begin"/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5"/>
                              <w:sz w:val="14"/>
                            </w:rPr>
                            <w:instrText xml:space="preserve"> PAGE </w:instrText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5"/>
                              <w:sz w:val="14"/>
                            </w:rPr>
                            <w:fldChar w:fldCharType="separate"/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5"/>
                              <w:sz w:val="14"/>
                            </w:rPr>
                            <w:t>8</w:t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5"/>
                              <w:sz w:val="14"/>
                            </w:rPr>
                            <w:fldChar w:fldCharType="end"/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5"/>
                              <w:sz w:val="14"/>
                            </w:rPr>
                            <w:t>/4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552.85pt;margin-top:818.2pt;width:13.7pt;height:9.8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Zawartoramki"/>
                      <w:spacing w:before="15" w:after="0"/>
                      <w:ind w:left="60"/>
                      <w:rPr>
                        <w:rFonts w:ascii="Arial" w:hAnsi="Arial"/>
                        <w:b/>
                        <w:i/>
                        <w:sz w:val="14"/>
                      </w:rPr>
                    </w:pP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5"/>
                        <w:sz w:val="14"/>
                      </w:rPr>
                      <w:fldChar w:fldCharType="begin"/>
                    </w: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5"/>
                        <w:sz w:val="14"/>
                      </w:rPr>
                      <w:instrText xml:space="preserve"> PAGE </w:instrText>
                    </w: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5"/>
                        <w:sz w:val="14"/>
                      </w:rPr>
                      <w:fldChar w:fldCharType="separate"/>
                    </w: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5"/>
                        <w:sz w:val="14"/>
                      </w:rPr>
                      <w:t>8</w:t>
                    </w: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5"/>
                        <w:sz w:val="14"/>
                      </w:rPr>
                      <w:fldChar w:fldCharType="end"/>
                    </w: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5"/>
                        <w:sz w:val="14"/>
                      </w:rPr>
                      <w:t>/4</w:t>
                    </w:r>
                  </w:p>
                </w:txbxContent>
              </v:textbox>
              <w10:wrap type="none"/>
            </v:rect>
          </w:pict>
        </mc:Fallback>
      </mc:AlternateContent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%1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%2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%3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%4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%5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%6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%7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%8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%9"/>
      <w:lvlJc w:val="left"/>
      <w:pPr>
        <w:tabs>
          <w:tab w:val="num" w:pos="0"/>
        </w:tabs>
        <w:ind w:left="0" w:hanging="0"/>
      </w:pPr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0"/>
        </w:tabs>
        <w:ind w:left="463" w:hanging="284"/>
      </w:pPr>
      <w:rPr>
        <w:rFonts w:ascii="Microsoft Sans Serif" w:hAnsi="Microsoft Sans Serif" w:eastAsia="Microsoft Sans Serif" w:cs="Microsoft Sans Serif"/>
        <w:b w:val="false"/>
        <w:bCs w:val="false"/>
        <w:i w:val="false"/>
        <w:iCs w:val="false"/>
        <w:spacing w:val="-1"/>
        <w:w w:val="100"/>
        <w:sz w:val="14"/>
        <w:szCs w:val="14"/>
        <w:lang w:val="pl-PL" w:eastAsia="en-US" w:bidi="ar-SA"/>
      </w:rPr>
    </w:lvl>
    <w:lvl w:ilvl="1">
      <w:start w:val="1"/>
      <w:numFmt w:val="bullet"/>
      <w:lvlText w:val=""/>
      <w:lvlJc w:val="left"/>
      <w:pPr>
        <w:tabs>
          <w:tab w:val="num" w:pos="0"/>
        </w:tabs>
        <w:ind w:left="1519" w:hanging="284"/>
      </w:pPr>
      <w:rPr>
        <w:rFonts w:ascii="Symbol" w:hAnsi="Symbol" w:cs="Symbol" w:hint="default"/>
        <w:lang w:val="pl-PL" w:eastAsia="en-US" w:bidi="ar-SA"/>
      </w:rPr>
    </w:lvl>
    <w:lvl w:ilvl="2">
      <w:start w:val="1"/>
      <w:numFmt w:val="bullet"/>
      <w:lvlText w:val=""/>
      <w:lvlJc w:val="left"/>
      <w:pPr>
        <w:tabs>
          <w:tab w:val="num" w:pos="0"/>
        </w:tabs>
        <w:ind w:left="2579" w:hanging="284"/>
      </w:pPr>
      <w:rPr>
        <w:rFonts w:ascii="Symbol" w:hAnsi="Symbol" w:cs="Symbol" w:hint="default"/>
        <w:lang w:val="pl-PL" w:eastAsia="en-US" w:bidi="ar-SA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638" w:hanging="284"/>
      </w:pPr>
      <w:rPr>
        <w:rFonts w:ascii="Symbol" w:hAnsi="Symbol" w:cs="Symbol" w:hint="default"/>
        <w:lang w:val="pl-PL" w:eastAsia="en-US" w:bidi="ar-SA"/>
      </w:rPr>
    </w:lvl>
    <w:lvl w:ilvl="4">
      <w:start w:val="1"/>
      <w:numFmt w:val="bullet"/>
      <w:lvlText w:val=""/>
      <w:lvlJc w:val="left"/>
      <w:pPr>
        <w:tabs>
          <w:tab w:val="num" w:pos="0"/>
        </w:tabs>
        <w:ind w:left="4698" w:hanging="284"/>
      </w:pPr>
      <w:rPr>
        <w:rFonts w:ascii="Symbol" w:hAnsi="Symbol" w:cs="Symbol" w:hint="default"/>
        <w:lang w:val="pl-PL" w:eastAsia="en-US" w:bidi="ar-SA"/>
      </w:rPr>
    </w:lvl>
    <w:lvl w:ilvl="5">
      <w:start w:val="1"/>
      <w:numFmt w:val="bullet"/>
      <w:lvlText w:val=""/>
      <w:lvlJc w:val="left"/>
      <w:pPr>
        <w:tabs>
          <w:tab w:val="num" w:pos="0"/>
        </w:tabs>
        <w:ind w:left="5757" w:hanging="284"/>
      </w:pPr>
      <w:rPr>
        <w:rFonts w:ascii="Symbol" w:hAnsi="Symbol" w:cs="Symbol" w:hint="default"/>
        <w:lang w:val="pl-PL" w:eastAsia="en-US" w:bidi="ar-SA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6817" w:hanging="284"/>
      </w:pPr>
      <w:rPr>
        <w:rFonts w:ascii="Symbol" w:hAnsi="Symbol" w:cs="Symbol" w:hint="default"/>
        <w:lang w:val="pl-PL" w:eastAsia="en-US" w:bidi="ar-SA"/>
      </w:rPr>
    </w:lvl>
    <w:lvl w:ilvl="7">
      <w:start w:val="1"/>
      <w:numFmt w:val="bullet"/>
      <w:lvlText w:val=""/>
      <w:lvlJc w:val="left"/>
      <w:pPr>
        <w:tabs>
          <w:tab w:val="num" w:pos="0"/>
        </w:tabs>
        <w:ind w:left="7876" w:hanging="284"/>
      </w:pPr>
      <w:rPr>
        <w:rFonts w:ascii="Symbol" w:hAnsi="Symbol" w:cs="Symbol" w:hint="default"/>
        <w:lang w:val="pl-PL" w:eastAsia="en-US" w:bidi="ar-SA"/>
      </w:rPr>
    </w:lvl>
    <w:lvl w:ilvl="8">
      <w:start w:val="1"/>
      <w:numFmt w:val="bullet"/>
      <w:lvlText w:val=""/>
      <w:lvlJc w:val="left"/>
      <w:pPr>
        <w:tabs>
          <w:tab w:val="num" w:pos="0"/>
        </w:tabs>
        <w:ind w:left="8936" w:hanging="284"/>
      </w:pPr>
      <w:rPr>
        <w:rFonts w:ascii="Symbol" w:hAnsi="Symbol" w:cs="Symbol" w:hint="default"/>
        <w:lang w:val="pl-PL" w:eastAsia="en-US" w:bidi="ar-SA"/>
      </w:rPr>
    </w:lvl>
  </w:abstractNum>
  <w:abstractNum w:abstractNumId="3">
    <w:lvl w:ilvl="0">
      <w:start w:val="1"/>
      <w:numFmt w:val="lowerLetter"/>
      <w:lvlText w:val="%1)"/>
      <w:lvlJc w:val="left"/>
      <w:pPr>
        <w:tabs>
          <w:tab w:val="num" w:pos="0"/>
        </w:tabs>
        <w:ind w:left="407" w:hanging="126"/>
      </w:pPr>
      <w:rPr>
        <w:rFonts w:ascii="Microsoft Sans Serif" w:hAnsi="Microsoft Sans Serif" w:eastAsia="Microsoft Sans Serif" w:cs="Microsoft Sans Serif"/>
        <w:b w:val="false"/>
        <w:bCs w:val="false"/>
        <w:i w:val="false"/>
        <w:iCs w:val="false"/>
        <w:spacing w:val="-1"/>
        <w:w w:val="89"/>
        <w:sz w:val="12"/>
        <w:szCs w:val="12"/>
        <w:lang w:val="pl-PL" w:eastAsia="en-US" w:bidi="ar-SA"/>
      </w:rPr>
    </w:lvl>
    <w:lvl w:ilvl="1">
      <w:start w:val="9"/>
      <w:numFmt w:val="lowerLetter"/>
      <w:lvlText w:val="%2)"/>
      <w:lvlJc w:val="left"/>
      <w:pPr>
        <w:tabs>
          <w:tab w:val="num" w:pos="0"/>
        </w:tabs>
        <w:ind w:left="360" w:hanging="79"/>
      </w:pPr>
      <w:rPr>
        <w:rFonts w:ascii="Microsoft Sans Serif" w:hAnsi="Microsoft Sans Serif" w:eastAsia="Microsoft Sans Serif" w:cs="Microsoft Sans Serif"/>
        <w:b w:val="false"/>
        <w:bCs w:val="false"/>
        <w:i w:val="false"/>
        <w:iCs w:val="false"/>
        <w:spacing w:val="-1"/>
        <w:w w:val="84"/>
        <w:sz w:val="12"/>
        <w:szCs w:val="12"/>
        <w:lang w:val="pl-PL" w:eastAsia="en-US" w:bidi="ar-SA"/>
      </w:rPr>
    </w:lvl>
    <w:lvl w:ilvl="2">
      <w:start w:val="1"/>
      <w:numFmt w:val="bullet"/>
      <w:lvlText w:val=""/>
      <w:lvlJc w:val="left"/>
      <w:pPr>
        <w:tabs>
          <w:tab w:val="num" w:pos="0"/>
        </w:tabs>
        <w:ind w:left="1583" w:hanging="79"/>
      </w:pPr>
      <w:rPr>
        <w:rFonts w:ascii="Symbol" w:hAnsi="Symbol" w:cs="Symbol" w:hint="default"/>
        <w:lang w:val="pl-PL" w:eastAsia="en-US" w:bidi="ar-SA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767" w:hanging="79"/>
      </w:pPr>
      <w:rPr>
        <w:rFonts w:ascii="Symbol" w:hAnsi="Symbol" w:cs="Symbol" w:hint="default"/>
        <w:lang w:val="pl-PL" w:eastAsia="en-US" w:bidi="ar-SA"/>
      </w:rPr>
    </w:lvl>
    <w:lvl w:ilvl="4">
      <w:start w:val="1"/>
      <w:numFmt w:val="bullet"/>
      <w:lvlText w:val=""/>
      <w:lvlJc w:val="left"/>
      <w:pPr>
        <w:tabs>
          <w:tab w:val="num" w:pos="0"/>
        </w:tabs>
        <w:ind w:left="3951" w:hanging="79"/>
      </w:pPr>
      <w:rPr>
        <w:rFonts w:ascii="Symbol" w:hAnsi="Symbol" w:cs="Symbol" w:hint="default"/>
        <w:lang w:val="pl-PL" w:eastAsia="en-US" w:bidi="ar-SA"/>
      </w:rPr>
    </w:lvl>
    <w:lvl w:ilvl="5">
      <w:start w:val="1"/>
      <w:numFmt w:val="bullet"/>
      <w:lvlText w:val=""/>
      <w:lvlJc w:val="left"/>
      <w:pPr>
        <w:tabs>
          <w:tab w:val="num" w:pos="0"/>
        </w:tabs>
        <w:ind w:left="5135" w:hanging="79"/>
      </w:pPr>
      <w:rPr>
        <w:rFonts w:ascii="Symbol" w:hAnsi="Symbol" w:cs="Symbol" w:hint="default"/>
        <w:lang w:val="pl-PL" w:eastAsia="en-US" w:bidi="ar-SA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6319" w:hanging="79"/>
      </w:pPr>
      <w:rPr>
        <w:rFonts w:ascii="Symbol" w:hAnsi="Symbol" w:cs="Symbol" w:hint="default"/>
        <w:lang w:val="pl-PL" w:eastAsia="en-US" w:bidi="ar-SA"/>
      </w:rPr>
    </w:lvl>
    <w:lvl w:ilvl="7">
      <w:start w:val="1"/>
      <w:numFmt w:val="bullet"/>
      <w:lvlText w:val=""/>
      <w:lvlJc w:val="left"/>
      <w:pPr>
        <w:tabs>
          <w:tab w:val="num" w:pos="0"/>
        </w:tabs>
        <w:ind w:left="7503" w:hanging="79"/>
      </w:pPr>
      <w:rPr>
        <w:rFonts w:ascii="Symbol" w:hAnsi="Symbol" w:cs="Symbol" w:hint="default"/>
        <w:lang w:val="pl-PL" w:eastAsia="en-US" w:bidi="ar-SA"/>
      </w:rPr>
    </w:lvl>
    <w:lvl w:ilvl="8">
      <w:start w:val="1"/>
      <w:numFmt w:val="bullet"/>
      <w:lvlText w:val=""/>
      <w:lvlJc w:val="left"/>
      <w:pPr>
        <w:tabs>
          <w:tab w:val="num" w:pos="0"/>
        </w:tabs>
        <w:ind w:left="8687" w:hanging="79"/>
      </w:pPr>
      <w:rPr>
        <w:rFonts w:ascii="Symbol" w:hAnsi="Symbol" w:cs="Symbol" w:hint="default"/>
        <w:lang w:val="pl-PL" w:eastAsia="en-US" w:bidi="ar-SA"/>
      </w:rPr>
    </w:lvl>
  </w:abstractNum>
  <w:abstractNum w:abstractNumId="4">
    <w:lvl w:ilvl="0">
      <w:start w:val="1"/>
      <w:numFmt w:val="none"/>
      <w:suff w:val="nothing"/>
      <w:lvlText w:val="%1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%2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%3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%4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%5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%6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%7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%8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%9"/>
      <w:lvlJc w:val="left"/>
      <w:pPr>
        <w:tabs>
          <w:tab w:val="num" w:pos="0"/>
        </w:tabs>
        <w:ind w:left="0" w:hanging="0"/>
      </w:pPr>
      <w:rPr/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0"/>
        </w:tabs>
        <w:ind w:left="1069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789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509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3229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949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669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389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6109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829" w:hanging="180"/>
      </w:pPr>
      <w:rPr/>
    </w:lvl>
  </w:abstractNum>
  <w:abstractNum w:abstractNumId="7">
    <w:lvl w:ilvl="0">
      <w:start w:val="1"/>
      <w:numFmt w:val="lowerLetter"/>
      <w:lvlText w:val="%1)"/>
      <w:lvlJc w:val="left"/>
      <w:pPr>
        <w:tabs>
          <w:tab w:val="num" w:pos="0"/>
        </w:tabs>
        <w:ind w:left="1069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789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509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3229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949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669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389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6109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829" w:hanging="180"/>
      </w:pPr>
      <w:rPr/>
    </w:lvl>
  </w:abstractNum>
  <w:abstractNum w:abstractNumId="8">
    <w:lvl w:ilvl="0">
      <w:start w:val="1"/>
      <w:numFmt w:val="decimal"/>
      <w:lvlText w:val="%1."/>
      <w:lvlJc w:val="left"/>
      <w:pPr>
        <w:tabs>
          <w:tab w:val="num" w:pos="0"/>
        </w:tabs>
        <w:ind w:left="1069" w:hanging="360"/>
      </w:pPr>
      <w:rPr>
        <w:rFonts w:ascii="Arial" w:hAnsi="Arial" w:cs="Arial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789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509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3229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949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669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389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6109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829" w:hanging="180"/>
      </w:pPr>
      <w:rPr/>
    </w:lvl>
  </w:abstractNum>
  <w:abstractNum w:abstractNumId="9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>
        <w:b/>
        <w:bCs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10">
    <w:lvl w:ilvl="0">
      <w:start w:val="1"/>
      <w:numFmt w:val="decimal"/>
      <w:lvlText w:val="%1."/>
      <w:lvlJc w:val="left"/>
      <w:pPr>
        <w:tabs>
          <w:tab w:val="num" w:pos="0"/>
        </w:tabs>
        <w:ind w:left="1069" w:hanging="360"/>
      </w:pPr>
      <w:rPr>
        <w:rFonts w:ascii="Arial" w:hAnsi="Arial" w:cs="Arial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789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509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3229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949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669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389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6109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829" w:hanging="180"/>
      </w:pPr>
      <w:rPr/>
    </w:lvl>
  </w:abstractNum>
  <w:abstractNum w:abstractNumId="11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>
        <w:rFonts w:ascii="Arial" w:hAnsi="Arial" w:cs="Arial"/>
        <w:i/>
        <w:sz w:val="20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12">
    <w:lvl w:ilvl="0">
      <w:start w:val="1"/>
      <w:numFmt w:val="lowerRoman"/>
      <w:lvlText w:val="%1."/>
      <w:lvlJc w:val="left"/>
      <w:pPr>
        <w:tabs>
          <w:tab w:val="num" w:pos="0"/>
        </w:tabs>
        <w:ind w:left="720" w:hanging="360"/>
      </w:pPr>
      <w:rPr>
        <w:rFonts w:ascii="Arial" w:hAnsi="Arial" w:eastAsia="Aptos" w:cs="Arial"/>
        <w:b w:val="false"/>
        <w:bCs w:val="false"/>
        <w:i w:val="false"/>
        <w:iCs w:val="false"/>
        <w:sz w:val="20"/>
        <w:szCs w:val="20"/>
      </w:rPr>
    </w:lvl>
    <w:lvl w:ilvl="1">
      <w:start w:val="1"/>
      <w:numFmt w:val="decimal"/>
      <w:lvlText w:val="%2."/>
      <w:lvlJc w:val="left"/>
      <w:pPr>
        <w:tabs>
          <w:tab w:val="num" w:pos="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3600" w:hanging="360"/>
      </w:pPr>
      <w:rPr/>
    </w:lvl>
  </w:abstractNum>
  <w:abstractNum w:abstractNumId="13">
    <w:lvl w:ilvl="0">
      <w:start w:val="1"/>
      <w:numFmt w:val="lowerLetter"/>
      <w:lvlText w:val="%1)"/>
      <w:lvlJc w:val="left"/>
      <w:pPr>
        <w:tabs>
          <w:tab w:val="num" w:pos="0"/>
        </w:tabs>
        <w:ind w:left="720" w:hanging="360"/>
      </w:pPr>
      <w:rPr>
        <w:rFonts w:ascii="Arial" w:hAnsi="Arial"/>
        <w:b w:val="false"/>
        <w:bCs w:val="false"/>
        <w:i w:val="false"/>
        <w:iCs w:val="false"/>
        <w:spacing w:val="0"/>
        <w:w w:val="85"/>
        <w:sz w:val="20"/>
        <w:szCs w:val="14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14">
    <w:lvl w:ilvl="0">
      <w:start w:val="1"/>
      <w:numFmt w:val="lowerRoman"/>
      <w:lvlText w:val="%1."/>
      <w:lvlJc w:val="right"/>
      <w:pPr>
        <w:tabs>
          <w:tab w:val="num" w:pos="0"/>
        </w:tabs>
        <w:ind w:left="720" w:hanging="360"/>
      </w:pPr>
      <w:rPr>
        <w:b w:val="false"/>
        <w:i w:val="false"/>
        <w:sz w:val="20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15">
    <w:lvl w:ilvl="0">
      <w:start w:val="1"/>
      <w:numFmt w:val="decimal"/>
      <w:lvlText w:val="%1."/>
      <w:lvlJc w:val="left"/>
      <w:pPr>
        <w:tabs>
          <w:tab w:val="num" w:pos="0"/>
        </w:tabs>
        <w:ind w:left="108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80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52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324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96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68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40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612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840" w:hanging="180"/>
      </w:pPr>
      <w:rPr/>
    </w:lvl>
  </w:abstractNum>
  <w:abstractNum w:abstractNumId="16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</w:numbering>
</file>

<file path=word/settings.xml><?xml version="1.0" encoding="utf-8"?>
<w:settings xmlns:w="http://schemas.openxmlformats.org/wordprocessingml/2006/main">
  <w:zoom w:percent="148"/>
  <w:defaultTabStop w:val="720"/>
  <w:autoHyphenation w:val="true"/>
  <w:hyphenationZone w:val="0"/>
  <w:compat>
    <w:doNotBreakWrappedTables/>
    <w:ulTrailSpace/>
    <w:compatSetting w:name="compatibilityMode" w:uri="http://schemas.microsoft.com/office/word" w:val="12"/>
    <w:compatSetting w:name="useWord2013TrackBottomHyphenation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Tahoma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suppressAutoHyphens w:val="true"/>
      <w:kinsoku w:val="true"/>
      <w:overflowPunct w:val="true"/>
      <w:autoSpaceDE w:val="true"/>
      <w:bidi w:val="0"/>
      <w:spacing w:before="0" w:after="0"/>
      <w:jc w:val="left"/>
    </w:pPr>
    <w:rPr>
      <w:rFonts w:ascii="Microsoft Sans Serif" w:hAnsi="Microsoft Sans Serif" w:eastAsia="Microsoft Sans Serif" w:cs="Microsoft Sans Serif"/>
      <w:color w:val="auto"/>
      <w:kern w:val="0"/>
      <w:sz w:val="22"/>
      <w:szCs w:val="22"/>
      <w:lang w:val="pl-PL" w:eastAsia="en-US" w:bidi="ar-SA"/>
    </w:rPr>
  </w:style>
  <w:style w:type="paragraph" w:styleId="Heading1">
    <w:name w:val="heading 1"/>
    <w:basedOn w:val="Normal"/>
    <w:qFormat/>
    <w:pPr>
      <w:numPr>
        <w:ilvl w:val="0"/>
        <w:numId w:val="0"/>
      </w:numPr>
      <w:ind w:left="450"/>
      <w:outlineLvl w:val="0"/>
    </w:pPr>
    <w:rPr>
      <w:rFonts w:ascii="Arial" w:hAnsi="Arial" w:eastAsia="Arial" w:cs="Arial"/>
      <w:b/>
      <w:bCs/>
      <w:i/>
      <w:iCs/>
      <w:sz w:val="24"/>
      <w:szCs w:val="24"/>
    </w:rPr>
  </w:style>
  <w:style w:type="paragraph" w:styleId="Heading2">
    <w:name w:val="heading 2"/>
    <w:basedOn w:val="Normal"/>
    <w:qFormat/>
    <w:pPr>
      <w:numPr>
        <w:ilvl w:val="0"/>
        <w:numId w:val="0"/>
      </w:numPr>
      <w:ind w:left="285"/>
      <w:outlineLvl w:val="1"/>
    </w:pPr>
    <w:rPr>
      <w:rFonts w:ascii="Arial" w:hAnsi="Arial" w:eastAsia="Arial" w:cs="Arial"/>
      <w:b/>
      <w:bCs/>
      <w:i/>
      <w:iCs/>
      <w:sz w:val="16"/>
      <w:szCs w:val="16"/>
    </w:rPr>
  </w:style>
  <w:style w:type="paragraph" w:styleId="Heading3">
    <w:name w:val="heading 3"/>
    <w:basedOn w:val="Normal"/>
    <w:qFormat/>
    <w:pPr>
      <w:numPr>
        <w:ilvl w:val="0"/>
        <w:numId w:val="0"/>
      </w:numPr>
      <w:ind w:left="835"/>
      <w:outlineLvl w:val="2"/>
    </w:pPr>
    <w:rPr>
      <w:rFonts w:ascii="Arial" w:hAnsi="Arial" w:eastAsia="Arial" w:cs="Arial"/>
      <w:b/>
      <w:bCs/>
      <w:i/>
      <w:iCs/>
      <w:sz w:val="14"/>
      <w:szCs w:val="14"/>
    </w:rPr>
  </w:style>
  <w:style w:type="paragraph" w:styleId="Heading4">
    <w:name w:val="heading 4"/>
    <w:basedOn w:val="Normal"/>
    <w:qFormat/>
    <w:pPr>
      <w:numPr>
        <w:ilvl w:val="0"/>
        <w:numId w:val="0"/>
      </w:numPr>
      <w:spacing w:before="123" w:after="0"/>
      <w:ind w:left="282"/>
      <w:outlineLvl w:val="3"/>
    </w:pPr>
    <w:rPr>
      <w:rFonts w:ascii="Arial" w:hAnsi="Arial" w:eastAsia="Arial" w:cs="Arial"/>
      <w:b/>
      <w:bCs/>
      <w:i/>
      <w:iCs/>
      <w:sz w:val="14"/>
      <w:szCs w:val="14"/>
    </w:rPr>
  </w:style>
  <w:style w:type="paragraph" w:styleId="Heading5">
    <w:name w:val="heading 5"/>
    <w:basedOn w:val="Normal"/>
    <w:qFormat/>
    <w:pPr>
      <w:numPr>
        <w:ilvl w:val="0"/>
        <w:numId w:val="0"/>
      </w:numPr>
      <w:ind w:left="282"/>
      <w:outlineLvl w:val="4"/>
    </w:pPr>
    <w:rPr>
      <w:sz w:val="14"/>
      <w:szCs w:val="14"/>
    </w:rPr>
  </w:style>
  <w:style w:type="character" w:styleId="DefaultParagraphFont">
    <w:name w:val="Default Paragraph Font"/>
    <w:qFormat/>
    <w:rPr/>
  </w:style>
  <w:style w:type="character" w:styleId="Hyperlink">
    <w:name w:val="Hyperlink"/>
    <w:rPr>
      <w:color w:val="000080"/>
      <w:u w:val="single"/>
    </w:rPr>
  </w:style>
  <w:style w:type="character" w:styleId="CommentReference">
    <w:name w:val="annotation reference"/>
    <w:basedOn w:val="DefaultParagraphFont"/>
    <w:qFormat/>
    <w:rPr>
      <w:sz w:val="16"/>
      <w:szCs w:val="16"/>
    </w:rPr>
  </w:style>
  <w:style w:type="character" w:styleId="TekstkomentarzaZnak">
    <w:name w:val="Tekst komentarza Znak"/>
    <w:basedOn w:val="DefaultParagraphFont"/>
    <w:link w:val="CommentText"/>
    <w:qFormat/>
    <w:rPr>
      <w:rFonts w:ascii="Microsoft Sans Serif" w:hAnsi="Microsoft Sans Serif" w:eastAsia="Microsoft Sans Serif" w:cs="Microsoft Sans Serif"/>
      <w:sz w:val="20"/>
      <w:szCs w:val="20"/>
      <w:lang w:val="pl-PL"/>
    </w:rPr>
  </w:style>
  <w:style w:type="character" w:styleId="TematkomentarzaZnak">
    <w:name w:val="Temat komentarza Znak"/>
    <w:basedOn w:val="TekstkomentarzaZnak"/>
    <w:link w:val="annotationsubject"/>
    <w:qFormat/>
    <w:rPr>
      <w:rFonts w:ascii="Microsoft Sans Serif" w:hAnsi="Microsoft Sans Serif" w:eastAsia="Microsoft Sans Serif" w:cs="Microsoft Sans Serif"/>
      <w:b/>
      <w:bCs/>
      <w:sz w:val="20"/>
      <w:szCs w:val="20"/>
      <w:lang w:val="pl-PL"/>
    </w:rPr>
  </w:style>
  <w:style w:type="character" w:styleId="SubtleReference">
    <w:name w:val="Subtle Reference"/>
    <w:qFormat/>
    <w:rPr>
      <w:rFonts w:ascii="Calibri" w:hAnsi="Calibri" w:eastAsia="Times New Roman" w:cs="Times New Roman"/>
      <w:i/>
      <w:iCs/>
      <w:color w:val="622423"/>
    </w:rPr>
  </w:style>
  <w:style w:type="character" w:styleId="TekstprzypisudolnegoZnak">
    <w:name w:val="Tekst przypisu dolnego Znak"/>
    <w:qFormat/>
    <w:rPr>
      <w:rFonts w:ascii="Cambria" w:hAnsi="Cambria" w:eastAsia="Times New Roman" w:cs="Times New Roman"/>
      <w:kern w:val="0"/>
      <w:sz w:val="20"/>
      <w:szCs w:val="20"/>
      <w:lang w:bidi="en-US"/>
    </w:rPr>
  </w:style>
  <w:style w:type="character" w:styleId="Znakiprzypiswdolnych">
    <w:name w:val="Znaki przypisów dolnych"/>
    <w:qFormat/>
    <w:rPr>
      <w:vertAlign w:val="superscript"/>
    </w:rPr>
  </w:style>
  <w:style w:type="character" w:styleId="A7">
    <w:name w:val="A7"/>
    <w:qFormat/>
    <w:rPr>
      <w:rFonts w:cs="Myriad Pro"/>
      <w:color w:val="000000"/>
    </w:rPr>
  </w:style>
  <w:style w:type="character" w:styleId="AkapitzlistZnak">
    <w:name w:val="Akapit z listą Znak"/>
    <w:qFormat/>
    <w:rPr/>
  </w:style>
  <w:style w:type="character" w:styleId="fontstyle21">
    <w:name w:val="fontstyle21"/>
    <w:qFormat/>
    <w:rPr>
      <w:rFonts w:ascii="MyriadPro-Regular" w:hAnsi="MyriadPro-Regular"/>
      <w:color w:val="242021"/>
      <w:sz w:val="14"/>
    </w:rPr>
  </w:style>
  <w:style w:type="character" w:styleId="fontstyle01">
    <w:name w:val="fontstyle01"/>
    <w:qFormat/>
    <w:rPr>
      <w:rFonts w:ascii="MyriadPro-Bold" w:hAnsi="MyriadPro-Bold"/>
      <w:b/>
      <w:color w:val="242021"/>
      <w:sz w:val="14"/>
    </w:rPr>
  </w:style>
  <w:style w:type="character" w:styleId="TekstpodstawowywcityZnak">
    <w:name w:val="Tekst podstawowy wcięty Znak"/>
    <w:qFormat/>
    <w:rPr>
      <w:rFonts w:ascii="Calibri" w:hAnsi="Calibri" w:eastAsia="Times New Roman" w:cs="Times New Roman"/>
      <w:kern w:val="0"/>
      <w:sz w:val="20"/>
      <w:szCs w:val="20"/>
      <w:lang w:val="en-US" w:bidi="en-US"/>
    </w:rPr>
  </w:style>
  <w:style w:type="character" w:styleId="TekstpodstawowyZnak">
    <w:name w:val="Tekst podstawowy Znak"/>
    <w:qFormat/>
    <w:rPr>
      <w:rFonts w:ascii="Times New Roman" w:hAnsi="Times New Roman" w:cs="Times New Roman"/>
      <w:kern w:val="0"/>
      <w:sz w:val="24"/>
      <w:szCs w:val="24"/>
      <w:lang w:eastAsia="pl-PL"/>
    </w:rPr>
  </w:style>
  <w:style w:type="character" w:styleId="IntenseReference">
    <w:name w:val="Intense Reference"/>
    <w:qFormat/>
    <w:rPr>
      <w:b/>
      <w:bCs/>
      <w:smallCaps/>
      <w:color w:val="0F4761"/>
      <w:spacing w:val="5"/>
    </w:rPr>
  </w:style>
  <w:style w:type="character" w:styleId="CytatintensywnyZnak">
    <w:name w:val="Cytat intensywny Znak"/>
    <w:qFormat/>
    <w:rPr>
      <w:i/>
      <w:iCs/>
      <w:color w:val="0F4761"/>
    </w:rPr>
  </w:style>
  <w:style w:type="character" w:styleId="IntenseEmphasis">
    <w:name w:val="Intense Emphasis"/>
    <w:qFormat/>
    <w:rPr>
      <w:i/>
      <w:iCs/>
      <w:color w:val="0F4761"/>
    </w:rPr>
  </w:style>
  <w:style w:type="character" w:styleId="CytatZnak">
    <w:name w:val="Cytat Znak"/>
    <w:qFormat/>
    <w:rPr>
      <w:i/>
      <w:iCs/>
      <w:color w:val="404040"/>
    </w:rPr>
  </w:style>
  <w:style w:type="character" w:styleId="PodtytuZnak">
    <w:name w:val="Podtytuł Znak"/>
    <w:qFormat/>
    <w:rPr>
      <w:rFonts w:eastAsia="0" w:cs="0"/>
      <w:color w:val="595959"/>
      <w:spacing w:val="15"/>
      <w:sz w:val="28"/>
      <w:szCs w:val="28"/>
    </w:rPr>
  </w:style>
  <w:style w:type="character" w:styleId="TytuZnak">
    <w:name w:val="Tytuł Znak"/>
    <w:qFormat/>
    <w:rPr>
      <w:rFonts w:ascii="Aptos Display" w:hAnsi="Aptos Display" w:eastAsia="0" w:cs="0"/>
      <w:spacing w:val="-10"/>
      <w:kern w:val="2"/>
      <w:sz w:val="56"/>
      <w:szCs w:val="56"/>
    </w:rPr>
  </w:style>
  <w:style w:type="character" w:styleId="Nagwek9Znak">
    <w:name w:val="Nagłówek 9 Znak"/>
    <w:qFormat/>
    <w:rPr>
      <w:rFonts w:eastAsia="0" w:cs="0"/>
      <w:color w:val="272727"/>
    </w:rPr>
  </w:style>
  <w:style w:type="character" w:styleId="Nagwek8Znak">
    <w:name w:val="Nagłówek 8 Znak"/>
    <w:qFormat/>
    <w:rPr>
      <w:rFonts w:eastAsia="0" w:cs="0"/>
      <w:i/>
      <w:iCs/>
      <w:color w:val="272727"/>
    </w:rPr>
  </w:style>
  <w:style w:type="character" w:styleId="Nagwek7Znak">
    <w:name w:val="Nagłówek 7 Znak"/>
    <w:qFormat/>
    <w:rPr>
      <w:rFonts w:eastAsia="0" w:cs="0"/>
      <w:color w:val="595959"/>
    </w:rPr>
  </w:style>
  <w:style w:type="character" w:styleId="Nagwek6Znak">
    <w:name w:val="Nagłówek 6 Znak"/>
    <w:qFormat/>
    <w:rPr>
      <w:rFonts w:eastAsia="0" w:cs="0"/>
      <w:i/>
      <w:iCs/>
      <w:color w:val="595959"/>
    </w:rPr>
  </w:style>
  <w:style w:type="character" w:styleId="Nagwek5Znak">
    <w:name w:val="Nagłówek 5 Znak"/>
    <w:qFormat/>
    <w:rPr>
      <w:rFonts w:eastAsia="0" w:cs="0"/>
      <w:color w:val="0F4761"/>
    </w:rPr>
  </w:style>
  <w:style w:type="character" w:styleId="Nagwek4Znak">
    <w:name w:val="Nagłówek 4 Znak"/>
    <w:qFormat/>
    <w:rPr>
      <w:rFonts w:eastAsia="0" w:cs="0"/>
      <w:i/>
      <w:iCs/>
      <w:color w:val="0F4761"/>
    </w:rPr>
  </w:style>
  <w:style w:type="character" w:styleId="Nagwek3Znak">
    <w:name w:val="Nagłówek 3 Znak"/>
    <w:qFormat/>
    <w:rPr>
      <w:rFonts w:eastAsia="0" w:cs="0"/>
      <w:color w:val="0F4761"/>
      <w:sz w:val="28"/>
      <w:szCs w:val="28"/>
    </w:rPr>
  </w:style>
  <w:style w:type="character" w:styleId="Nagwek2Znak">
    <w:name w:val="Nagłówek 2 Znak"/>
    <w:qFormat/>
    <w:rPr>
      <w:rFonts w:ascii="Aptos Display" w:hAnsi="Aptos Display" w:eastAsia="0" w:cs="0"/>
      <w:color w:val="0F4761"/>
      <w:sz w:val="32"/>
      <w:szCs w:val="32"/>
    </w:rPr>
  </w:style>
  <w:style w:type="character" w:styleId="Nagwek1Znak">
    <w:name w:val="Nagłówek 1 Znak"/>
    <w:qFormat/>
    <w:rPr>
      <w:rFonts w:ascii="Aptos Display" w:hAnsi="Aptos Display" w:eastAsia="0" w:cs="0"/>
      <w:color w:val="0F4761"/>
      <w:sz w:val="40"/>
      <w:szCs w:val="40"/>
    </w:rPr>
  </w:style>
  <w:style w:type="paragraph" w:styleId="Nagwek">
    <w:name w:val="Nagłówek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/>
    <w:rPr>
      <w:sz w:val="14"/>
      <w:szCs w:val="14"/>
    </w:rPr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eks">
    <w:name w:val="Indeks"/>
    <w:basedOn w:val="Normal"/>
    <w:qFormat/>
    <w:pPr>
      <w:suppressLineNumbers/>
    </w:pPr>
    <w:rPr>
      <w:rFonts w:cs="Lucida Sans"/>
    </w:rPr>
  </w:style>
  <w:style w:type="paragraph" w:styleId="Nagwekuser">
    <w:name w:val="Nagłówek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Indeksuser">
    <w:name w:val="Indeks (user)"/>
    <w:basedOn w:val="Normal"/>
    <w:qFormat/>
    <w:pPr>
      <w:suppressLineNumbers/>
    </w:pPr>
    <w:rPr>
      <w:rFonts w:cs="Lucida Sans"/>
    </w:rPr>
  </w:style>
  <w:style w:type="paragraph" w:styleId="Gwkaistopkauser">
    <w:name w:val="Główka i stopka (user)"/>
    <w:basedOn w:val="Normal"/>
    <w:qFormat/>
    <w:pPr/>
    <w:rPr/>
  </w:style>
  <w:style w:type="paragraph" w:styleId="Gwkaistopka">
    <w:name w:val="Główka i stopka"/>
    <w:basedOn w:val="Normal"/>
    <w:qFormat/>
    <w:pPr/>
    <w:rPr/>
  </w:style>
  <w:style w:type="paragraph" w:styleId="Header">
    <w:name w:val="header"/>
    <w:basedOn w:val="Normal"/>
    <w:next w:val="BodyText"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ListParagraph">
    <w:name w:val="List Paragraph"/>
    <w:basedOn w:val="Normal"/>
    <w:qFormat/>
    <w:pPr>
      <w:ind w:hanging="284" w:left="404"/>
    </w:pPr>
    <w:rPr/>
  </w:style>
  <w:style w:type="paragraph" w:styleId="TableParagraph">
    <w:name w:val="Table Paragraph"/>
    <w:basedOn w:val="Normal"/>
    <w:qFormat/>
    <w:pPr>
      <w:spacing w:before="65" w:after="0"/>
      <w:jc w:val="center"/>
    </w:pPr>
    <w:rPr/>
  </w:style>
  <w:style w:type="paragraph" w:styleId="Zawartoramki">
    <w:name w:val="Zawartość ramki"/>
    <w:basedOn w:val="Normal"/>
    <w:qFormat/>
    <w:pPr/>
    <w:rPr/>
  </w:style>
  <w:style w:type="paragraph" w:styleId="Footer">
    <w:name w:val="footer"/>
    <w:basedOn w:val="Gwkaistopka"/>
    <w:pPr/>
    <w:rPr/>
  </w:style>
  <w:style w:type="paragraph" w:styleId="Zawartoramkiuser">
    <w:name w:val="Zawartość ramki (user)"/>
    <w:basedOn w:val="Normal"/>
    <w:qFormat/>
    <w:pPr/>
    <w:rPr/>
  </w:style>
  <w:style w:type="paragraph" w:styleId="Zawartotabeli">
    <w:name w:val="Zawartość tabeli"/>
    <w:basedOn w:val="Normal"/>
    <w:qFormat/>
    <w:pPr>
      <w:suppressLineNumbers/>
    </w:pPr>
    <w:rPr/>
  </w:style>
  <w:style w:type="paragraph" w:styleId="CommentText">
    <w:name w:val="annotation text"/>
    <w:basedOn w:val="Normal"/>
    <w:link w:val="TekstkomentarzaZnak"/>
    <w:pPr/>
    <w:rPr>
      <w:sz w:val="20"/>
      <w:szCs w:val="20"/>
    </w:rPr>
  </w:style>
  <w:style w:type="paragraph" w:styleId="annotationsubject">
    <w:name w:val="annotation subject"/>
    <w:basedOn w:val="CommentText"/>
    <w:next w:val="CommentText"/>
    <w:link w:val="TematkomentarzaZnak"/>
    <w:qFormat/>
    <w:pPr/>
    <w:rPr>
      <w:b/>
      <w:bCs/>
    </w:rPr>
  </w:style>
  <w:style w:type="paragraph" w:styleId="Default">
    <w:name w:val="Default"/>
    <w:qFormat/>
    <w:pPr>
      <w:widowControl/>
      <w:suppressAutoHyphens w:val="true"/>
      <w:kinsoku w:val="true"/>
      <w:overflowPunct w:val="true"/>
      <w:autoSpaceDE w:val="true"/>
      <w:bidi w:val="0"/>
      <w:spacing w:lineRule="auto" w:line="240" w:before="0" w:after="0"/>
      <w:jc w:val="left"/>
    </w:pPr>
    <w:rPr>
      <w:rFonts w:ascii="Arial" w:hAnsi="Arial" w:eastAsia="Aptos" w:cs="Arial"/>
      <w:color w:val="000000"/>
      <w:kern w:val="0"/>
      <w:sz w:val="24"/>
      <w:szCs w:val="24"/>
      <w:lang w:val="pl-PL" w:eastAsia="en-US" w:bidi="pl-PL"/>
    </w:rPr>
  </w:style>
  <w:style w:type="paragraph" w:styleId="wordsection1">
    <w:name w:val="wordsection1"/>
    <w:basedOn w:val="Normal"/>
    <w:qFormat/>
    <w:pPr>
      <w:spacing w:lineRule="auto" w:line="240" w:before="280" w:after="280"/>
    </w:pPr>
    <w:rPr>
      <w:rFonts w:ascii="Times New Roman" w:hAnsi="Times New Roman" w:cs="Times New Roman"/>
      <w:sz w:val="24"/>
      <w:szCs w:val="24"/>
      <w:lang w:eastAsia="pl-PL"/>
    </w:rPr>
  </w:style>
  <w:style w:type="paragraph" w:styleId="BodyTextIndent">
    <w:name w:val="Body Text Indent"/>
    <w:basedOn w:val="BodyText"/>
    <w:pPr>
      <w:ind w:hanging="0" w:left="283"/>
    </w:pPr>
    <w:rPr/>
  </w:style>
  <w:style w:type="numbering" w:styleId="Bezlistyuser">
    <w:name w:val="Bez listy (user)"/>
    <w:qFormat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jpeg"/><Relationship Id="rId3" Type="http://schemas.openxmlformats.org/officeDocument/2006/relationships/footer" Target="footer1.xml"/><Relationship Id="rId4" Type="http://schemas.openxmlformats.org/officeDocument/2006/relationships/image" Target="media/image1.jpeg"/><Relationship Id="rId5" Type="http://schemas.openxmlformats.org/officeDocument/2006/relationships/footer" Target="footer2.xml"/><Relationship Id="rId6" Type="http://schemas.openxmlformats.org/officeDocument/2006/relationships/numbering" Target="numbering.xml"/><Relationship Id="rId7" Type="http://schemas.openxmlformats.org/officeDocument/2006/relationships/fontTable" Target="fontTable.xml"/><Relationship Id="rId8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er1.xml.rels><?xml version="1.0" encoding="UTF-8"?><Relationships xmlns="http://schemas.openxmlformats.org/package/2006/relationships"><Relationship Id="rId1" Type="http://schemas.openxmlformats.org/officeDocument/2006/relationships/hyperlink" Target="http://www.interrisk.pl/" TargetMode="External"/><Relationship Id="rId2" Type="http://schemas.openxmlformats.org/officeDocument/2006/relationships/hyperlink" Target="http://www.interrisk.pl/" TargetMode="External"/></Relationships>
</file>

<file path=word/_rels/footer2.xml.rels><?xml version="1.0" encoding="UTF-8"?><Relationships xmlns="http://schemas.openxmlformats.org/package/2006/relationships"><Relationship Id="rId1" Type="http://schemas.openxmlformats.org/officeDocument/2006/relationships/hyperlink" Target="http://www.interrisk.pl/" TargetMode="External"/><Relationship Id="rId2" Type="http://schemas.openxmlformats.org/officeDocument/2006/relationships/hyperlink" Target="http://www.interrisk.pl/" TargetMode="External"/>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134</TotalTime>
  <Application>LibreOffice/25.8.6.2$Windows_X86_64 LibreOffice_project/b4b39682cd9868fa725bc664aff94278d315bd04</Application>
  <AppVersion>15.0000</AppVersion>
  <Pages>8</Pages>
  <Words>6197</Words>
  <Characters>39138</Characters>
  <CharactersWithSpaces>44812</CharactersWithSpaces>
  <Paragraphs>581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2026-05-19T07:35:00Z</dcterms:created>
  <dc:creator>Lena MIckiewicz</dc:creator>
  <dc:description/>
  <dc:language>pl-PL</dc:language>
  <cp:lastModifiedBy/>
  <dcterms:modified xsi:type="dcterms:W3CDTF">2026-05-22T16:19:58Z</dcterms:modified>
  <cp:revision>11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2025-09-11T00:00:00Z</vt:filetime>
  </property>
  <property fmtid="{D5CDD505-2E9C-101B-9397-08002B2CF9AE}" pid="4" name="Creator">
    <vt:lpwstr>Telerik Reporting 5.3.12.119 (http://www.telerik.com/products/reporting.aspx)</vt:lpwstr>
  </property>
  <property fmtid="{D5CDD505-2E9C-101B-9397-08002B2CF9AE}" pid="5" name="LastSaved">
    <vt:filetime>2026-05-08T00:00:00Z</vt:filetime>
  </property>
  <property fmtid="{D5CDD505-2E9C-101B-9397-08002B2CF9AE}" pid="6" name="Producer">
    <vt:lpwstr>Telerik Reporting 5.3.12.119 (http://www.telerik.com/products/reporting.aspx)</vt:lpwstr>
  </property>
</Properties>
</file>