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RecallSOP: o arhitectură neurosimbolică bazată pe circuite, cu strategii independente de memorie și raționament</w:t>
      </w:r>
    </w:p>
    <w:p>
      <w:pPr>
        <w:pStyle w:val="Subtitle"/>
      </w:pPr>
      <w:r>
        <w:t>Sînică Alboaie</w:t>
      </w:r>
    </w:p>
    <w:p>
      <w:pPr>
        <w:pStyle w:val="Caption"/>
      </w:pPr>
      <w:r>
        <w:t>Manuscris de arhitectură • versiunea 0.1 • 27 septembrie 2026</w:t>
      </w:r>
    </w:p>
    <w:p>
      <w:pPr>
        <w:pStyle w:val="Heading1"/>
      </w:pPr>
      <w:r>
        <w:t>Rezumat</w:t>
      </w:r>
    </w:p>
    <w:p>
      <w:pPr>
        <w:jc w:val="both"/>
      </w:pPr>
      <w:r>
        <w:t>Un agent conversațional nu trebuie să concentreze în același model neuronal interpretarea limbajului, cunoașterea persistentă, alegerea procedurilor și calculul concluziilor. Propunem RecallSOP, o arhitectură care separă aceste responsabilități printr-o reprezentare intermediară executabilă comună: circuite SOP Lang alcătuite din fire tipizate. Un model lingvistic formalizează observații și cereri; un linker recuperează fapte, reguli și proceduri, le leagă prin variabile comune și completează circuitul; interpretoare specializate calculează rezultate cu proveniență, statut epistemic și limite explicite. Memoria și raționamentul sunt două axe de configurare independente. Memoriile exacte, asociative și hibride pot fi combinate cu un motor de referință bazat pe reguli și căutare finită sau cu backend-uri specializate, fără schimbarea limbajului produs de model.</w:t>
      </w:r>
    </w:p>
    <w:p>
      <w:pPr>
        <w:jc w:val="both"/>
      </w:pPr>
      <w:r>
        <w:t>Contribuția este un model arhitectural pentru separarea interpretării lingvistice de execuția justificabilă, inclusiv ieșiri materializate la execuție, actualizări temporale și distincția dintre fapte, ipoteze și regularități. Prezentăm demonstrații progresive ale componentelor: completarea informației în memorii distribuite, comparații de recuperare și execuția aceluiași circuit pe strategii alternative. Implementarea actuală trece 306 teste și 140 de execuții comparative pe 14 scenarii; acestea verifică mecanismele simbolice pe cazurile testate, nu competența unui agent neuronal antrenat. Analizăm separat ipoteza că formalizatoare de ordinul sutelor de milioane de parametri pot constitui interfața unui sistem mult mai capabil decât modelul izolat. Valoarea arhitecturii este că face această ipoteză testabilă, localizează erorile și permite extinderea memoriei și a raționamentului fără a le confunda cu dimensiunea modelului de limbaj.</w:t>
      </w:r>
    </w:p>
    <w:p>
      <w:pPr>
        <w:pStyle w:val="Caption"/>
      </w:pPr>
      <w:r>
        <w:t>Cuvinte-cheie: arhitecturi neurosimbolice; circuite executabile; parsare semantică; memorie asociativă; raționament simbolic; modele lingvistice mici.</w:t>
      </w:r>
    </w:p>
    <w:p>
      <w:pPr>
        <w:pStyle w:val="Heading1"/>
      </w:pPr>
      <w:r>
        <w:t>1. Problema și contribuția</w:t>
      </w:r>
    </w:p>
    <w:p>
      <w:pPr>
        <w:jc w:val="both"/>
      </w:pPr>
      <w:r>
        <w:t>Problema abordată este construirea unui agent care înțelege cereri în limbaj natural, acumulează cunoaștere modificabilă și calculează consecințe verificabile, fără a cere modelului lingvistic să îndeplinească singur toate aceste funcții. Un răspuns poate fi fluent, dar bazat pe premise greșite; un program poate fi corect sintactic, dar poate formaliza altă întrebare; o memorie poate returna un candidat familiar fără a demonstra că el este adevărat. Arhitectura trebuie să păstreze aceste diferențe pe întregul traseu al execuției.</w:t>
      </w:r>
    </w:p>
    <w:p>
      <w:pPr>
        <w:jc w:val="both"/>
      </w:pPr>
      <w:r>
        <w:t>Separarea limbajului de calcul nu este nouă. PAL generează programe executabile, iar LINC și Logic-LM deleagă inferența unor motoare simbolice [1–3]. Întrebarea noastră este una de organizare a unui agent persistent: poate aceeași reprezentare să descrie observațiile, întrebările, procedurile recuperabile, ipotezele și rezultatele, în timp ce metodele de stocare și de rezolvare rămân interschimbabile?</w:t>
      </w:r>
    </w:p>
    <w:p>
      <w:pPr>
        <w:jc w:val="both"/>
      </w:pPr>
      <w:r>
        <w:t>RecallSOP răspunde printr-un contract comun, nu printr-un nou solver universal. SOP Lang este limbajul extern al contractului; parserul produce o structură tipizată pe care o execută runtime-ul. Un fir poate desemna cunoaștere, o operație sau o valoare rezultată. Tipul său stabilește cum este interpretat și ce efecte sunt permise. O declarație factuală nu produce singură o scriere persistentă, iar o ipoteză nu devine premisă factuală doar pentru că a fost formulată convingător.</w:t>
      </w:r>
    </w:p>
    <w:p>
      <w:pPr>
        <w:jc w:val="both"/>
      </w:pPr>
      <w:r>
        <w:t>Contribuția specifică are trei părți legate. Prima este un circuit executabil comun pentru cunoaștere și sarcini, cu legare explicită între variabilele logice și valorile consumate de alte fire. A doua este separarea strategiilor de memorie de strategiile de raționament, cu raportarea diferențelor de acoperire și a limitelor semantice. A treia este un mecanism de integrare în care definițiile recuperate extind controlat circuitul și produc răspunsuri inspectabile. Nici primitivele logice, nici hashing-ul, nici generarea de cod nu sunt revendicate drept invenții ale acestei lucrări.</w:t>
      </w:r>
    </w:p>
    <w:p>
      <w:pPr>
        <w:jc w:val="both"/>
      </w:pPr>
      <w:r>
        <w:t>Lucrarea este un articol de arhitectură cu demonstrații de mecanism. Rezultatele numerice susțin fezabilitatea componentelor descrise. Ipoteza unui agent conversațional foarte mic, competent în română și comparabil pe sarcini delimitate cu modele mai mari, rămâne o întrebare experimentală.</w:t>
      </w:r>
    </w:p>
    <w:p>
      <w:pPr>
        <w:pStyle w:val="Heading1"/>
      </w:pPr>
      <w:r>
        <w:t>2. Poziționare față de lucrările existente</w:t>
      </w:r>
    </w:p>
    <w:p>
      <w:pPr>
        <w:pStyle w:val="Heading2"/>
      </w:pPr>
      <w:r>
        <w:t>2.1. De la generarea de programe la formalizare și execuție</w:t>
      </w:r>
    </w:p>
    <w:p>
      <w:pPr>
        <w:jc w:val="both"/>
      </w:pPr>
      <w:r>
        <w:t>PAL separă descompunerea lingvistică a problemei de executarea programului generat [1]. LINC folosește modelul ca parser semantic către logică de ordinul întâi, iar demonstrația este realizată de un theorem prover [2]. Logic-LM combină formalizarea, solverele și revizuirea reprezentării pe baza erorilor acestora [3]. Aceste lucrări sunt antecedente directe: simpla schemă «limbaj natural → formalizare → solver» nu constituie noutatea RecallSOP.</w:t>
      </w:r>
    </w:p>
    <w:p>
      <w:pPr>
        <w:jc w:val="both"/>
      </w:pPr>
      <w:r>
        <w:t>Diferența urmărită aici este tratarea formalizării drept interfață a unei memorii persistente și a unor proceduri reutilizabile, nu numai drept reprezentare temporară a unui singur benchmark. Linkerul trebuie să descopere premisele prin regulile disponibile; programul rezultat trebuie să păstreze identitatea surselor, timpul, ipotezele și acoperirea căutării. Nu susținem că sistemele existente nu pot fi extinse astfel; propunem un contract explicit care permite implementarea și compararea acestor alegeri.</w:t>
      </w:r>
    </w:p>
    <w:p>
      <w:pPr>
        <w:pStyle w:val="Heading2"/>
      </w:pPr>
      <w:r>
        <w:t>2.2. Limbaje neurosimbolice și infrastructuri de compilare</w:t>
      </w:r>
    </w:p>
    <w:p>
      <w:pPr>
        <w:jc w:val="both"/>
      </w:pPr>
      <w:r>
        <w:t>Scallop oferă un limbaj bazat pe Datalog și un cadru de raționament diferențiabil prin proveniență [4]. LMQL controlează generarea printr-un limbaj de programare a modelelor, iar DSPy compune și optimizează module de transformare textuală [5,6]. PICARD arată utilitatea constrângerilor de parsare pentru generarea unui limbaj formal [7]. Aceste contribuții susțin folosirea unor reprezentări restrânse; ele nu demonstrează că orice ieșire validă sintactic este corectă semantic.</w:t>
      </w:r>
    </w:p>
    <w:p>
      <w:pPr>
        <w:jc w:val="both"/>
      </w:pPr>
      <w:r>
        <w:t>RecallSOP nu implementează diferențiere prin solver și nu înlocuiește compilatoarele existente. Împrumută principiul unei reprezentări tipizate, extensibile și coborâte către backend-uri, bine ilustrat de MLIR [8]. Particularitatea propusă este contractul epistemic și operațional al firelor: o ipoteză, o observație, o restricție și o valoare produsă de solver pot traversa același circuit fără a deveni interschimbabile semantic. Implementarea trebuie evaluată în raport cu Scallop, LMQL și alte limbaje, nu numai cu un LLM fără instrumente.</w:t>
      </w:r>
    </w:p>
    <w:p>
      <w:pPr>
        <w:pStyle w:val="Heading2"/>
      </w:pPr>
      <w:r>
        <w:t>2.3. Memorie externă, asocieri și inspirația corticală</w:t>
      </w:r>
    </w:p>
    <w:p>
      <w:pPr>
        <w:jc w:val="both"/>
      </w:pPr>
      <w:r>
        <w:t>RAG separă memoria parametrică de o sursă externă recuperabilă și condiționează generarea pe materialul găsit [9]. RecallSOP urmărește o altă frontieră de execuție: materialul relevant poate deveni premise și proceduri într-un program, iar răspunsul este calculat înaintea verbalizării. RAG poate fi combinat cu această arhitectură pentru selectarea documentelor. Retenția temporală, stocarea exactă sau verificarea surselor nu sunt proprietăți exclusiviste ale uneia dintre abordări.</w:t>
      </w:r>
    </w:p>
    <w:p>
      <w:pPr>
        <w:jc w:val="both"/>
      </w:pPr>
      <w:r>
        <w:t>Recall Weaver folosește suprapunerea unor proiecții relaționale în bănci compacte. Filtrele Bloom constituie un antecedent pentru testarea probabilistică a apartenenței [10], iar filtrele Bloom stabile studiază uitarea în fluxuri cu memorie limitată [11]. Reprezentările holografice reduse ale lui Plate sunt un alt antecedent al legării și superpoziției distribuite, dar utilizează un mecanism distinct, bazat pe convoluție [12]. Prin urmare, termenul «holografic» este folosit aici numai ca analogie pentru distribuirea și reconstrucția informației, nu ca identificare cu HRR și nu ca garanție de compresie fără pierderi.</w:t>
      </w:r>
    </w:p>
    <w:p>
      <w:pPr>
        <w:jc w:val="both"/>
      </w:pPr>
      <w:r>
        <w:t>Inspirația din Thousand Brains este acordul dintre perspective parțiale [13,14]. În modelul cortical propus de Hawkins și colegii săi, coloanele combină trăsături cu poziții relative la obiect și integrează interacțiuni senzoriomotorii. În Recall Weaver, o coloană este o proiecție discretă, mult mai simplă; nu modelează singură întregul obiect și nu presupune un sistem senzoriomotor. Pentru fapte deja formalizate, reperele spațiale sunt un tip posibil de date, nu o condiție universală a memoriei. Analogia motivează alegerea perspectivelor complementare, fără a constitui o validare biologică.</w:t>
      </w:r>
    </w:p>
    <w:p>
      <w:pPr>
        <w:pStyle w:val="Heading2"/>
      </w:pPr>
      <w:r>
        <w:t>2.4. Arhitecturi cognitive și delimitarea originalității</w:t>
      </w:r>
    </w:p>
    <w:p>
      <w:pPr>
        <w:jc w:val="both"/>
      </w:pPr>
      <w:r>
        <w:t>Separarea memoriei, procedurilor și controlului are antecedente în arhitecturile cognitive și în eforturile de a defini modele computaționale comune ale cogniției [15]. Lucrarea de față nu revendică ideea generală a unui agent modular. Contribuția candidată este un model de organizare executabil: același limbaj leagă cunoașterea persistentă de o cerere nouă, face vizibile rezultatele intermediare și permite schimbarea independentă a celor două strategii. Literatura discutată este o selecție de antecedente apropiate, nu un studiu bibliometric exhaustiv și nici o dovadă de prioritate universală.</w:t>
      </w:r>
    </w:p>
    <w:p>
      <w:pPr>
        <w:pStyle w:val="Heading1"/>
      </w:pPr>
      <w:r>
        <w:t>3. Arhitectura: un circuit între limbaj și cunoaștere</w:t>
      </w:r>
    </w:p>
    <w:p>
      <w:pPr>
        <w:jc w:val="both"/>
      </w:pPr>
      <w:r>
        <w:t>Fluxul principal are șase responsabilități. Resolverul lexical identifică entități și predicate candidate. Formalizatorul neuronal produce declarații SOP. Parserul și validatorul verifică structura, tipurile și permisiunile. Linkerul leagă scopul de definițiile și premisele recuperabile. Strategia de raționament execută subproblema. În final, un generator CNL produce un răspuns controlat, pe care un model opțional îl poate reformula.</w:t>
      </w:r>
    </w:p>
    <w:p>
      <w:pPr>
        <w:jc w:val="both"/>
      </w:pPr>
      <w:r>
        <w:t>Figura 1 arată separarea dintre componente. Memoria nu trebuie să furnizeze concluzii demonstrate, iar formalizatorul nu trebuie să recreeze proceduri deja aprobate. Runtime-ul poate combina mai multe etape: un rezultat relațional produce durata unei operații, o restricție verifică fezabilitatea ei, iar o procedură alege cum să explice rezultatul. Aceste etape sunt legate prin valori tipizate, nu prin texte intermediare interpretate liber de fiecare solver.</w:t>
      </w:r>
    </w:p>
    <w:p>
      <w:pPr>
        <w:jc w:val="center"/>
      </w:pPr>
      <w:r>
        <w:drawing>
          <wp:inline xmlns:a="http://schemas.openxmlformats.org/drawingml/2006/main" xmlns:pic="http://schemas.openxmlformats.org/drawingml/2006/picture">
            <wp:extent cx="5292000" cy="332337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92000" cy="3323376"/>
                    </a:xfrm>
                    <a:prstGeom prst="rect"/>
                  </pic:spPr>
                </pic:pic>
              </a:graphicData>
            </a:graphic>
          </wp:inline>
        </w:drawing>
      </w:r>
    </w:p>
    <w:p>
      <w:pPr>
        <w:pStyle w:val="Caption"/>
      </w:pPr>
      <w:r>
        <w:t>Figura 1. Circuitul principal și sursele sale de cunoaștere. Săgeata întreruptă reprezintă o actualizare autorizată, nu memorarea automată a oricărei concluzii sau ipoteze.</w:t>
      </w:r>
    </w:p>
    <w:p>
      <w:pPr>
        <w:jc w:val="both"/>
      </w:pPr>
      <w:r>
        <w:t>Există două bucle de învățare. Bucla rapidă adaugă observații, corectează afirmații și întărește amintirile utilizate legitim. Bucla lentă analizează exemple, propune aliasuri, reguli, pattern-uri sau proceduri și le publică după verificare. Un coding agent poate realiza această a doua funcție folosind documentele ca surse. Publicarea unei proceduri și actualizarea greutăților neuronale sunt două operații diferite.</w:t>
      </w:r>
    </w:p>
    <w:p>
      <w:pPr>
        <w:jc w:val="both"/>
      </w:pPr>
      <w:r>
        <w:t>Sistemul poate avea o bază comună, o memorie de utilizator și un strat de sesiune. Un fork păstrează o vedere a cunoașterii și izolează modificările ulterioare. Acest lucru permite simultan conversații personale și explorări ipotetice. Persistența unei afirmații și autoritatea de a modifica o regulă nu provin din scorul LLM-ului; sunt decizii ale politicii de execuție.</w:t>
      </w:r>
    </w:p>
    <w:p>
      <w:pPr>
        <w:jc w:val="both"/>
      </w:pPr>
      <w:r>
        <w:t>Modelul arhitectural poate fi rezumat astfel: formalizează cererea, leagă o problemă suficientă pentru ea, execută numai semantica declarată și păstrează condițiile în care rezultatul este susținut. Nu rezultă de aici că orice problemă poate fi redusă la un subgraf mic. Dacă premisele relevante nu sunt găsite sau spațiul de căutare nu este explorat complet, această limită trebuie să rămână vizibilă.</w:t>
      </w:r>
    </w:p>
    <w:p>
      <w:pPr>
        <w:pStyle w:val="Heading1"/>
      </w:pPr>
      <w:r>
        <w:t>4. SOP Lang ca reprezentare intermediară comună</w:t>
      </w:r>
    </w:p>
    <w:p>
      <w:pPr>
        <w:pStyle w:val="Heading2"/>
      </w:pPr>
      <w:r>
        <w:t>4.1. Ce este un fir</w:t>
      </w:r>
    </w:p>
    <w:p>
      <w:pPr>
        <w:jc w:val="both"/>
      </w:pPr>
      <w:r>
        <w:t xml:space="preserve">În această lucrare, un fir este o declarație numită care asociază un tip de interpretare cu un conținut și, după caz, cu un rezultat. Nu este numai o muchie a grafului. Declarația </w:t>
      </w:r>
      <w:r>
        <w:rPr>
          <w:rFonts w:ascii="Liberation Mono" w:hAnsi="Liberation Mono"/>
          <w:sz w:val="19"/>
        </w:rPr>
        <w:t>@nume tip</w:t>
      </w:r>
      <w:r>
        <w:t xml:space="preserve"> introduce firul; </w:t>
      </w:r>
      <w:r>
        <w:rPr>
          <w:rFonts w:ascii="Liberation Mono" w:hAnsi="Liberation Mono"/>
          <w:sz w:val="19"/>
        </w:rPr>
        <w:t>$nume</w:t>
      </w:r>
      <w:r>
        <w:t xml:space="preserve"> consumă valoarea sa și creează o dependență; </w:t>
      </w:r>
      <w:r>
        <w:rPr>
          <w:rFonts w:ascii="Liberation Mono" w:hAnsi="Liberation Mono"/>
          <w:sz w:val="19"/>
        </w:rPr>
        <w:t>~nume</w:t>
      </w:r>
      <w:r>
        <w:t xml:space="preserve"> referă o definiție aprobată; </w:t>
      </w:r>
      <w:r>
        <w:rPr>
          <w:rFonts w:ascii="Liberation Mono" w:hAnsi="Liberation Mono"/>
          <w:sz w:val="19"/>
        </w:rPr>
        <w:t>?x</w:t>
      </w:r>
      <w:r>
        <w:t xml:space="preserve"> este o variabilă logică locală. Graful de dependențe este construit din referințele la valori. Tipul de fir indică ce operație sau categorie de cunoaștere este permisă.</w:t>
      </w:r>
    </w:p>
    <w:p>
      <w:pPr>
        <w:jc w:val="both"/>
      </w:pPr>
      <w:r>
        <w:t>Corpul unui fir nu trebuie să aibă aceeași gramatică pentru orice interpretor posibil. Profilul executabil trebuie însă să-i definească neambiguu câmpurile, tipurile, efectele și forma rezultatului. În implementarea actuală, parserul produce un AST tipizat, apoi verificările semantice construiesc obiectele consumate de backend-uri. Aceste obiecte interne nu sunt un al doilea limbaj pe care LLM-ul trebuie să îl învețe.</w:t>
      </w:r>
    </w:p>
    <w:p>
      <w:pPr>
        <w:pStyle w:val="Caption"/>
      </w:pPr>
      <w:r>
        <w:t>Tabelul 1. Familii de fire și separările semantice pe care le impun.</w:t>
      </w:r>
    </w:p>
    <w:tbl>
      <w:tblPr>
        <w:tblW w:type="auto" w:w="0"/>
        <w:tblLayout w:type="fixed"/>
        <w:tblLook w:firstColumn="1" w:firstRow="1" w:lastColumn="0" w:lastRow="0" w:noHBand="0" w:noVBand="1" w:val="04A0"/>
      </w:tblPr>
      <w:tblGrid>
        <w:gridCol w:w="2948"/>
        <w:gridCol w:w="6576"/>
      </w:tblGrid>
      <w:tr>
        <w:trPr>
          <w:cantSplit/>
          <w:tblHeader/>
        </w:trPr>
        <w:tc>
          <w:tcPr>
            <w:tcW w:type="dxa" w:w="2948"/>
            <w:tcMar>
              <w:top w:w="80" w:type="dxa"/>
              <w:left w:w="80" w:type="dxa"/>
              <w:bottom w:w="80" w:type="dxa"/>
              <w:right w:w="80" w:type="dxa"/>
            </w:tcMar>
            <w:shd w:fill="E9E9E9"/>
          </w:tcPr>
          <w:p>
            <w:pPr>
              <w:spacing w:after="60" w:line="245" w:lineRule="auto"/>
            </w:pPr>
            <w:r>
              <w:rPr>
                <w:b/>
                <w:sz w:val="19"/>
              </w:rPr>
              <w:t>Familie și exemple</w:t>
            </w:r>
          </w:p>
        </w:tc>
        <w:tc>
          <w:tcPr>
            <w:tcW w:type="dxa" w:w="6576"/>
            <w:tcMar>
              <w:top w:w="80" w:type="dxa"/>
              <w:left w:w="80" w:type="dxa"/>
              <w:bottom w:w="80" w:type="dxa"/>
              <w:right w:w="80" w:type="dxa"/>
            </w:tcMar>
            <w:shd w:fill="E9E9E9"/>
          </w:tcPr>
          <w:p>
            <w:pPr>
              <w:spacing w:after="60" w:line="245" w:lineRule="auto"/>
            </w:pPr>
            <w:r>
              <w:rPr>
                <w:b/>
                <w:sz w:val="19"/>
              </w:rPr>
              <w:t>Contract conceptual</w:t>
            </w:r>
          </w:p>
        </w:tc>
      </w:tr>
      <w:tr>
        <w:trPr>
          <w:cantSplit/>
        </w:trPr>
        <w:tc>
          <w:tcPr>
            <w:tcW w:type="dxa" w:w="2948"/>
            <w:tcMar>
              <w:top w:w="80" w:type="dxa"/>
              <w:left w:w="80" w:type="dxa"/>
              <w:bottom w:w="80" w:type="dxa"/>
              <w:right w:w="80" w:type="dxa"/>
            </w:tcMar>
            <w:shd w:fill="FFFFFF"/>
          </w:tcPr>
          <w:p>
            <w:pPr>
              <w:spacing w:after="60" w:line="245" w:lineRule="auto"/>
            </w:pPr>
            <w:r>
              <w:rPr>
                <w:b w:val="0"/>
                <w:sz w:val="19"/>
              </w:rPr>
              <w:t>Cunoaștere: fact, event, rule</w:t>
            </w:r>
          </w:p>
        </w:tc>
        <w:tc>
          <w:tcPr>
            <w:tcW w:type="dxa" w:w="6576"/>
            <w:tcMar>
              <w:top w:w="80" w:type="dxa"/>
              <w:left w:w="80" w:type="dxa"/>
              <w:bottom w:w="80" w:type="dxa"/>
              <w:right w:w="80" w:type="dxa"/>
            </w:tcMar>
            <w:shd w:fill="FFFFFF"/>
          </w:tcPr>
          <w:p>
            <w:pPr>
              <w:spacing w:after="60" w:line="245" w:lineRule="auto"/>
            </w:pPr>
            <w:r>
              <w:rPr>
                <w:b w:val="0"/>
                <w:sz w:val="19"/>
              </w:rPr>
              <w:t>Un fact este o afirmație admisă cu sursă și interval. Un event de actualizare încheie, retractează sau corectează un claim. O rule este o implicație aprobată, nu o corelație observată.</w:t>
            </w:r>
          </w:p>
        </w:tc>
      </w:tr>
      <w:tr>
        <w:trPr>
          <w:cantSplit/>
        </w:trPr>
        <w:tc>
          <w:tcPr>
            <w:tcW w:type="dxa" w:w="2948"/>
            <w:tcMar>
              <w:top w:w="80" w:type="dxa"/>
              <w:left w:w="80" w:type="dxa"/>
              <w:bottom w:w="80" w:type="dxa"/>
              <w:right w:w="80" w:type="dxa"/>
            </w:tcMar>
            <w:shd w:fill="F8F8F8"/>
          </w:tcPr>
          <w:p>
            <w:pPr>
              <w:spacing w:after="60" w:line="245" w:lineRule="auto"/>
            </w:pPr>
            <w:r>
              <w:rPr>
                <w:b w:val="0"/>
                <w:sz w:val="19"/>
              </w:rPr>
              <w:t>Explorare: trace, pattern, hypothesis</w:t>
            </w:r>
          </w:p>
        </w:tc>
        <w:tc>
          <w:tcPr>
            <w:tcW w:type="dxa" w:w="6576"/>
            <w:tcMar>
              <w:top w:w="80" w:type="dxa"/>
              <w:left w:w="80" w:type="dxa"/>
              <w:bottom w:w="80" w:type="dxa"/>
              <w:right w:w="80" w:type="dxa"/>
            </w:tcMar>
            <w:shd w:fill="F8F8F8"/>
          </w:tcPr>
          <w:p>
            <w:pPr>
              <w:spacing w:after="60" w:line="245" w:lineRule="auto"/>
            </w:pPr>
            <w:r>
              <w:rPr>
                <w:b w:val="0"/>
                <w:sz w:val="19"/>
              </w:rPr>
              <w:t>Păstrează experiențe, regularități și presupuneri. Evaluarea sau familiaritatea lor nu le convertește automat în fapte ori reguli.</w:t>
            </w:r>
          </w:p>
        </w:tc>
      </w:tr>
      <w:tr>
        <w:trPr>
          <w:cantSplit/>
        </w:trPr>
        <w:tc>
          <w:tcPr>
            <w:tcW w:type="dxa" w:w="2948"/>
            <w:tcMar>
              <w:top w:w="80" w:type="dxa"/>
              <w:left w:w="80" w:type="dxa"/>
              <w:bottom w:w="80" w:type="dxa"/>
              <w:right w:w="80" w:type="dxa"/>
            </w:tcMar>
            <w:shd w:fill="FFFFFF"/>
          </w:tcPr>
          <w:p>
            <w:pPr>
              <w:spacing w:after="60" w:line="245" w:lineRule="auto"/>
            </w:pPr>
            <w:r>
              <w:rPr>
                <w:b w:val="0"/>
                <w:sz w:val="19"/>
              </w:rPr>
              <w:t>Scopuri: query, constraint, goal</w:t>
            </w:r>
          </w:p>
        </w:tc>
        <w:tc>
          <w:tcPr>
            <w:tcW w:type="dxa" w:w="6576"/>
            <w:tcMar>
              <w:top w:w="80" w:type="dxa"/>
              <w:left w:w="80" w:type="dxa"/>
              <w:bottom w:w="80" w:type="dxa"/>
              <w:right w:w="80" w:type="dxa"/>
            </w:tcMar>
            <w:shd w:fill="FFFFFF"/>
          </w:tcPr>
          <w:p>
            <w:pPr>
              <w:spacing w:after="60" w:line="245" w:lineRule="auto"/>
            </w:pPr>
            <w:r>
              <w:rPr>
                <w:b w:val="0"/>
                <w:sz w:val="19"/>
              </w:rPr>
              <w:t>Separă găsirea răspunsurilor, verificarea restricțiilor și descrierea unei stări dorite. Posibilitatea și necesitatea sunt întrebări distincte.</w:t>
            </w:r>
          </w:p>
        </w:tc>
      </w:tr>
      <w:tr>
        <w:trPr>
          <w:cantSplit/>
        </w:trPr>
        <w:tc>
          <w:tcPr>
            <w:tcW w:type="dxa" w:w="2948"/>
            <w:tcMar>
              <w:top w:w="80" w:type="dxa"/>
              <w:left w:w="80" w:type="dxa"/>
              <w:bottom w:w="80" w:type="dxa"/>
              <w:right w:w="80" w:type="dxa"/>
            </w:tcMar>
            <w:shd w:fill="F8F8F8"/>
          </w:tcPr>
          <w:p>
            <w:pPr>
              <w:spacing w:after="60" w:line="245" w:lineRule="auto"/>
            </w:pPr>
            <w:r>
              <w:rPr>
                <w:b w:val="0"/>
                <w:sz w:val="19"/>
              </w:rPr>
              <w:t>Compoziție: procedure, expand, pack</w:t>
            </w:r>
          </w:p>
        </w:tc>
        <w:tc>
          <w:tcPr>
            <w:tcW w:type="dxa" w:w="6576"/>
            <w:tcMar>
              <w:top w:w="80" w:type="dxa"/>
              <w:left w:w="80" w:type="dxa"/>
              <w:bottom w:w="80" w:type="dxa"/>
              <w:right w:w="80" w:type="dxa"/>
            </w:tcMar>
            <w:shd w:fill="F8F8F8"/>
          </w:tcPr>
          <w:p>
            <w:pPr>
              <w:spacing w:after="60" w:line="245" w:lineRule="auto"/>
            </w:pPr>
            <w:r>
              <w:rPr>
                <w:b w:val="0"/>
                <w:sz w:val="19"/>
              </w:rPr>
              <w:t>Definițiile aprobate sunt instanțiate igienic. Colecțiile grupează obiecte, fără să le schimbe statutul epistemic.</w:t>
            </w:r>
          </w:p>
        </w:tc>
      </w:tr>
      <w:tr>
        <w:trPr>
          <w:cantSplit/>
        </w:trPr>
        <w:tc>
          <w:tcPr>
            <w:tcW w:type="dxa" w:w="2948"/>
            <w:tcMar>
              <w:top w:w="80" w:type="dxa"/>
              <w:left w:w="80" w:type="dxa"/>
              <w:bottom w:w="80" w:type="dxa"/>
              <w:right w:w="80" w:type="dxa"/>
            </w:tcMar>
            <w:shd w:fill="FFFFFF"/>
          </w:tcPr>
          <w:p>
            <w:pPr>
              <w:spacing w:after="60" w:line="245" w:lineRule="auto"/>
            </w:pPr>
            <w:r>
              <w:rPr>
                <w:b w:val="0"/>
                <w:sz w:val="19"/>
              </w:rPr>
              <w:t>Execuție: recall, link, solve, reason</w:t>
            </w:r>
          </w:p>
        </w:tc>
        <w:tc>
          <w:tcPr>
            <w:tcW w:type="dxa" w:w="6576"/>
            <w:tcMar>
              <w:top w:w="80" w:type="dxa"/>
              <w:left w:w="80" w:type="dxa"/>
              <w:bottom w:w="80" w:type="dxa"/>
              <w:right w:w="80" w:type="dxa"/>
            </w:tcMar>
            <w:shd w:fill="FFFFFF"/>
          </w:tcPr>
          <w:p>
            <w:pPr>
              <w:spacing w:after="60" w:line="245" w:lineRule="auto"/>
            </w:pPr>
            <w:r>
              <w:rPr>
                <w:b w:val="0"/>
                <w:sz w:val="19"/>
              </w:rPr>
              <w:t>Recuperarea produce candidați și acoperire; linkerul stabilește premisele; interpretarea produce rezultate și justificări.</w:t>
            </w:r>
          </w:p>
        </w:tc>
      </w:tr>
      <w:tr>
        <w:trPr>
          <w:cantSplit/>
        </w:trPr>
        <w:tc>
          <w:tcPr>
            <w:tcW w:type="dxa" w:w="2948"/>
            <w:tcMar>
              <w:top w:w="80" w:type="dxa"/>
              <w:left w:w="80" w:type="dxa"/>
              <w:bottom w:w="80" w:type="dxa"/>
              <w:right w:w="80" w:type="dxa"/>
            </w:tcMar>
            <w:shd w:fill="F8F8F8"/>
          </w:tcPr>
          <w:p>
            <w:pPr>
              <w:spacing w:after="60" w:line="245" w:lineRule="auto"/>
            </w:pPr>
            <w:r>
              <w:rPr>
                <w:b w:val="0"/>
                <w:sz w:val="19"/>
              </w:rPr>
              <w:t>Explorare executabilă: abduce, diagnose, induce, plan, whatif, counterfactual</w:t>
            </w:r>
          </w:p>
        </w:tc>
        <w:tc>
          <w:tcPr>
            <w:tcW w:type="dxa" w:w="6576"/>
            <w:tcMar>
              <w:top w:w="80" w:type="dxa"/>
              <w:left w:w="80" w:type="dxa"/>
              <w:bottom w:w="80" w:type="dxa"/>
              <w:right w:w="80" w:type="dxa"/>
            </w:tcMar>
            <w:shd w:fill="F8F8F8"/>
          </w:tcPr>
          <w:p>
            <w:pPr>
              <w:spacing w:after="60" w:line="245" w:lineRule="auto"/>
            </w:pPr>
            <w:r>
              <w:rPr>
                <w:b w:val="0"/>
                <w:sz w:val="19"/>
              </w:rPr>
              <w:t>Operații cu semantici și limite declarate. Un plan simulat sau o ipoteză explicativă nu este o observație a lumii reale.</w:t>
            </w:r>
          </w:p>
        </w:tc>
      </w:tr>
      <w:tr>
        <w:trPr>
          <w:cantSplit/>
        </w:trPr>
        <w:tc>
          <w:tcPr>
            <w:tcW w:type="dxa" w:w="2948"/>
            <w:tcMar>
              <w:top w:w="80" w:type="dxa"/>
              <w:left w:w="80" w:type="dxa"/>
              <w:bottom w:w="80" w:type="dxa"/>
              <w:right w:w="80" w:type="dxa"/>
            </w:tcMar>
            <w:shd w:fill="FFFFFF"/>
          </w:tcPr>
          <w:p>
            <w:pPr>
              <w:spacing w:after="60" w:line="245" w:lineRule="auto"/>
            </w:pPr>
            <w:r>
              <w:rPr>
                <w:b w:val="0"/>
                <w:sz w:val="19"/>
              </w:rPr>
              <w:t>Valori și efecte: value, jsEval, assert, cnl</w:t>
            </w:r>
          </w:p>
        </w:tc>
        <w:tc>
          <w:tcPr>
            <w:tcW w:type="dxa" w:w="6576"/>
            <w:tcMar>
              <w:top w:w="80" w:type="dxa"/>
              <w:left w:w="80" w:type="dxa"/>
              <w:bottom w:w="80" w:type="dxa"/>
              <w:right w:w="80" w:type="dxa"/>
            </w:tcMar>
            <w:shd w:fill="FFFFFF"/>
          </w:tcPr>
          <w:p>
            <w:pPr>
              <w:spacing w:after="60" w:line="245" w:lineRule="auto"/>
            </w:pPr>
            <w:r>
              <w:rPr>
                <w:b w:val="0"/>
                <w:sz w:val="19"/>
              </w:rPr>
              <w:t>Procesările locale sunt restrânse; assert face scrierea explicită; CNL exprimă rezultatul, nu îl demonstrează.</w:t>
            </w:r>
          </w:p>
        </w:tc>
      </w:tr>
    </w:tbl>
    <w:p>
      <w:pPr>
        <w:spacing w:after="20"/>
        <w:jc w:val="both"/>
      </w:pPr>
      <w:r/>
    </w:p>
    <w:p>
      <w:pPr>
        <w:jc w:val="both"/>
      </w:pPr>
      <w:r>
        <w:t xml:space="preserve">Extensibilitatea nu înseamnă că toate backend-urile acceptă toate tipurile. Un interpretor deductiv poate lăsa nefolosit un pattern exploratoriu, declarând acest lucru. Nu poate elimina o restricție obligatorie, o negație sau intervalul unei premise pentru a face problema mai ușor de rezolvat. Un profil necunoscut produce </w:t>
      </w:r>
      <w:r>
        <w:rPr>
          <w:rFonts w:ascii="Liberation Mono" w:hAnsi="Liberation Mono"/>
          <w:sz w:val="19"/>
        </w:rPr>
        <w:t>unsupported</w:t>
      </w:r>
      <w:r>
        <w:t>; oprirea la buget produce un rezultat incomplet. Acest contract este mai important decât numărul curent de tipuri.</w:t>
      </w:r>
    </w:p>
    <w:p>
      <w:pPr>
        <w:jc w:val="both"/>
      </w:pPr>
      <w:r>
        <w:t>Profilul implementat folosește atomi cu aritate limitată, reguli Horn sigure și domenii finite pentru motorul simplu. Evenimentele complexe pot fi reificate: un ID identifică evenimentul, iar participanții și rolurile sunt descriși prin fapte legate de acel ID. Limitele acestui profil nu sunt prezentate drept expresivitate completă a logicii. Extensiile trebuie să declare ce semantică adaugă și care interpretoare o pot executa.</w:t>
      </w:r>
    </w:p>
    <w:p>
      <w:pPr>
        <w:pStyle w:val="Heading2"/>
      </w:pPr>
      <w:r>
        <w:t>4.2. De la necunoscut logic la ieșire executabilă</w:t>
      </w:r>
    </w:p>
    <w:p>
      <w:pPr>
        <w:jc w:val="both"/>
      </w:pPr>
      <w:r>
        <w:t xml:space="preserve">O necunoscută din întrebare nu este încă o valoare a circuitului. Declarația </w:t>
      </w:r>
      <w:r>
        <w:rPr>
          <w:rFonts w:ascii="Liberation Mono" w:hAnsi="Liberation Mono"/>
          <w:sz w:val="19"/>
        </w:rPr>
        <w:t>output ?who one</w:t>
      </w:r>
      <w:r>
        <w:t xml:space="preserve"> rezervă un rezultat care va fi materializat după rezolvare. Nu este necesară o declarație manuală </w:t>
      </w:r>
      <w:r>
        <w:rPr>
          <w:rFonts w:ascii="Liberation Mono" w:hAnsi="Liberation Mono"/>
          <w:sz w:val="19"/>
        </w:rPr>
        <w:t>@who</w:t>
      </w:r>
      <w:r>
        <w:t>. Variabilele intermediare din reguli rămân locale și sunt redenumite la instanțiere; două variabile cu același text, aflate în module diferite, nu devin accidental identice.</w:t>
      </w:r>
    </w:p>
    <w:p>
      <w:pPr>
        <w:jc w:val="both"/>
      </w:pPr>
      <w:r>
        <w:t xml:space="preserve">Exemplul 1 presupune o bibliotecă în care predicatele </w:t>
      </w:r>
      <w:r>
        <w:rPr>
          <w:rFonts w:ascii="Liberation Mono" w:hAnsi="Liberation Mono"/>
          <w:sz w:val="19"/>
        </w:rPr>
        <w:t>parent</w:t>
      </w:r>
      <w:r>
        <w:t xml:space="preserve"> și </w:t>
      </w:r>
      <w:r>
        <w:rPr>
          <w:rFonts w:ascii="Liberation Mono" w:hAnsi="Liberation Mono"/>
          <w:sz w:val="19"/>
        </w:rPr>
        <w:t>grandparent</w:t>
      </w:r>
      <w:r>
        <w:t xml:space="preserve"> sunt definite. Faptele și regula de la început sunt publicate prin ingestia aprobată; partea de query este programul emis pentru cererea utilizatorului. Separarea arată ce vine din memorie și ce trebuie generat la fiecare întrebare.</w:t>
      </w:r>
    </w:p>
    <w:p>
      <w:pPr>
        <w:pStyle w:val="Caption"/>
      </w:pPr>
      <w:r>
        <w:t>Exemplul 1. Definiții recuperabile și circuitul unei întrebări. Numele persoanelor sunt identificatori sintetici.</w:t>
      </w:r>
    </w:p>
    <w:p>
      <w:pPr>
        <w:pStyle w:val="SOPCode"/>
        <w:keepNext/>
        <w:shd w:fill="F5F5F5"/>
      </w:pPr>
      <w:r>
        <w:t># Cunoaștere aprobată și ingerată anterior</w:t>
      </w:r>
    </w:p>
    <w:p>
      <w:pPr>
        <w:pStyle w:val="SOPCode"/>
        <w:keepNext/>
        <w:shd w:fill="F5F5F5"/>
      </w:pPr>
      <w:r>
        <w:t>@f1 fact</w:t>
      </w:r>
    </w:p>
    <w:p>
      <w:pPr>
        <w:pStyle w:val="SOPCode"/>
        <w:keepNext/>
        <w:shd w:fill="F5F5F5"/>
      </w:pPr>
      <w:r>
        <w:t xml:space="preserve">  holds parent(ana, bogdan)</w:t>
      </w:r>
    </w:p>
    <w:p>
      <w:pPr>
        <w:pStyle w:val="SOPCode"/>
        <w:keepNext/>
        <w:shd w:fill="F5F5F5"/>
      </w:pPr>
      <w:r>
        <w:t xml:space="preserve">  valid timeless</w:t>
      </w:r>
    </w:p>
    <w:p>
      <w:pPr>
        <w:pStyle w:val="SOPCode"/>
        <w:keepNext/>
        <w:shd w:fill="F5F5F5"/>
      </w:pPr>
      <w:r>
        <w:t xml:space="preserve">  source synthetic</w:t>
      </w:r>
    </w:p>
    <w:p>
      <w:pPr>
        <w:pStyle w:val="SOPCode"/>
        <w:keepNext/>
        <w:shd w:fill="F5F5F5"/>
      </w:pPr>
      <w:r>
        <w:t>@f2 fact</w:t>
      </w:r>
    </w:p>
    <w:p>
      <w:pPr>
        <w:pStyle w:val="SOPCode"/>
        <w:keepNext/>
        <w:shd w:fill="F5F5F5"/>
      </w:pPr>
      <w:r>
        <w:t xml:space="preserve">  holds parent(bogdan, carina)</w:t>
      </w:r>
    </w:p>
    <w:p>
      <w:pPr>
        <w:pStyle w:val="SOPCode"/>
        <w:keepNext/>
        <w:shd w:fill="F5F5F5"/>
      </w:pPr>
      <w:r>
        <w:t xml:space="preserve">  valid timeless</w:t>
      </w:r>
    </w:p>
    <w:p>
      <w:pPr>
        <w:pStyle w:val="SOPCode"/>
        <w:keepNext/>
        <w:shd w:fill="F5F5F5"/>
      </w:pPr>
      <w:r>
        <w:t xml:space="preserve">  source synthetic</w:t>
      </w:r>
    </w:p>
    <w:p>
      <w:pPr>
        <w:pStyle w:val="SOPCode"/>
        <w:keepNext/>
        <w:shd w:fill="F5F5F5"/>
      </w:pPr>
      <w:r>
        <w:t>@r rule</w:t>
      </w:r>
    </w:p>
    <w:p>
      <w:pPr>
        <w:pStyle w:val="SOPCode"/>
        <w:keepNext/>
        <w:shd w:fill="F5F5F5"/>
      </w:pPr>
      <w:r>
        <w:t xml:space="preserve">  when parent(?x, ?y)</w:t>
      </w:r>
    </w:p>
    <w:p>
      <w:pPr>
        <w:pStyle w:val="SOPCode"/>
        <w:keepNext/>
        <w:shd w:fill="F5F5F5"/>
      </w:pPr>
      <w:r>
        <w:t xml:space="preserve">  when parent(?y, ?z)</w:t>
      </w:r>
    </w:p>
    <w:p>
      <w:pPr>
        <w:pStyle w:val="SOPCode"/>
        <w:keepNext/>
        <w:shd w:fill="F5F5F5"/>
      </w:pPr>
      <w:r>
        <w:t xml:space="preserve">  then grandparent(?x, ?z)</w:t>
      </w:r>
    </w:p>
    <w:p>
      <w:pPr>
        <w:pStyle w:val="SOPCode"/>
        <w:keepNext/>
        <w:shd w:fill="F5F5F5"/>
      </w:pPr>
      <w:r/>
    </w:p>
    <w:p>
      <w:pPr>
        <w:pStyle w:val="SOPCode"/>
        <w:keepNext/>
        <w:shd w:fill="F5F5F5"/>
      </w:pPr>
      <w:r>
        <w:t># Circuitul cererii curente</w:t>
      </w:r>
    </w:p>
    <w:p>
      <w:pPr>
        <w:pStyle w:val="SOPCode"/>
        <w:keepNext/>
        <w:shd w:fill="F5F5F5"/>
      </w:pPr>
      <w:r>
        <w:t>@q query</w:t>
      </w:r>
    </w:p>
    <w:p>
      <w:pPr>
        <w:pStyle w:val="SOPCode"/>
        <w:keepNext/>
        <w:shd w:fill="F5F5F5"/>
      </w:pPr>
      <w:r>
        <w:t xml:space="preserve">  select ?who</w:t>
      </w:r>
    </w:p>
    <w:p>
      <w:pPr>
        <w:pStyle w:val="SOPCode"/>
        <w:keepNext/>
        <w:shd w:fill="F5F5F5"/>
      </w:pPr>
      <w:r>
        <w:t xml:space="preserve">  where grandparent(?who, carina)</w:t>
      </w:r>
    </w:p>
    <w:p>
      <w:pPr>
        <w:pStyle w:val="SOPCode"/>
        <w:keepNext/>
        <w:shd w:fill="F5F5F5"/>
      </w:pPr>
      <w:r>
        <w:t>@result solve</w:t>
      </w:r>
    </w:p>
    <w:p>
      <w:pPr>
        <w:pStyle w:val="SOPCode"/>
        <w:keepNext/>
        <w:shd w:fill="F5F5F5"/>
      </w:pPr>
      <w:r>
        <w:t xml:space="preserve">  query $q</w:t>
      </w:r>
    </w:p>
    <w:p>
      <w:pPr>
        <w:pStyle w:val="SOPCode"/>
        <w:keepNext/>
        <w:shd w:fill="F5F5F5"/>
      </w:pPr>
      <w:r>
        <w:t xml:space="preserve">  output ?who one</w:t>
      </w:r>
    </w:p>
    <w:p>
      <w:pPr>
        <w:pStyle w:val="SOPCode"/>
        <w:keepNext/>
        <w:shd w:fill="F5F5F5"/>
      </w:pPr>
      <w:r>
        <w:t>@label jsEval</w:t>
      </w:r>
    </w:p>
    <w:p>
      <w:pPr>
        <w:pStyle w:val="SOPCode"/>
        <w:keepNext/>
        <w:shd w:fill="F5F5F5"/>
      </w:pPr>
      <w:r>
        <w:t xml:space="preserve">  expr "Persoana găsită: " + $who</w:t>
      </w:r>
    </w:p>
    <w:p>
      <w:pPr>
        <w:pStyle w:val="SOPCode"/>
        <w:keepNext/>
        <w:shd w:fill="F5F5F5"/>
      </w:pPr>
      <w:r>
        <w:t>@answer cnl</w:t>
      </w:r>
    </w:p>
    <w:p>
      <w:pPr>
        <w:pStyle w:val="SOPCode"/>
        <w:keepNext/>
        <w:shd w:fill="F5F5F5"/>
      </w:pPr>
      <w:r>
        <w:t xml:space="preserve">  result $result</w:t>
      </w:r>
    </w:p>
    <w:p>
      <w:pPr>
        <w:pStyle w:val="SOPCode"/>
        <w:keepNext w:val="0"/>
        <w:shd w:fill="F5F5F5"/>
      </w:pPr>
      <w:r>
        <w:t xml:space="preserve">  language ro</w:t>
      </w:r>
    </w:p>
    <w:p>
      <w:pPr>
        <w:spacing w:after="20"/>
        <w:jc w:val="both"/>
      </w:pPr>
      <w:r/>
    </w:p>
    <w:p>
      <w:pPr>
        <w:jc w:val="both"/>
      </w:pPr>
      <w:r>
        <w:t xml:space="preserve">Modul </w:t>
      </w:r>
      <w:r>
        <w:rPr>
          <w:rFonts w:ascii="Liberation Mono" w:hAnsi="Liberation Mono"/>
          <w:sz w:val="19"/>
        </w:rPr>
        <w:t>one</w:t>
      </w:r>
      <w:r>
        <w:t xml:space="preserve"> cere o singură valoare distinctă în rezultatele admise și în domeniul de căutare declarat. Dacă două persoane satisfac query-ul, runtime-ul nu alege arbitrar una. Modul </w:t>
      </w:r>
      <w:r>
        <w:rPr>
          <w:rFonts w:ascii="Liberation Mono" w:hAnsi="Liberation Mono"/>
          <w:sz w:val="19"/>
        </w:rPr>
        <w:t>many</w:t>
      </w:r>
      <w:r>
        <w:t xml:space="preserve"> expune o colecție, iar </w:t>
      </w:r>
      <w:r>
        <w:rPr>
          <w:rFonts w:ascii="Liberation Mono" w:hAnsi="Liberation Mono"/>
          <w:sz w:val="19"/>
        </w:rPr>
        <w:t>rows</w:t>
      </w:r>
      <w:r>
        <w:t xml:space="preserve"> păstrează împreună variabilele corelate ale fiecărui răspuns. Dacă recuperarea este incompletă, unicitatea observată nu trebuie reformulată ca unicitate globală în întreaga cunoaștere.</w:t>
      </w:r>
    </w:p>
    <w:p>
      <w:pPr>
        <w:jc w:val="both"/>
      </w:pPr>
      <w:r>
        <w:t>Graful este stabil pe durata unei epoci de execuție. Instanțierea unei proceduri sau materializarea unor ieșiri adaugă un subgraf care este verificat înaintea continuării. Unicitatea producătorilor, dependențele și eventualele cicluri sunt controlate explicit. Aceasta este metaprogramare controlată a circuitului, nu modificare arbitrară a codului în timpul evaluării.</w:t>
      </w:r>
    </w:p>
    <w:p>
      <w:pPr>
        <w:pStyle w:val="Heading2"/>
      </w:pPr>
      <w:r>
        <w:t>4.3. Linkerul elimină saltul dintre retrieval și solver</w:t>
      </w:r>
    </w:p>
    <w:p>
      <w:pPr>
        <w:jc w:val="both"/>
      </w:pPr>
      <w:r>
        <w:t xml:space="preserve">Pentru </w:t>
      </w:r>
      <w:r>
        <w:rPr>
          <w:rFonts w:ascii="Liberation Mono" w:hAnsi="Liberation Mono"/>
          <w:sz w:val="19"/>
        </w:rPr>
        <w:t>grandparent(?who, carina)</w:t>
      </w:r>
      <w:r>
        <w:t xml:space="preserve">, linkerul caută reguli cu o concluzie unificabilă. În exemplu, leagă </w:t>
      </w:r>
      <w:r>
        <w:rPr>
          <w:rFonts w:ascii="Liberation Mono" w:hAnsi="Liberation Mono"/>
          <w:sz w:val="19"/>
        </w:rPr>
        <w:t>?z</w:t>
      </w:r>
      <w:r>
        <w:t xml:space="preserve"> la </w:t>
      </w:r>
      <w:r>
        <w:rPr>
          <w:rFonts w:ascii="Liberation Mono" w:hAnsi="Liberation Mono"/>
          <w:sz w:val="19"/>
        </w:rPr>
        <w:t>carina</w:t>
      </w:r>
      <w:r>
        <w:t xml:space="preserve">, iar corpul regulii produce subscopurile </w:t>
      </w:r>
      <w:r>
        <w:rPr>
          <w:rFonts w:ascii="Liberation Mono" w:hAnsi="Liberation Mono"/>
          <w:sz w:val="19"/>
        </w:rPr>
        <w:t>parent(?x, ?y)</w:t>
      </w:r>
      <w:r>
        <w:t xml:space="preserve"> și </w:t>
      </w:r>
      <w:r>
        <w:rPr>
          <w:rFonts w:ascii="Liberation Mono" w:hAnsi="Liberation Mono"/>
          <w:sz w:val="19"/>
        </w:rPr>
        <w:t>parent(?y, carina)</w:t>
      </w:r>
      <w:r>
        <w:t xml:space="preserve">. Strategia de memorie recuperează premisele disponibile. Reasoner-ul impune aceeași valoare pentru </w:t>
      </w:r>
      <w:r>
        <w:rPr>
          <w:rFonts w:ascii="Liberation Mono" w:hAnsi="Liberation Mono"/>
          <w:sz w:val="19"/>
        </w:rPr>
        <w:t>?y</w:t>
      </w:r>
      <w:r>
        <w:t xml:space="preserve"> în ambele premise și obține </w:t>
      </w:r>
      <w:r>
        <w:rPr>
          <w:rFonts w:ascii="Liberation Mono" w:hAnsi="Liberation Mono"/>
          <w:sz w:val="19"/>
        </w:rPr>
        <w:t>?who = ana</w:t>
      </w:r>
      <w:r>
        <w:t>. Soluția nu rezultă din similaritate lexicală, ci din unificare și satisfacerea întregului corp al regulii.</w:t>
      </w:r>
    </w:p>
    <w:p>
      <w:pPr>
        <w:jc w:val="both"/>
      </w:pPr>
      <w:r>
        <w:t>Dacă o premisă poate fi derivată prin altă regulă, explorarea continuă. Linkerul urmărește scopurile deja vizitate și propagă constantele cunoscute; bugetul controlează expansiunea. Procedurile recuperate pot furniza direct structura unei probleme compuse. Nu presupunem că solverul știe să interogheze singur toate memoriile și nici că linkerul găsește o regulă care nu există în bibliotecă.</w:t>
      </w:r>
    </w:p>
    <w:p>
      <w:pPr>
        <w:pStyle w:val="Heading2"/>
      </w:pPr>
      <w:r>
        <w:t>4.4. Compilare și păstrarea sensului</w:t>
      </w:r>
    </w:p>
    <w:p>
      <w:pPr>
        <w:jc w:val="both"/>
      </w:pPr>
      <w:r>
        <w:t>Aceeași regulă Horn poate fi executată de kernelul JS sau compilată către Prolog. Tabling-ul din SWI-Prolog reutilizează răspunsuri și gestionează anumite recursii care ar bucla în evaluarea obișnuită [16]. O restricție numerică este coborâtă către un evaluator finit ori către Z3 [17]. Schimbarea backend-ului este permisă numai pentru profilul comun declarat; semantica timpului, a negației și a proiecțiilor trebuie păstrată.</w:t>
      </w:r>
    </w:p>
    <w:p>
      <w:pPr>
        <w:jc w:val="both"/>
      </w:pPr>
      <w:r>
        <w:t xml:space="preserve">Distincția dintre satisfiabilitate și demonstrație este obligatorie. Dacă sosirea poate fi între minutul 840 și minutul 900, condiția «sosire cel târziu la 840» este posibilă, dar nu rezultă din toate modelele admise. Un rezultat </w:t>
      </w:r>
      <w:r>
        <w:rPr>
          <w:rFonts w:ascii="Liberation Mono" w:hAnsi="Liberation Mono"/>
          <w:sz w:val="19"/>
        </w:rPr>
        <w:t>sat</w:t>
      </w:r>
      <w:r>
        <w:t xml:space="preserve"> nu autorizează singur un răspuns afirmativ la o întrebare de necesitate. Într-un circuit mixt, un query poate produce </w:t>
      </w:r>
      <w:r>
        <w:rPr>
          <w:rFonts w:ascii="Liberation Mono" w:hAnsi="Liberation Mono"/>
          <w:sz w:val="19"/>
        </w:rPr>
        <w:t>$duration</w:t>
      </w:r>
      <w:r>
        <w:t>, iar un fir constraint o consumă: legătura dintre motoare este o valoare tipizată, nu o traducere liberă a explicației textuale.</w:t>
      </w:r>
    </w:p>
    <w:p>
      <w:pPr>
        <w:jc w:val="both"/>
      </w:pPr>
      <w:r/>
      <w:r>
        <w:rPr>
          <w:rFonts w:ascii="Liberation Mono" w:hAnsi="Liberation Mono"/>
          <w:sz w:val="19"/>
        </w:rPr>
        <w:t>jsEval</w:t>
      </w:r>
      <w:r>
        <w:t xml:space="preserve"> acoperă operații locale precum normalizarea unui șir sau calculul unui câmp. El nu justifică afirmații despre lume. În implementarea examinată este un evaluator de expresii restrâns, fără acces arbitrar la sistem. Interpretoarele noi sunt extensii aprobate de host; un document ingerat sau un model conversațional nu poate instala cod executabil prin simpla declarare a unui fir.</w:t>
      </w:r>
    </w:p>
    <w:p>
      <w:pPr>
        <w:pStyle w:val="Heading1"/>
      </w:pPr>
      <w:r>
        <w:t>5. Strategiile de memorie</w:t>
      </w:r>
    </w:p>
    <w:p>
      <w:pPr>
        <w:pStyle w:val="Heading2"/>
      </w:pPr>
      <w:r>
        <w:t>5.1. Contract comun, reprezentări diferite</w:t>
      </w:r>
    </w:p>
    <w:p>
      <w:pPr>
        <w:jc w:val="both"/>
      </w:pPr>
      <w:r>
        <w:t>O strategie de memorie primește afirmații canonice și operații autorizate de actualizare. La citire primește un query parțial și întoarce candidați, identități, proveniență, valabilitate și informații despre acoperirea căutării. Linkerul nu depinde de structura fizică a băncii. Biblioteca de reguli și proceduri aprobate este păstrată exact și versionată în toate configurațiile curente.</w:t>
      </w:r>
    </w:p>
    <w:p>
      <w:pPr>
        <w:jc w:val="both"/>
      </w:pPr>
      <w:r>
        <w:t>Schimbarea memoriei nu schimbă intenția query-ului, dar poate schimba ce premise sunt găsite. O strategie exactă poate enumera toate tuplele reținute care satisfac un query suportat; una aproximativă poate pierde candidați. În consecință, independența interfeței nu înseamnă identitate automată a completitudinii. Rezultatul final este întotdeauna raportat la vederea de memorie accesibilă.</w:t>
      </w:r>
    </w:p>
    <w:p>
      <w:pPr>
        <w:pStyle w:val="Caption"/>
      </w:pPr>
      <w:r>
        <w:t>Tabelul 2. Strategii de memorie incluse în modelul arhitectural.</w:t>
      </w:r>
    </w:p>
    <w:tbl>
      <w:tblPr>
        <w:tblW w:type="auto" w:w="0"/>
        <w:tblLayout w:type="fixed"/>
        <w:tblLook w:firstColumn="1" w:firstRow="1" w:lastColumn="0" w:lastRow="0" w:noHBand="0" w:noVBand="1" w:val="04A0"/>
      </w:tblPr>
      <w:tblGrid>
        <w:gridCol w:w="1474"/>
        <w:gridCol w:w="4082"/>
        <w:gridCol w:w="3969"/>
      </w:tblGrid>
      <w:tr>
        <w:trPr>
          <w:cantSplit/>
          <w:tblHeader/>
        </w:trPr>
        <w:tc>
          <w:tcPr>
            <w:tcW w:type="dxa" w:w="1474"/>
            <w:tcMar>
              <w:top w:w="80" w:type="dxa"/>
              <w:left w:w="80" w:type="dxa"/>
              <w:bottom w:w="80" w:type="dxa"/>
              <w:right w:w="80" w:type="dxa"/>
            </w:tcMar>
            <w:shd w:fill="E9E9E9"/>
          </w:tcPr>
          <w:p>
            <w:pPr>
              <w:spacing w:after="60" w:line="245" w:lineRule="auto"/>
            </w:pPr>
            <w:r>
              <w:rPr>
                <w:b/>
                <w:sz w:val="19"/>
              </w:rPr>
              <w:t>Strategie</w:t>
            </w:r>
          </w:p>
        </w:tc>
        <w:tc>
          <w:tcPr>
            <w:tcW w:type="dxa" w:w="4082"/>
            <w:tcMar>
              <w:top w:w="80" w:type="dxa"/>
              <w:left w:w="80" w:type="dxa"/>
              <w:bottom w:w="80" w:type="dxa"/>
              <w:right w:w="80" w:type="dxa"/>
            </w:tcMar>
            <w:shd w:fill="E9E9E9"/>
          </w:tcPr>
          <w:p>
            <w:pPr>
              <w:spacing w:after="60" w:line="245" w:lineRule="auto"/>
            </w:pPr>
            <w:r>
              <w:rPr>
                <w:b/>
                <w:sz w:val="19"/>
              </w:rPr>
              <w:t>Mecanism și utilitate</w:t>
            </w:r>
          </w:p>
        </w:tc>
        <w:tc>
          <w:tcPr>
            <w:tcW w:type="dxa" w:w="3969"/>
            <w:tcMar>
              <w:top w:w="80" w:type="dxa"/>
              <w:left w:w="80" w:type="dxa"/>
              <w:bottom w:w="80" w:type="dxa"/>
              <w:right w:w="80" w:type="dxa"/>
            </w:tcMar>
            <w:shd w:fill="E9E9E9"/>
          </w:tcPr>
          <w:p>
            <w:pPr>
              <w:spacing w:after="60" w:line="245" w:lineRule="auto"/>
            </w:pPr>
            <w:r>
              <w:rPr>
                <w:b/>
                <w:sz w:val="19"/>
              </w:rPr>
              <w:t>Limită dominantă</w:t>
            </w:r>
          </w:p>
        </w:tc>
      </w:tr>
      <w:tr>
        <w:trPr>
          <w:cantSplit/>
        </w:trPr>
        <w:tc>
          <w:tcPr>
            <w:tcW w:type="dxa" w:w="1474"/>
            <w:tcMar>
              <w:top w:w="80" w:type="dxa"/>
              <w:left w:w="80" w:type="dxa"/>
              <w:bottom w:w="80" w:type="dxa"/>
              <w:right w:w="80" w:type="dxa"/>
            </w:tcMar>
            <w:shd w:fill="FFFFFF"/>
          </w:tcPr>
          <w:p>
            <w:pPr>
              <w:spacing w:after="60" w:line="245" w:lineRule="auto"/>
            </w:pPr>
            <w:r>
              <w:rPr>
                <w:b w:val="0"/>
                <w:sz w:val="19"/>
              </w:rPr>
              <w:t>Scanare exactă</w:t>
            </w:r>
          </w:p>
        </w:tc>
        <w:tc>
          <w:tcPr>
            <w:tcW w:type="dxa" w:w="4082"/>
            <w:tcMar>
              <w:top w:w="80" w:type="dxa"/>
              <w:left w:w="80" w:type="dxa"/>
              <w:bottom w:w="80" w:type="dxa"/>
              <w:right w:w="80" w:type="dxa"/>
            </w:tcMar>
            <w:shd w:fill="FFFFFF"/>
          </w:tcPr>
          <w:p>
            <w:pPr>
              <w:spacing w:after="60" w:line="245" w:lineRule="auto"/>
            </w:pPr>
            <w:r>
              <w:rPr>
                <w:b w:val="0"/>
                <w:sz w:val="19"/>
              </w:rPr>
              <w:t>Înregistrări complete, inspectate secvențial. Reper simplu și ușor de verificat.</w:t>
            </w:r>
          </w:p>
        </w:tc>
        <w:tc>
          <w:tcPr>
            <w:tcW w:type="dxa" w:w="3969"/>
            <w:tcMar>
              <w:top w:w="80" w:type="dxa"/>
              <w:left w:w="80" w:type="dxa"/>
              <w:bottom w:w="80" w:type="dxa"/>
              <w:right w:w="80" w:type="dxa"/>
            </w:tcMar>
            <w:shd w:fill="FFFFFF"/>
          </w:tcPr>
          <w:p>
            <w:pPr>
              <w:spacing w:after="60" w:line="245" w:lineRule="auto"/>
            </w:pPr>
            <w:r>
              <w:rPr>
                <w:b w:val="0"/>
                <w:sz w:val="19"/>
              </w:rPr>
              <w:t>Citirea crește cu volumul scanat.</w:t>
            </w:r>
          </w:p>
        </w:tc>
      </w:tr>
      <w:tr>
        <w:trPr>
          <w:cantSplit/>
        </w:trPr>
        <w:tc>
          <w:tcPr>
            <w:tcW w:type="dxa" w:w="1474"/>
            <w:tcMar>
              <w:top w:w="80" w:type="dxa"/>
              <w:left w:w="80" w:type="dxa"/>
              <w:bottom w:w="80" w:type="dxa"/>
              <w:right w:w="80" w:type="dxa"/>
            </w:tcMar>
            <w:shd w:fill="F8F8F8"/>
          </w:tcPr>
          <w:p>
            <w:pPr>
              <w:spacing w:after="60" w:line="245" w:lineRule="auto"/>
            </w:pPr>
            <w:r>
              <w:rPr>
                <w:b w:val="0"/>
                <w:sz w:val="19"/>
              </w:rPr>
              <w:t>SQLite</w:t>
            </w:r>
          </w:p>
        </w:tc>
        <w:tc>
          <w:tcPr>
            <w:tcW w:type="dxa" w:w="4082"/>
            <w:tcMar>
              <w:top w:w="80" w:type="dxa"/>
              <w:left w:w="80" w:type="dxa"/>
              <w:bottom w:w="80" w:type="dxa"/>
              <w:right w:w="80" w:type="dxa"/>
            </w:tcMar>
            <w:shd w:fill="F8F8F8"/>
          </w:tcPr>
          <w:p>
            <w:pPr>
              <w:spacing w:after="60" w:line="245" w:lineRule="auto"/>
            </w:pPr>
            <w:r>
              <w:rPr>
                <w:b w:val="0"/>
                <w:sz w:val="19"/>
              </w:rPr>
              <w:t>Tuple exacte, indici și interogări parametrizate. Potrivit pentru premise auditabile și enumerări.</w:t>
            </w:r>
          </w:p>
        </w:tc>
        <w:tc>
          <w:tcPr>
            <w:tcW w:type="dxa" w:w="3969"/>
            <w:tcMar>
              <w:top w:w="80" w:type="dxa"/>
              <w:left w:w="80" w:type="dxa"/>
              <w:bottom w:w="80" w:type="dxa"/>
              <w:right w:w="80" w:type="dxa"/>
            </w:tcMar>
            <w:shd w:fill="F8F8F8"/>
          </w:tcPr>
          <w:p>
            <w:pPr>
              <w:spacing w:after="60" w:line="245" w:lineRule="auto"/>
            </w:pPr>
            <w:r>
              <w:rPr>
                <w:b w:val="0"/>
                <w:sz w:val="19"/>
              </w:rPr>
              <w:t>Costul indicilor, al istoricului și al schemei; exactitatea stocării nu garantează adevărul sursei.</w:t>
            </w:r>
          </w:p>
        </w:tc>
      </w:tr>
      <w:tr>
        <w:trPr>
          <w:cantSplit/>
        </w:trPr>
        <w:tc>
          <w:tcPr>
            <w:tcW w:type="dxa" w:w="1474"/>
            <w:tcMar>
              <w:top w:w="80" w:type="dxa"/>
              <w:left w:w="80" w:type="dxa"/>
              <w:bottom w:w="80" w:type="dxa"/>
              <w:right w:w="80" w:type="dxa"/>
            </w:tcMar>
            <w:shd w:fill="FFFFFF"/>
          </w:tcPr>
          <w:p>
            <w:pPr>
              <w:spacing w:after="60" w:line="245" w:lineRule="auto"/>
            </w:pPr>
            <w:r>
              <w:rPr>
                <w:b w:val="0"/>
                <w:sz w:val="19"/>
              </w:rPr>
              <w:t>Recall Weaver</w:t>
            </w:r>
          </w:p>
        </w:tc>
        <w:tc>
          <w:tcPr>
            <w:tcW w:type="dxa" w:w="4082"/>
            <w:tcMar>
              <w:top w:w="80" w:type="dxa"/>
              <w:left w:w="80" w:type="dxa"/>
              <w:bottom w:w="80" w:type="dxa"/>
              <w:right w:w="80" w:type="dxa"/>
            </w:tcMar>
            <w:shd w:fill="FFFFFF"/>
          </w:tcPr>
          <w:p>
            <w:pPr>
              <w:spacing w:after="60" w:line="245" w:lineRule="auto"/>
            </w:pPr>
            <w:r>
              <w:rPr>
                <w:b w:val="0"/>
                <w:sz w:val="19"/>
              </w:rPr>
              <w:t>Mai multe proiecții ale aceleiași configurații în bănci compacte; completare prin acordul proiecțiilor.</w:t>
            </w:r>
          </w:p>
        </w:tc>
        <w:tc>
          <w:tcPr>
            <w:tcW w:type="dxa" w:w="3969"/>
            <w:tcMar>
              <w:top w:w="80" w:type="dxa"/>
              <w:left w:w="80" w:type="dxa"/>
              <w:bottom w:w="80" w:type="dxa"/>
              <w:right w:w="80" w:type="dxa"/>
            </w:tcMar>
            <w:shd w:fill="FFFFFF"/>
          </w:tcPr>
          <w:p>
            <w:pPr>
              <w:spacing w:after="60" w:line="245" w:lineRule="auto"/>
            </w:pPr>
            <w:r>
              <w:rPr>
                <w:b w:val="0"/>
                <w:sz w:val="19"/>
              </w:rPr>
              <w:t>Saturație, coliziuni, domenii de candidați și pierderea corelațiilor dintre fapte.</w:t>
            </w:r>
          </w:p>
        </w:tc>
      </w:tr>
      <w:tr>
        <w:trPr>
          <w:cantSplit/>
        </w:trPr>
        <w:tc>
          <w:tcPr>
            <w:tcW w:type="dxa" w:w="1474"/>
            <w:tcMar>
              <w:top w:w="80" w:type="dxa"/>
              <w:left w:w="80" w:type="dxa"/>
              <w:bottom w:w="80" w:type="dxa"/>
              <w:right w:w="80" w:type="dxa"/>
            </w:tcMar>
            <w:shd w:fill="F8F8F8"/>
          </w:tcPr>
          <w:p>
            <w:pPr>
              <w:spacing w:after="60" w:line="245" w:lineRule="auto"/>
            </w:pPr>
            <w:r>
              <w:rPr>
                <w:b w:val="0"/>
                <w:sz w:val="19"/>
              </w:rPr>
              <w:t>Holo/H7</w:t>
            </w:r>
          </w:p>
        </w:tc>
        <w:tc>
          <w:tcPr>
            <w:tcW w:type="dxa" w:w="4082"/>
            <w:tcMar>
              <w:top w:w="80" w:type="dxa"/>
              <w:left w:w="80" w:type="dxa"/>
              <w:bottom w:w="80" w:type="dxa"/>
              <w:right w:w="80" w:type="dxa"/>
            </w:tcMar>
            <w:shd w:fill="F8F8F8"/>
          </w:tcPr>
          <w:p>
            <w:pPr>
              <w:spacing w:after="60" w:line="245" w:lineRule="auto"/>
            </w:pPr>
            <w:r>
              <w:rPr>
                <w:b w:val="0"/>
                <w:sz w:val="19"/>
              </w:rPr>
              <w:t>Legare cheie–valoare prin coduri distribuite în contoare semnate; reconstrucție și scorarea candidaților.</w:t>
            </w:r>
          </w:p>
        </w:tc>
        <w:tc>
          <w:tcPr>
            <w:tcW w:type="dxa" w:w="3969"/>
            <w:tcMar>
              <w:top w:w="80" w:type="dxa"/>
              <w:left w:w="80" w:type="dxa"/>
              <w:bottom w:w="80" w:type="dxa"/>
              <w:right w:w="80" w:type="dxa"/>
            </w:tcMar>
            <w:shd w:fill="F8F8F8"/>
          </w:tcPr>
          <w:p>
            <w:pPr>
              <w:spacing w:after="60" w:line="245" w:lineRule="auto"/>
            </w:pPr>
            <w:r>
              <w:rPr>
                <w:b w:val="0"/>
                <w:sz w:val="19"/>
              </w:rPr>
              <w:t>Interferență când o cheie are multe valori; verificarea identității cere informație suplimentară.</w:t>
            </w:r>
          </w:p>
        </w:tc>
      </w:tr>
      <w:tr>
        <w:trPr>
          <w:cantSplit/>
        </w:trPr>
        <w:tc>
          <w:tcPr>
            <w:tcW w:type="dxa" w:w="1474"/>
            <w:tcMar>
              <w:top w:w="80" w:type="dxa"/>
              <w:left w:w="80" w:type="dxa"/>
              <w:bottom w:w="80" w:type="dxa"/>
              <w:right w:w="80" w:type="dxa"/>
            </w:tcMar>
            <w:shd w:fill="FFFFFF"/>
          </w:tcPr>
          <w:p>
            <w:pPr>
              <w:spacing w:after="60" w:line="245" w:lineRule="auto"/>
            </w:pPr>
            <w:r>
              <w:rPr>
                <w:b w:val="0"/>
                <w:sz w:val="19"/>
              </w:rPr>
              <w:t>Hibridă</w:t>
            </w:r>
          </w:p>
        </w:tc>
        <w:tc>
          <w:tcPr>
            <w:tcW w:type="dxa" w:w="4082"/>
            <w:tcMar>
              <w:top w:w="80" w:type="dxa"/>
              <w:left w:w="80" w:type="dxa"/>
              <w:bottom w:w="80" w:type="dxa"/>
              <w:right w:w="80" w:type="dxa"/>
            </w:tcMar>
            <w:shd w:fill="FFFFFF"/>
          </w:tcPr>
          <w:p>
            <w:pPr>
              <w:spacing w:after="60" w:line="245" w:lineRule="auto"/>
            </w:pPr>
            <w:r>
              <w:rPr>
                <w:b w:val="0"/>
                <w:sz w:val="19"/>
              </w:rPr>
              <w:t>Depozit exact pentru premise și bancă asociativă pentru indicii, familiaritate sau prioritizare.</w:t>
            </w:r>
          </w:p>
        </w:tc>
        <w:tc>
          <w:tcPr>
            <w:tcW w:type="dxa" w:w="3969"/>
            <w:tcMar>
              <w:top w:w="80" w:type="dxa"/>
              <w:left w:w="80" w:type="dxa"/>
              <w:bottom w:w="80" w:type="dxa"/>
              <w:right w:w="80" w:type="dxa"/>
            </w:tcMar>
            <w:shd w:fill="FFFFFF"/>
          </w:tcPr>
          <w:p>
            <w:pPr>
              <w:spacing w:after="60" w:line="245" w:lineRule="auto"/>
            </w:pPr>
            <w:r>
              <w:rPr>
                <w:b w:val="0"/>
                <w:sz w:val="19"/>
              </w:rPr>
              <w:t>Costuri cumulate; indiciile trebuie să aducă utilitate măsurabilă, nu doar complexitate.</w:t>
            </w:r>
          </w:p>
        </w:tc>
      </w:tr>
    </w:tbl>
    <w:p>
      <w:pPr>
        <w:spacing w:after="20"/>
        <w:jc w:val="both"/>
      </w:pPr>
      <w:r/>
    </w:p>
    <w:p>
      <w:pPr>
        <w:pStyle w:val="Heading2"/>
      </w:pPr>
      <w:r>
        <w:t>5.2. Ce asociază Recall Weaver</w:t>
      </w:r>
    </w:p>
    <w:p>
      <w:pPr>
        <w:jc w:val="both"/>
      </w:pPr>
      <w:r>
        <w:t>O coloană observă o combinație declarată de câmpuri. Pentru o secvență, aceasta poate fi un set de poziții relative; pentru un fapt, poate fi combinația dintre subiect, predicat și obiect. Proiecția este transformată într-o adresă de bancă. Repetarea aceleiași configurații reactivează aceeași reprezentare; configurații diferite se pot suprapune accidental. La citire, sistemul încearcă valori pentru câmpurile necunoscute și reține candidaturi compatibile cu perspectivele disponibile.</w:t>
      </w:r>
    </w:p>
    <w:p>
      <w:pPr>
        <w:jc w:val="both"/>
      </w:pPr>
      <w:r>
        <w:t>Recuperarea directă este posibilă fără o copie SQL a fiecărui fapt, atunci când indiciul și domeniile de candidați sunt suficient de informative. Nu rezultă însă că banca poate enumera liber toate faptele ori poate restitui orice text fără indiciu. Un candidat poate combina relații care au apărut separat. În integrarea agentului, amprentele de verificare reduc acceptarea unor tuple inexistente; acestea verifică apartenența la afirmațiile memorate, nu adevărul afirmației. Domeniile, amprentele și metadatele sunt parte a costului total.</w:t>
      </w:r>
    </w:p>
    <w:p>
      <w:pPr>
        <w:jc w:val="both"/>
      </w:pPr>
      <w:r>
        <w:t>Coloanele pot fi alese experimental. Se generează șabloane candidate, se maschează intrări și se măsoară cât reduce fiecare șablon ambiguitatea rămasă după cele deja alese. Aritatea, raza, numărul de coloane și bugetul băncilor sunt parametri diferiți. O vedere cu multe câmpuri poate discrimina bine, dar devine inutilizabilă când prea multe câmpuri lipsesc. Alegerea urmărește un compromis pentru distribuția sarcinilor, nu un număr universal optim.</w:t>
      </w:r>
    </w:p>
    <w:p>
      <w:pPr>
        <w:jc w:val="both"/>
      </w:pPr>
      <w:r>
        <w:t>Auto-adaptarea cere exemple asupra cărora să evalueze noile vederi. Dintr-o bancă lossy nu se poate reconstrui în general proiecția oricărui fapt vechi într-o coloană nouă. Este necesar un buffer, un eșantion de experiențe sau un depozit care permite reingestia. Alegerea automată a coloanelor nu este, prin ea însăși, descoperire de concepte semantice sau de legi cauzale.</w:t>
      </w:r>
    </w:p>
    <w:p>
      <w:pPr>
        <w:pStyle w:val="Heading2"/>
      </w:pPr>
      <w:r>
        <w:t>5.3. Timp, uitare și memorie per utilizator</w:t>
      </w:r>
    </w:p>
    <w:p>
      <w:pPr>
        <w:jc w:val="both"/>
      </w:pPr>
      <w:r>
        <w:t>Valabilitatea și retenția răspund la întrebări diferite. Un fapt poate fi istoric adevărat, dar greu de recuperat după uitare; un fapt bine memorat poate fi retractat. Arhitectura separă intervalul de valabilitate, momentul aflării și corecțiile ulterioare. O schimbare de angajator nu închide implicit vechiul contract dacă domeniul permite simultaneitatea. Încheierea stării trebuie să fie explicită sau autorizată de o regulă a domeniului.</w:t>
      </w:r>
    </w:p>
    <w:p>
      <w:pPr>
        <w:jc w:val="both"/>
      </w:pPr>
      <w:r>
        <w:t>În profilul adaptiv Weaver, contoarele mici sunt întărite la observații și la utilizări admise, apoi răcite când ocuparea depășește un prag. O amintire puțin folosită pierde suport înaintea uneia întărite. Deoarece contoarele sunt partajate, aceasta este o politică probabilistică de retenție, nu o ștergere exactă per fapt. Pragurile de ocupare necesită calibrare pe sarcini; nu garantează singure o rată de eroare. În modul arhivă nu există uitare automată, iar memoria pinned este protejată separat. Filtrele stabile sunt un precedent pentru controlul ocupării prin uitare [11].</w:t>
      </w:r>
    </w:p>
    <w:p>
      <w:pPr>
        <w:jc w:val="both"/>
      </w:pPr>
      <w:r>
        <w:t>Folosirea unui fapt într-o demonstrație poate justifica păstrarea lui mai mult timp, dar nu confirmă independent adevărul său. O sursă greșită poate fi folosită repetat. De aceea, forța de retenție nu trebuie confundată cu încrederea epistemică, iar candidații ipotetici nu sunt întăriți ca observații. Corecțiile și retractările trebuie să supraviețuiască suficient pentru a împiedica reapariția unor afirmații invalidate.</w:t>
      </w:r>
    </w:p>
    <w:p>
      <w:pPr>
        <w:jc w:val="both"/>
      </w:pPr>
      <w:r>
        <w:t>Pentru creștere, datele noi intră într-un shard activ, iar generațiile închise păstrează configurația lor. Interogările reunesc rezultate compatibile din shard-uri. Utilizarea legitimă poate promova o amintire într-o generație recentă; colectarea șterge numai obiecte care nu mai sunt referite de sesiuni ori snapshot-uri. Aceste mecanisme fac posibilă izolarea utilizatorilor și a ipotezelor, dar nu oferă capacitate nelimitată: pinned, istoricul protejat și metadatele consumă în continuare memorie.</w:t>
      </w:r>
    </w:p>
    <w:p>
      <w:pPr>
        <w:pStyle w:val="Heading1"/>
      </w:pPr>
      <w:r>
        <w:t>6. Strategiile de raționament</w:t>
      </w:r>
    </w:p>
    <w:p>
      <w:pPr>
        <w:pStyle w:val="Heading2"/>
      </w:pPr>
      <w:r>
        <w:t>6.1. Un motor de referință deliberat simplu</w:t>
      </w:r>
    </w:p>
    <w:p>
      <w:pPr>
        <w:jc w:val="both"/>
      </w:pPr>
      <w:r>
        <w:t>Motorul implicit combină reguli Horn fără constructori nelimitați de termeni cu generare și testare în spații finite. Pentru deducție, leagă premise compatibile și adaugă concluzii până la punct fix sau până la buget. Negația este explicită; absența unei dovezi nu devine falsitate. Un rezultat poate fi susținut, infirmat, susținut în ambele sensuri sau necunoscut. Contradicțiile locale sunt raportate fără a autoriza concluzii arbitrare.</w:t>
      </w:r>
    </w:p>
    <w:p>
      <w:pPr>
        <w:jc w:val="both"/>
      </w:pPr>
      <w:r>
        <w:t>Alte familii reutilizează aceste mecanisme, dar au semantici proprii. Abducția caută presupuneri care permit demonstrarea observației. Planificarea caută secvențe de tranziții. Inducția evaluează regularități în exemple. Aceste operații nu sunt variante ale aceleiași noțiuni de adevăr. Tabelul 3 delimitează ceea ce reprezintă rezultatul fiecăreia.</w:t>
      </w:r>
    </w:p>
    <w:p>
      <w:pPr>
        <w:pStyle w:val="Caption"/>
      </w:pPr>
      <w:r>
        <w:t>Tabelul 3. Familii de raționament și semnificația rezultatului.</w:t>
      </w:r>
    </w:p>
    <w:tbl>
      <w:tblPr>
        <w:tblW w:type="auto" w:w="0"/>
        <w:tblLayout w:type="fixed"/>
        <w:tblLook w:firstColumn="1" w:firstRow="1" w:lastColumn="0" w:lastRow="0" w:noHBand="0" w:noVBand="1" w:val="04A0"/>
      </w:tblPr>
      <w:tblGrid>
        <w:gridCol w:w="1814"/>
        <w:gridCol w:w="3685"/>
        <w:gridCol w:w="4025"/>
      </w:tblGrid>
      <w:tr>
        <w:trPr>
          <w:cantSplit/>
          <w:tblHeader/>
        </w:trPr>
        <w:tc>
          <w:tcPr>
            <w:tcW w:type="dxa" w:w="1814"/>
            <w:tcMar>
              <w:top w:w="80" w:type="dxa"/>
              <w:left w:w="80" w:type="dxa"/>
              <w:bottom w:w="80" w:type="dxa"/>
              <w:right w:w="80" w:type="dxa"/>
            </w:tcMar>
            <w:shd w:fill="E9E9E9"/>
          </w:tcPr>
          <w:p>
            <w:pPr>
              <w:spacing w:after="60" w:line="245" w:lineRule="auto"/>
            </w:pPr>
            <w:r>
              <w:rPr>
                <w:b/>
                <w:sz w:val="19"/>
              </w:rPr>
              <w:t>Familie</w:t>
            </w:r>
          </w:p>
        </w:tc>
        <w:tc>
          <w:tcPr>
            <w:tcW w:type="dxa" w:w="3685"/>
            <w:tcMar>
              <w:top w:w="80" w:type="dxa"/>
              <w:left w:w="80" w:type="dxa"/>
              <w:bottom w:w="80" w:type="dxa"/>
              <w:right w:w="80" w:type="dxa"/>
            </w:tcMar>
            <w:shd w:fill="E9E9E9"/>
          </w:tcPr>
          <w:p>
            <w:pPr>
              <w:spacing w:after="60" w:line="245" w:lineRule="auto"/>
            </w:pPr>
            <w:r>
              <w:rPr>
                <w:b/>
                <w:sz w:val="19"/>
              </w:rPr>
              <w:t>Mecanism de referință</w:t>
            </w:r>
          </w:p>
        </w:tc>
        <w:tc>
          <w:tcPr>
            <w:tcW w:type="dxa" w:w="4025"/>
            <w:tcMar>
              <w:top w:w="80" w:type="dxa"/>
              <w:left w:w="80" w:type="dxa"/>
              <w:bottom w:w="80" w:type="dxa"/>
              <w:right w:w="80" w:type="dxa"/>
            </w:tcMar>
            <w:shd w:fill="E9E9E9"/>
          </w:tcPr>
          <w:p>
            <w:pPr>
              <w:spacing w:after="60" w:line="245" w:lineRule="auto"/>
            </w:pPr>
            <w:r>
              <w:rPr>
                <w:b/>
                <w:sz w:val="19"/>
              </w:rPr>
              <w:t>Ce autorizează rezultatul</w:t>
            </w:r>
          </w:p>
        </w:tc>
      </w:tr>
      <w:tr>
        <w:trPr>
          <w:cantSplit/>
        </w:trPr>
        <w:tc>
          <w:tcPr>
            <w:tcW w:type="dxa" w:w="1814"/>
            <w:tcMar>
              <w:top w:w="80" w:type="dxa"/>
              <w:left w:w="80" w:type="dxa"/>
              <w:bottom w:w="80" w:type="dxa"/>
              <w:right w:w="80" w:type="dxa"/>
            </w:tcMar>
            <w:shd w:fill="FFFFFF"/>
          </w:tcPr>
          <w:p>
            <w:pPr>
              <w:spacing w:after="60" w:line="245" w:lineRule="auto"/>
            </w:pPr>
            <w:r>
              <w:rPr>
                <w:b w:val="0"/>
                <w:sz w:val="19"/>
              </w:rPr>
              <w:t>Deducție, clasificare și timp</w:t>
            </w:r>
          </w:p>
        </w:tc>
        <w:tc>
          <w:tcPr>
            <w:tcW w:type="dxa" w:w="3685"/>
            <w:tcMar>
              <w:top w:w="80" w:type="dxa"/>
              <w:left w:w="80" w:type="dxa"/>
              <w:bottom w:w="80" w:type="dxa"/>
              <w:right w:w="80" w:type="dxa"/>
            </w:tcMar>
            <w:shd w:fill="FFFFFF"/>
          </w:tcPr>
          <w:p>
            <w:pPr>
              <w:spacing w:after="60" w:line="245" w:lineRule="auto"/>
            </w:pPr>
            <w:r>
              <w:rPr>
                <w:b w:val="0"/>
                <w:sz w:val="19"/>
              </w:rPr>
              <w:t>Închidere Horn și intersecția intervalelor premiselor.</w:t>
            </w:r>
          </w:p>
        </w:tc>
        <w:tc>
          <w:tcPr>
            <w:tcW w:type="dxa" w:w="4025"/>
            <w:tcMar>
              <w:top w:w="80" w:type="dxa"/>
              <w:left w:w="80" w:type="dxa"/>
              <w:bottom w:w="80" w:type="dxa"/>
              <w:right w:w="80" w:type="dxa"/>
            </w:tcMar>
            <w:shd w:fill="FFFFFF"/>
          </w:tcPr>
          <w:p>
            <w:pPr>
              <w:spacing w:after="60" w:line="245" w:lineRule="auto"/>
            </w:pPr>
            <w:r>
              <w:rPr>
                <w:b w:val="0"/>
                <w:sz w:val="19"/>
              </w:rPr>
              <w:t>Consecință a premiselor și regulilor admise, în intervalul raportat.</w:t>
            </w:r>
          </w:p>
        </w:tc>
      </w:tr>
      <w:tr>
        <w:trPr>
          <w:cantSplit/>
        </w:trPr>
        <w:tc>
          <w:tcPr>
            <w:tcW w:type="dxa" w:w="1814"/>
            <w:tcMar>
              <w:top w:w="80" w:type="dxa"/>
              <w:left w:w="80" w:type="dxa"/>
              <w:bottom w:w="80" w:type="dxa"/>
              <w:right w:w="80" w:type="dxa"/>
            </w:tcMar>
            <w:shd w:fill="F8F8F8"/>
          </w:tcPr>
          <w:p>
            <w:pPr>
              <w:spacing w:after="60" w:line="245" w:lineRule="auto"/>
            </w:pPr>
            <w:r>
              <w:rPr>
                <w:b w:val="0"/>
                <w:sz w:val="19"/>
              </w:rPr>
              <w:t>Abducție și diagnostic</w:t>
            </w:r>
          </w:p>
        </w:tc>
        <w:tc>
          <w:tcPr>
            <w:tcW w:type="dxa" w:w="3685"/>
            <w:tcMar>
              <w:top w:w="80" w:type="dxa"/>
              <w:left w:w="80" w:type="dxa"/>
              <w:bottom w:w="80" w:type="dxa"/>
              <w:right w:w="80" w:type="dxa"/>
            </w:tcMar>
            <w:shd w:fill="F8F8F8"/>
          </w:tcPr>
          <w:p>
            <w:pPr>
              <w:spacing w:after="60" w:line="245" w:lineRule="auto"/>
            </w:pPr>
            <w:r>
              <w:rPr>
                <w:b w:val="0"/>
                <w:sz w:val="19"/>
              </w:rPr>
              <w:t>Căutare de presupuneri, verificare deductivă și teste care separă explicații.</w:t>
            </w:r>
          </w:p>
        </w:tc>
        <w:tc>
          <w:tcPr>
            <w:tcW w:type="dxa" w:w="4025"/>
            <w:tcMar>
              <w:top w:w="80" w:type="dxa"/>
              <w:left w:w="80" w:type="dxa"/>
              <w:bottom w:w="80" w:type="dxa"/>
              <w:right w:w="80" w:type="dxa"/>
            </w:tcMar>
            <w:shd w:fill="F8F8F8"/>
          </w:tcPr>
          <w:p>
            <w:pPr>
              <w:spacing w:after="60" w:line="245" w:lineRule="auto"/>
            </w:pPr>
            <w:r>
              <w:rPr>
                <w:b w:val="0"/>
                <w:sz w:val="19"/>
              </w:rPr>
              <w:t>Explicații posibile, costuri și cereri de observații; nu cauza reală demonstrată.</w:t>
            </w:r>
          </w:p>
        </w:tc>
      </w:tr>
      <w:tr>
        <w:trPr>
          <w:cantSplit/>
        </w:trPr>
        <w:tc>
          <w:tcPr>
            <w:tcW w:type="dxa" w:w="1814"/>
            <w:tcMar>
              <w:top w:w="80" w:type="dxa"/>
              <w:left w:w="80" w:type="dxa"/>
              <w:bottom w:w="80" w:type="dxa"/>
              <w:right w:w="80" w:type="dxa"/>
            </w:tcMar>
            <w:shd w:fill="FFFFFF"/>
          </w:tcPr>
          <w:p>
            <w:pPr>
              <w:spacing w:after="60" w:line="245" w:lineRule="auto"/>
            </w:pPr>
            <w:r>
              <w:rPr>
                <w:b w:val="0"/>
                <w:sz w:val="19"/>
              </w:rPr>
              <w:t>Asociere și inducție</w:t>
            </w:r>
          </w:p>
        </w:tc>
        <w:tc>
          <w:tcPr>
            <w:tcW w:type="dxa" w:w="3685"/>
            <w:tcMar>
              <w:top w:w="80" w:type="dxa"/>
              <w:left w:w="80" w:type="dxa"/>
              <w:bottom w:w="80" w:type="dxa"/>
              <w:right w:w="80" w:type="dxa"/>
            </w:tcMar>
            <w:shd w:fill="FFFFFF"/>
          </w:tcPr>
          <w:p>
            <w:pPr>
              <w:spacing w:after="60" w:line="245" w:lineRule="auto"/>
            </w:pPr>
            <w:r>
              <w:rPr>
                <w:b w:val="0"/>
                <w:sz w:val="19"/>
              </w:rPr>
              <w:t>Scorarea cazurilor și evaluarea candidaților prin suport, contraexemple și necunoscute.</w:t>
            </w:r>
          </w:p>
        </w:tc>
        <w:tc>
          <w:tcPr>
            <w:tcW w:type="dxa" w:w="4025"/>
            <w:tcMar>
              <w:top w:w="80" w:type="dxa"/>
              <w:left w:w="80" w:type="dxa"/>
              <w:bottom w:w="80" w:type="dxa"/>
              <w:right w:w="80" w:type="dxa"/>
            </w:tcMar>
            <w:shd w:fill="FFFFFF"/>
          </w:tcPr>
          <w:p>
            <w:pPr>
              <w:spacing w:after="60" w:line="245" w:lineRule="auto"/>
            </w:pPr>
            <w:r>
              <w:rPr>
                <w:b w:val="0"/>
                <w:sz w:val="19"/>
              </w:rPr>
              <w:t>Regularități sau indicii; nu implicații universale publicate automat.</w:t>
            </w:r>
          </w:p>
        </w:tc>
      </w:tr>
      <w:tr>
        <w:trPr>
          <w:cantSplit/>
        </w:trPr>
        <w:tc>
          <w:tcPr>
            <w:tcW w:type="dxa" w:w="1814"/>
            <w:tcMar>
              <w:top w:w="80" w:type="dxa"/>
              <w:left w:w="80" w:type="dxa"/>
              <w:bottom w:w="80" w:type="dxa"/>
              <w:right w:w="80" w:type="dxa"/>
            </w:tcMar>
            <w:shd w:fill="F8F8F8"/>
          </w:tcPr>
          <w:p>
            <w:pPr>
              <w:spacing w:after="60" w:line="245" w:lineRule="auto"/>
            </w:pPr>
            <w:r>
              <w:rPr>
                <w:b w:val="0"/>
                <w:sz w:val="19"/>
              </w:rPr>
              <w:t>Analogie</w:t>
            </w:r>
          </w:p>
        </w:tc>
        <w:tc>
          <w:tcPr>
            <w:tcW w:type="dxa" w:w="3685"/>
            <w:tcMar>
              <w:top w:w="80" w:type="dxa"/>
              <w:left w:w="80" w:type="dxa"/>
              <w:bottom w:w="80" w:type="dxa"/>
              <w:right w:w="80" w:type="dxa"/>
            </w:tcMar>
            <w:shd w:fill="F8F8F8"/>
          </w:tcPr>
          <w:p>
            <w:pPr>
              <w:spacing w:after="60" w:line="245" w:lineRule="auto"/>
            </w:pPr>
            <w:r>
              <w:rPr>
                <w:b w:val="0"/>
                <w:sz w:val="19"/>
              </w:rPr>
              <w:t>Mapări structurale finite între cazuri și propuneri de transfer.</w:t>
            </w:r>
          </w:p>
        </w:tc>
        <w:tc>
          <w:tcPr>
            <w:tcW w:type="dxa" w:w="4025"/>
            <w:tcMar>
              <w:top w:w="80" w:type="dxa"/>
              <w:left w:w="80" w:type="dxa"/>
              <w:bottom w:w="80" w:type="dxa"/>
              <w:right w:w="80" w:type="dxa"/>
            </w:tcMar>
            <w:shd w:fill="F8F8F8"/>
          </w:tcPr>
          <w:p>
            <w:pPr>
              <w:spacing w:after="60" w:line="245" w:lineRule="auto"/>
            </w:pPr>
            <w:r>
              <w:rPr>
                <w:b w:val="0"/>
                <w:sz w:val="19"/>
              </w:rPr>
              <w:t>Ipoteze de transfer; nu certitudinea proprietăților transferate.</w:t>
            </w:r>
          </w:p>
        </w:tc>
      </w:tr>
      <w:tr>
        <w:trPr>
          <w:cantSplit/>
        </w:trPr>
        <w:tc>
          <w:tcPr>
            <w:tcW w:type="dxa" w:w="1814"/>
            <w:tcMar>
              <w:top w:w="80" w:type="dxa"/>
              <w:left w:w="80" w:type="dxa"/>
              <w:bottom w:w="80" w:type="dxa"/>
              <w:right w:w="80" w:type="dxa"/>
            </w:tcMar>
            <w:shd w:fill="FFFFFF"/>
          </w:tcPr>
          <w:p>
            <w:pPr>
              <w:spacing w:after="60" w:line="245" w:lineRule="auto"/>
            </w:pPr>
            <w:r>
              <w:rPr>
                <w:b w:val="0"/>
                <w:sz w:val="19"/>
              </w:rPr>
              <w:t>Planificare</w:t>
            </w:r>
          </w:p>
        </w:tc>
        <w:tc>
          <w:tcPr>
            <w:tcW w:type="dxa" w:w="3685"/>
            <w:tcMar>
              <w:top w:w="80" w:type="dxa"/>
              <w:left w:w="80" w:type="dxa"/>
              <w:bottom w:w="80" w:type="dxa"/>
              <w:right w:w="80" w:type="dxa"/>
            </w:tcMar>
            <w:shd w:fill="FFFFFF"/>
          </w:tcPr>
          <w:p>
            <w:pPr>
              <w:spacing w:after="60" w:line="245" w:lineRule="auto"/>
            </w:pPr>
            <w:r>
              <w:rPr>
                <w:b w:val="0"/>
                <w:sz w:val="19"/>
              </w:rPr>
              <w:t>Căutare în stări cu precondiții, efecte și costuri explicite.</w:t>
            </w:r>
          </w:p>
        </w:tc>
        <w:tc>
          <w:tcPr>
            <w:tcW w:type="dxa" w:w="4025"/>
            <w:tcMar>
              <w:top w:w="80" w:type="dxa"/>
              <w:left w:w="80" w:type="dxa"/>
              <w:bottom w:w="80" w:type="dxa"/>
              <w:right w:w="80" w:type="dxa"/>
            </w:tcMar>
            <w:shd w:fill="FFFFFF"/>
          </w:tcPr>
          <w:p>
            <w:pPr>
              <w:spacing w:after="60" w:line="245" w:lineRule="auto"/>
            </w:pPr>
            <w:r>
              <w:rPr>
                <w:b w:val="0"/>
                <w:sz w:val="19"/>
              </w:rPr>
              <w:t>Plan în modelul declarat; optimalitate numai când căutarea o justifică.</w:t>
            </w:r>
          </w:p>
        </w:tc>
      </w:tr>
      <w:tr>
        <w:trPr>
          <w:cantSplit/>
        </w:trPr>
        <w:tc>
          <w:tcPr>
            <w:tcW w:type="dxa" w:w="1814"/>
            <w:tcMar>
              <w:top w:w="80" w:type="dxa"/>
              <w:left w:w="80" w:type="dxa"/>
              <w:bottom w:w="80" w:type="dxa"/>
              <w:right w:w="80" w:type="dxa"/>
            </w:tcMar>
            <w:shd w:fill="F8F8F8"/>
          </w:tcPr>
          <w:p>
            <w:pPr>
              <w:spacing w:after="60" w:line="245" w:lineRule="auto"/>
            </w:pPr>
            <w:r>
              <w:rPr>
                <w:b w:val="0"/>
                <w:sz w:val="19"/>
              </w:rPr>
              <w:t>What-if și contra-factual</w:t>
            </w:r>
          </w:p>
        </w:tc>
        <w:tc>
          <w:tcPr>
            <w:tcW w:type="dxa" w:w="3685"/>
            <w:tcMar>
              <w:top w:w="80" w:type="dxa"/>
              <w:left w:w="80" w:type="dxa"/>
              <w:bottom w:w="80" w:type="dxa"/>
              <w:right w:w="80" w:type="dxa"/>
            </w:tcMar>
            <w:shd w:fill="F8F8F8"/>
          </w:tcPr>
          <w:p>
            <w:pPr>
              <w:spacing w:after="60" w:line="245" w:lineRule="auto"/>
            </w:pPr>
            <w:r>
              <w:rPr>
                <w:b w:val="0"/>
                <w:sz w:val="19"/>
              </w:rPr>
              <w:t>Copie temporară a stării; pentru intervenții, un modul cauzal determinist explicit.</w:t>
            </w:r>
          </w:p>
        </w:tc>
        <w:tc>
          <w:tcPr>
            <w:tcW w:type="dxa" w:w="4025"/>
            <w:tcMar>
              <w:top w:w="80" w:type="dxa"/>
              <w:left w:w="80" w:type="dxa"/>
              <w:bottom w:w="80" w:type="dxa"/>
              <w:right w:w="80" w:type="dxa"/>
            </w:tcMar>
            <w:shd w:fill="F8F8F8"/>
          </w:tcPr>
          <w:p>
            <w:pPr>
              <w:spacing w:after="60" w:line="245" w:lineRule="auto"/>
            </w:pPr>
            <w:r>
              <w:rPr>
                <w:b w:val="0"/>
                <w:sz w:val="19"/>
              </w:rPr>
              <w:t>Consecințe relative la intervenție și model; nu identificare cauzală din simplă corelație.</w:t>
            </w:r>
          </w:p>
        </w:tc>
      </w:tr>
      <w:tr>
        <w:trPr>
          <w:cantSplit/>
        </w:trPr>
        <w:tc>
          <w:tcPr>
            <w:tcW w:type="dxa" w:w="1814"/>
            <w:tcMar>
              <w:top w:w="80" w:type="dxa"/>
              <w:left w:w="80" w:type="dxa"/>
              <w:bottom w:w="80" w:type="dxa"/>
              <w:right w:w="80" w:type="dxa"/>
            </w:tcMar>
            <w:shd w:fill="FFFFFF"/>
          </w:tcPr>
          <w:p>
            <w:pPr>
              <w:spacing w:after="60" w:line="245" w:lineRule="auto"/>
            </w:pPr>
            <w:r>
              <w:rPr>
                <w:b w:val="0"/>
                <w:sz w:val="19"/>
              </w:rPr>
              <w:t>Restricții și optimizare</w:t>
            </w:r>
          </w:p>
        </w:tc>
        <w:tc>
          <w:tcPr>
            <w:tcW w:type="dxa" w:w="3685"/>
            <w:tcMar>
              <w:top w:w="80" w:type="dxa"/>
              <w:left w:w="80" w:type="dxa"/>
              <w:bottom w:w="80" w:type="dxa"/>
              <w:right w:w="80" w:type="dxa"/>
            </w:tcMar>
            <w:shd w:fill="FFFFFF"/>
          </w:tcPr>
          <w:p>
            <w:pPr>
              <w:spacing w:after="60" w:line="245" w:lineRule="auto"/>
            </w:pPr>
            <w:r>
              <w:rPr>
                <w:b w:val="0"/>
                <w:sz w:val="19"/>
              </w:rPr>
              <w:t>Enumerarea asignărilor întregi finite ori delegare la solver.</w:t>
            </w:r>
          </w:p>
        </w:tc>
        <w:tc>
          <w:tcPr>
            <w:tcW w:type="dxa" w:w="4025"/>
            <w:tcMar>
              <w:top w:w="80" w:type="dxa"/>
              <w:left w:w="80" w:type="dxa"/>
              <w:bottom w:w="80" w:type="dxa"/>
              <w:right w:w="80" w:type="dxa"/>
            </w:tcMar>
            <w:shd w:fill="FFFFFF"/>
          </w:tcPr>
          <w:p>
            <w:pPr>
              <w:spacing w:after="60" w:line="245" w:lineRule="auto"/>
            </w:pPr>
            <w:r>
              <w:rPr>
                <w:b w:val="0"/>
                <w:sz w:val="19"/>
              </w:rPr>
              <w:t>Posibilitate, necesitate sau optimum, distinct de unicitatea unei valori.</w:t>
            </w:r>
          </w:p>
        </w:tc>
      </w:tr>
    </w:tbl>
    <w:p>
      <w:pPr>
        <w:spacing w:after="20"/>
        <w:jc w:val="both"/>
      </w:pPr>
      <w:r/>
    </w:p>
    <w:p>
      <w:pPr>
        <w:jc w:val="both"/>
      </w:pPr>
      <w:r>
        <w:t>Un diagnostic poate găsi două explicații compatibile și apoi sugera o întrebare care le separă. Aceasta este o formă concretă de comportament activ: sistemul alege ce informație lipsește, în loc să verbalizeze prematur o cauză. Verificarea fizică ori accesul la un API rămâne responsabilitatea unui instrument autorizat. Un rezultat de simulare nu este introdus în memorie drept eveniment observat.</w:t>
      </w:r>
    </w:p>
    <w:p>
      <w:pPr>
        <w:jc w:val="both"/>
      </w:pPr>
      <w:r>
        <w:t>Motorul de referință nu este optimizat pentru spații mari. Simplitatea sa permite inspectarea deciziilor și oferă un reper pentru alte strategii. Acoperirea tuturor familiilor din tabel nu echivalează cu rezolvarea tuturor instanțelor lor: planificarea contingentă, modelele probabilistice generale și analogiile deschise depășesc profilurile livrate.</w:t>
      </w:r>
    </w:p>
    <w:p>
      <w:pPr>
        <w:pStyle w:val="Heading2"/>
      </w:pPr>
      <w:r>
        <w:t>6.2. Strategii compuse și contractul de substituție</w:t>
      </w:r>
    </w:p>
    <w:p>
      <w:pPr>
        <w:jc w:val="both"/>
      </w:pPr>
      <w:r>
        <w:t>Strategia avansată poate delega profilul relațional către Prolog, restricțiile către Z3 și restul operațiilor către controlere specializate. Un circuit poate combina aceste rezultate. Pentru fiecare operație se raportează backend-ul efectiv, fallback-ul și limitele. Un nume precum «advanced» este o configurație, nu o dovadă de superioritate; în demonstrațiile actuale, indisponibilitatea executabilelor externe a condus explicit la fallback JS.</w:t>
      </w:r>
    </w:p>
    <w:p>
      <w:pPr>
        <w:jc w:val="both"/>
      </w:pPr>
      <w:r>
        <w:t>Înlocuirea unei strategii este validă când aceasta respectă sensul operațiilor acceptate. Nu cerem ca două strategii cu bugete diferite să găsească întotdeauna același număr de răspunsuri. Cerem ca ele să nu transforme un candidat în observație, o căutare parțială în enumerare completă sau existența unui model în demonstrarea unei afirmații. Rezultatele incomparabile semantic trebuie marcate ca atare, nu reunite într-un singur scor.</w:t>
      </w:r>
    </w:p>
    <w:p>
      <w:pPr>
        <w:jc w:val="both"/>
      </w:pPr>
      <w:r>
        <w:t>O garanție locală poate fi formulată fără a pretinde o demonstrație a întregului software: dacă premisele admise sunt cele declarate, regulile au sensul aprobat și interpretorul respectă acel sens, concluziile sale sunt consecințe ale acestui submodel. O memorie care omite fapte nu invalidează automat o derivare pozitivă deja justificată, dar poate invalida pretențiile despre unicitate, numărare, absență, optimum sau lipsa conflictelor. Acesta este motivul pentru care acoperirea este parte a rezultatului, nu doar statistică de performanță.</w:t>
      </w:r>
    </w:p>
    <w:p>
      <w:pPr>
        <w:pStyle w:val="Heading1"/>
      </w:pPr>
      <w:r>
        <w:t>7. Componenta lingvistică mică și învățarea sistemului</w:t>
      </w:r>
    </w:p>
    <w:p>
      <w:pPr>
        <w:pStyle w:val="Heading2"/>
      </w:pPr>
      <w:r>
        <w:t>7.1. Două sarcini neuronale, nu două surse de adevăr</w:t>
      </w:r>
    </w:p>
    <w:p>
      <w:pPr>
        <w:jc w:val="both"/>
      </w:pPr>
      <w:r>
        <w:t>Formalizatorul mapează textul și micro-contextul către SOP; verbalizatorul mapează un rezultat controlat către formulare naturală. Cele două roluri pot folosi modele separate, adaptoare diferite pe aceeași bază sau chiar un singur model condiționat de sarcină. Avantajul separării este specializarea și evaluarea independentă. Costul este memoria suplimentară și latența a două generări. Pentru experimentele inițiale, verbalizatorul poate fi omis: CNL este deja un răspuns utilizabil.</w:t>
      </w:r>
    </w:p>
    <w:p>
      <w:pPr>
        <w:jc w:val="both"/>
      </w:pPr>
      <w:r>
        <w:t>Resolverul simbolic caută aliasuri și oferă o listă scurtă de entități și predicate. Identificatorii interni sunt independenți de limbă. «Lucrează la», «works at» și expresii din alte limbi pot indica același predicat, dar contractarea, angajarea și colaborarea nu trebuie unificate doar pentru că sunt apropiate lexical. Diacriticele, omonimia, negația și timpul pot modifica sensul. Multilingvismul nu este gratuit: dicționarul reduce căutarea, iar modelul trebuie să interpreteze construcțiile rămase.</w:t>
      </w:r>
    </w:p>
    <w:p>
      <w:pPr>
        <w:jc w:val="both"/>
      </w:pPr>
      <w:r>
        <w:t>Un context mic se obține prin selectarea procedurilor și a simbolurilor relevante, nu prin eliminarea oarbă a istoricului. Documentele lungi pot fi segmentate și formalizate incremental, păstrând identitatea surselor, referințele și afirmațiile încă ambigue. O eroare de rezolvare a unui pronume se poate propaga perfect prin solver; faptul că următorii pași sunt determinist corecți nu o repară.</w:t>
      </w:r>
    </w:p>
    <w:p>
      <w:pPr>
        <w:pStyle w:val="Heading2"/>
      </w:pPr>
      <w:r>
        <w:t>7.2. Dimensiune și latență: ipoteze explicite</w:t>
      </w:r>
    </w:p>
    <w:p>
      <w:pPr>
        <w:jc w:val="both"/>
      </w:pPr>
      <w:r>
        <w:t>Gemma 3 270M IT și Qwen3 0.6B sunt candidați concreți pentru această separare [18,19]. Documentația lor nu reprezintă însă o validare a mapării română → SOP. În special, suportul multilingv al unei familii nu dovedește fiabilitatea celui mai mic membru pe ambiguități, corecții și întrebări compuse. Estimarea de lucru este că intervalul 300M–800M merită explorat pentru un formalizator specializat; nu este un prag minim demonstrat.</w:t>
      </w:r>
    </w:p>
    <w:p>
      <w:pPr>
        <w:jc w:val="both"/>
      </w:pPr>
      <w:r>
        <w:t>Tabelul 4 separă dimensiunea neuronală de o afirmație despre inteligență. Valorile pentru greutăți sunt simple calcule nominale la patru biți per parametru, nu dimensiuni garantate de fișier și nici RAM total. Tokenizerul, unele tensori necuantizate, cache-ul de atenție, runtime-ul și memoria simbolică se adaugă.</w:t>
      </w:r>
    </w:p>
    <w:p>
      <w:pPr>
        <w:pStyle w:val="Caption"/>
      </w:pPr>
      <w:r>
        <w:t>Tabelul 4. Scenarii de proiectare pentru formalizator; evaluări prospective, nu rezultate experimentale.</w:t>
      </w:r>
    </w:p>
    <w:tbl>
      <w:tblPr>
        <w:tblW w:type="auto" w:w="0"/>
        <w:tblLayout w:type="fixed"/>
        <w:tblLook w:firstColumn="1" w:firstRow="1" w:lastColumn="0" w:lastRow="0" w:noHBand="0" w:noVBand="1" w:val="04A0"/>
      </w:tblPr>
      <w:tblGrid>
        <w:gridCol w:w="1814"/>
        <w:gridCol w:w="5443"/>
        <w:gridCol w:w="2268"/>
      </w:tblGrid>
      <w:tr>
        <w:trPr>
          <w:cantSplit/>
          <w:tblHeader/>
        </w:trPr>
        <w:tc>
          <w:tcPr>
            <w:tcW w:type="dxa" w:w="1814"/>
            <w:tcMar>
              <w:top w:w="80" w:type="dxa"/>
              <w:left w:w="80" w:type="dxa"/>
              <w:bottom w:w="80" w:type="dxa"/>
              <w:right w:w="80" w:type="dxa"/>
            </w:tcMar>
            <w:shd w:fill="E9E9E9"/>
          </w:tcPr>
          <w:p>
            <w:pPr>
              <w:spacing w:after="60" w:line="245" w:lineRule="auto"/>
            </w:pPr>
            <w:r>
              <w:rPr>
                <w:b/>
                <w:sz w:val="19"/>
              </w:rPr>
              <w:t>Mărime</w:t>
            </w:r>
          </w:p>
        </w:tc>
        <w:tc>
          <w:tcPr>
            <w:tcW w:type="dxa" w:w="5443"/>
            <w:tcMar>
              <w:top w:w="80" w:type="dxa"/>
              <w:left w:w="80" w:type="dxa"/>
              <w:bottom w:w="80" w:type="dxa"/>
              <w:right w:w="80" w:type="dxa"/>
            </w:tcMar>
            <w:shd w:fill="E9E9E9"/>
          </w:tcPr>
          <w:p>
            <w:pPr>
              <w:spacing w:after="60" w:line="245" w:lineRule="auto"/>
            </w:pPr>
            <w:r>
              <w:rPr>
                <w:b/>
                <w:sz w:val="19"/>
              </w:rPr>
              <w:t>Rol plauzibil de testat</w:t>
            </w:r>
          </w:p>
        </w:tc>
        <w:tc>
          <w:tcPr>
            <w:tcW w:type="dxa" w:w="2268"/>
            <w:tcMar>
              <w:top w:w="80" w:type="dxa"/>
              <w:left w:w="80" w:type="dxa"/>
              <w:bottom w:w="80" w:type="dxa"/>
              <w:right w:w="80" w:type="dxa"/>
            </w:tcMar>
            <w:shd w:fill="E9E9E9"/>
          </w:tcPr>
          <w:p>
            <w:pPr>
              <w:spacing w:after="60" w:line="245" w:lineRule="auto"/>
            </w:pPr>
            <w:r>
              <w:rPr>
                <w:b/>
                <w:sz w:val="19"/>
              </w:rPr>
              <w:t>Greutăți Q4 nominale</w:t>
            </w:r>
          </w:p>
        </w:tc>
      </w:tr>
      <w:tr>
        <w:trPr>
          <w:cantSplit/>
        </w:trPr>
        <w:tc>
          <w:tcPr>
            <w:tcW w:type="dxa" w:w="1814"/>
            <w:tcMar>
              <w:top w:w="80" w:type="dxa"/>
              <w:left w:w="80" w:type="dxa"/>
              <w:bottom w:w="80" w:type="dxa"/>
              <w:right w:w="80" w:type="dxa"/>
            </w:tcMar>
            <w:shd w:fill="FFFFFF"/>
          </w:tcPr>
          <w:p>
            <w:pPr>
              <w:spacing w:after="60" w:line="245" w:lineRule="auto"/>
            </w:pPr>
            <w:r>
              <w:rPr>
                <w:b w:val="0"/>
                <w:sz w:val="19"/>
              </w:rPr>
              <w:t>Sub 100M</w:t>
            </w:r>
          </w:p>
        </w:tc>
        <w:tc>
          <w:tcPr>
            <w:tcW w:type="dxa" w:w="5443"/>
            <w:tcMar>
              <w:top w:w="80" w:type="dxa"/>
              <w:left w:w="80" w:type="dxa"/>
              <w:bottom w:w="80" w:type="dxa"/>
              <w:right w:w="80" w:type="dxa"/>
            </w:tcMar>
            <w:shd w:fill="FFFFFF"/>
          </w:tcPr>
          <w:p>
            <w:pPr>
              <w:spacing w:after="60" w:line="245" w:lineRule="auto"/>
            </w:pPr>
            <w:r>
              <w:rPr>
                <w:b w:val="0"/>
                <w:sz w:val="19"/>
              </w:rPr>
              <w:t>Parser foarte delimitat; risc ridicat pe limbaj liber și fenomene noi.</w:t>
            </w:r>
          </w:p>
        </w:tc>
        <w:tc>
          <w:tcPr>
            <w:tcW w:type="dxa" w:w="2268"/>
            <w:tcMar>
              <w:top w:w="80" w:type="dxa"/>
              <w:left w:w="80" w:type="dxa"/>
              <w:bottom w:w="80" w:type="dxa"/>
              <w:right w:w="80" w:type="dxa"/>
            </w:tcMar>
            <w:shd w:fill="FFFFFF"/>
          </w:tcPr>
          <w:p>
            <w:pPr>
              <w:spacing w:after="60" w:line="245" w:lineRule="auto"/>
            </w:pPr>
            <w:r>
              <w:rPr>
                <w:b w:val="0"/>
                <w:sz w:val="19"/>
              </w:rPr>
              <w:t>Sub 50 MB</w:t>
            </w:r>
          </w:p>
        </w:tc>
      </w:tr>
      <w:tr>
        <w:trPr>
          <w:cantSplit/>
        </w:trPr>
        <w:tc>
          <w:tcPr>
            <w:tcW w:type="dxa" w:w="1814"/>
            <w:tcMar>
              <w:top w:w="80" w:type="dxa"/>
              <w:left w:w="80" w:type="dxa"/>
              <w:bottom w:w="80" w:type="dxa"/>
              <w:right w:w="80" w:type="dxa"/>
            </w:tcMar>
            <w:shd w:fill="F8F8F8"/>
          </w:tcPr>
          <w:p>
            <w:pPr>
              <w:spacing w:after="60" w:line="245" w:lineRule="auto"/>
            </w:pPr>
            <w:r>
              <w:rPr>
                <w:b w:val="0"/>
                <w:sz w:val="19"/>
              </w:rPr>
              <w:t>150M–300M</w:t>
            </w:r>
          </w:p>
        </w:tc>
        <w:tc>
          <w:tcPr>
            <w:tcW w:type="dxa" w:w="5443"/>
            <w:tcMar>
              <w:top w:w="80" w:type="dxa"/>
              <w:left w:w="80" w:type="dxa"/>
              <w:bottom w:w="80" w:type="dxa"/>
              <w:right w:w="80" w:type="dxa"/>
            </w:tcMar>
            <w:shd w:fill="F8F8F8"/>
          </w:tcPr>
          <w:p>
            <w:pPr>
              <w:spacing w:after="60" w:line="245" w:lineRule="auto"/>
            </w:pPr>
            <w:r>
              <w:rPr>
                <w:b w:val="0"/>
                <w:sz w:val="19"/>
              </w:rPr>
              <w:t>Formalizator specializat cu resolver, proceduri și abținere.</w:t>
            </w:r>
          </w:p>
        </w:tc>
        <w:tc>
          <w:tcPr>
            <w:tcW w:type="dxa" w:w="2268"/>
            <w:tcMar>
              <w:top w:w="80" w:type="dxa"/>
              <w:left w:w="80" w:type="dxa"/>
              <w:bottom w:w="80" w:type="dxa"/>
              <w:right w:w="80" w:type="dxa"/>
            </w:tcMar>
            <w:shd w:fill="F8F8F8"/>
          </w:tcPr>
          <w:p>
            <w:pPr>
              <w:spacing w:after="60" w:line="245" w:lineRule="auto"/>
            </w:pPr>
            <w:r>
              <w:rPr>
                <w:b w:val="0"/>
                <w:sz w:val="19"/>
              </w:rPr>
              <w:t>75–150 MB</w:t>
            </w:r>
          </w:p>
        </w:tc>
      </w:tr>
      <w:tr>
        <w:trPr>
          <w:cantSplit/>
        </w:trPr>
        <w:tc>
          <w:tcPr>
            <w:tcW w:type="dxa" w:w="1814"/>
            <w:tcMar>
              <w:top w:w="80" w:type="dxa"/>
              <w:left w:w="80" w:type="dxa"/>
              <w:bottom w:w="80" w:type="dxa"/>
              <w:right w:w="80" w:type="dxa"/>
            </w:tcMar>
            <w:shd w:fill="FFFFFF"/>
          </w:tcPr>
          <w:p>
            <w:pPr>
              <w:spacing w:after="60" w:line="245" w:lineRule="auto"/>
            </w:pPr>
            <w:r>
              <w:rPr>
                <w:b w:val="0"/>
                <w:sz w:val="19"/>
              </w:rPr>
              <w:t>300M–800M</w:t>
            </w:r>
          </w:p>
        </w:tc>
        <w:tc>
          <w:tcPr>
            <w:tcW w:type="dxa" w:w="5443"/>
            <w:tcMar>
              <w:top w:w="80" w:type="dxa"/>
              <w:left w:w="80" w:type="dxa"/>
              <w:bottom w:w="80" w:type="dxa"/>
              <w:right w:w="80" w:type="dxa"/>
            </w:tcMar>
            <w:shd w:fill="FFFFFF"/>
          </w:tcPr>
          <w:p>
            <w:pPr>
              <w:spacing w:after="60" w:line="245" w:lineRule="auto"/>
            </w:pPr>
            <w:r>
              <w:rPr>
                <w:b w:val="0"/>
                <w:sz w:val="19"/>
              </w:rPr>
              <w:t>Interval prioritar pentru combinația robustețe–cost.</w:t>
            </w:r>
          </w:p>
        </w:tc>
        <w:tc>
          <w:tcPr>
            <w:tcW w:type="dxa" w:w="2268"/>
            <w:tcMar>
              <w:top w:w="80" w:type="dxa"/>
              <w:left w:w="80" w:type="dxa"/>
              <w:bottom w:w="80" w:type="dxa"/>
              <w:right w:w="80" w:type="dxa"/>
            </w:tcMar>
            <w:shd w:fill="FFFFFF"/>
          </w:tcPr>
          <w:p>
            <w:pPr>
              <w:spacing w:after="60" w:line="245" w:lineRule="auto"/>
            </w:pPr>
            <w:r>
              <w:rPr>
                <w:b w:val="0"/>
                <w:sz w:val="19"/>
              </w:rPr>
              <w:t>150–400 MB</w:t>
            </w:r>
          </w:p>
        </w:tc>
      </w:tr>
      <w:tr>
        <w:trPr>
          <w:cantSplit/>
        </w:trPr>
        <w:tc>
          <w:tcPr>
            <w:tcW w:type="dxa" w:w="1814"/>
            <w:tcMar>
              <w:top w:w="80" w:type="dxa"/>
              <w:left w:w="80" w:type="dxa"/>
              <w:bottom w:w="80" w:type="dxa"/>
              <w:right w:w="80" w:type="dxa"/>
            </w:tcMar>
            <w:shd w:fill="F8F8F8"/>
          </w:tcPr>
          <w:p>
            <w:pPr>
              <w:spacing w:after="60" w:line="245" w:lineRule="auto"/>
            </w:pPr>
            <w:r>
              <w:rPr>
                <w:b w:val="0"/>
                <w:sz w:val="19"/>
              </w:rPr>
              <w:t>1B–2B</w:t>
            </w:r>
          </w:p>
        </w:tc>
        <w:tc>
          <w:tcPr>
            <w:tcW w:type="dxa" w:w="5443"/>
            <w:tcMar>
              <w:top w:w="80" w:type="dxa"/>
              <w:left w:w="80" w:type="dxa"/>
              <w:bottom w:w="80" w:type="dxa"/>
              <w:right w:w="80" w:type="dxa"/>
            </w:tcMar>
            <w:shd w:fill="F8F8F8"/>
          </w:tcPr>
          <w:p>
            <w:pPr>
              <w:spacing w:after="60" w:line="245" w:lineRule="auto"/>
            </w:pPr>
            <w:r>
              <w:rPr>
                <w:b w:val="0"/>
                <w:sz w:val="19"/>
              </w:rPr>
              <w:t>Control cu mai multă capacitate lingvistică; avantajul trebuie raportat la cost.</w:t>
            </w:r>
          </w:p>
        </w:tc>
        <w:tc>
          <w:tcPr>
            <w:tcW w:type="dxa" w:w="2268"/>
            <w:tcMar>
              <w:top w:w="80" w:type="dxa"/>
              <w:left w:w="80" w:type="dxa"/>
              <w:bottom w:w="80" w:type="dxa"/>
              <w:right w:w="80" w:type="dxa"/>
            </w:tcMar>
            <w:shd w:fill="F8F8F8"/>
          </w:tcPr>
          <w:p>
            <w:pPr>
              <w:spacing w:after="60" w:line="245" w:lineRule="auto"/>
            </w:pPr>
            <w:r>
              <w:rPr>
                <w:b w:val="0"/>
                <w:sz w:val="19"/>
              </w:rPr>
              <w:t>500–1.000 MB</w:t>
            </w:r>
          </w:p>
        </w:tc>
      </w:tr>
    </w:tbl>
    <w:p>
      <w:pPr>
        <w:spacing w:after="20"/>
        <w:jc w:val="both"/>
      </w:pPr>
      <w:r/>
    </w:p>
    <w:p>
      <w:pPr>
        <w:jc w:val="both"/>
      </w:pPr>
      <w:r>
        <w:t>Niciun benchmark CPU sau telefon al acestor modele nu este raportat în această lucrare. Pentru a interpreta costul, 80 de tokeni SOP la 20, 50 sau 100 tokeni pe secundă ar necesita respectiv 4, 1,6 sau 0,8 secunde numai pentru decodare. Acestea sunt scenarii aritmetice condiționale. Se adaugă procesarea intrării, retrieval-ul, reasoning-ul și eventuala verbalizare. O estimare «zeci de tokeni pe secundă» fără hardware, cuantizare, lungime și temperatură de funcționare nu ar fi un rezultat științific.</w:t>
      </w:r>
    </w:p>
    <w:p>
      <w:pPr>
        <w:jc w:val="both"/>
      </w:pPr>
      <w:r>
        <w:t>Procedurile recuperate pot reduce lungimea programului generat: modelul poate instanția o operație aprobată în loc să emită întreaga demonstrație. Aceasta este o sursă de eficiență diferită de reducerea numărului de parametri. În același timp, o problemă combinatorială poate costa mai mult în solver decât în ambele modele lingvistice. Latența finală trebuie tratată drept proprietate a sistemului, nu a formalizatorului izolat.</w:t>
      </w:r>
    </w:p>
    <w:p>
      <w:pPr>
        <w:pStyle w:val="Heading2"/>
      </w:pPr>
      <w:r>
        <w:t>7.3. Ce înseamnă a învăța</w:t>
      </w:r>
    </w:p>
    <w:p>
      <w:pPr>
        <w:jc w:val="both"/>
      </w:pPr>
      <w:r>
        <w:t>Învățarea factuală adaugă sau corectează cunoaștere fără modificarea greutăților. Învățarea procedurală publică reguli și subcircuite aprobate. Învățarea lingvistică modifică modelul pentru a produce și interpreta mai bine reprezentarea. Învățarea statistică a memoriei selectează vederi ori politici de retenție. Aceste mecanisme au obiective diferite și nu trebuie evaluate prin aceeași metrică.</w:t>
      </w:r>
    </w:p>
    <w:p>
      <w:pPr>
        <w:jc w:val="both"/>
      </w:pPr>
      <w:r>
        <w:t>Datele sintetice pentru formalizator se generează pornind de la lumi și programe valide, apoi se formulează și parafrazează cereri în limbaj natural. Validarea prin execuție elimină erori structurale, dar nu demonstrează echivalența dintre text și program; aceasta cere exemple contrastive, revizuire semantică și date independente. Pentru verbalizator, intrarea este rezultatul formal plus CNL, nu întrebarea fără dovezi. Reformularea trebuie să păstreze negațiile, condițiile și calificarea rezultatului.</w:t>
      </w:r>
    </w:p>
    <w:p>
      <w:pPr>
        <w:jc w:val="both"/>
      </w:pPr>
      <w:r>
        <w:t>O bibliotecă de proceduri și un corpus construite cu un model mare transferă competență în sistem chiar dacă inferența finală este realizată de un model mic. Costul profesorului, al revizuirii și al cunoașterii inițiale trebuie raportat. Arhitectura reduce cerințele de inferență ale componentei lingvistice; nu dovedește că întregul sistem a învățat fără muncă externă sau fără resurse substanțiale de dezvoltare.</w:t>
      </w:r>
    </w:p>
    <w:p>
      <w:pPr>
        <w:pStyle w:val="Heading1"/>
      </w:pPr>
      <w:r>
        <w:t>8. Dovezi progresive de fezabilitate</w:t>
      </w:r>
    </w:p>
    <w:p>
      <w:pPr>
        <w:pStyle w:val="Heading2"/>
      </w:pPr>
      <w:r>
        <w:t>8.1. Natura dovezilor și proveniența lor</w:t>
      </w:r>
    </w:p>
    <w:p>
      <w:pPr>
        <w:jc w:val="both"/>
      </w:pPr>
      <w:r>
        <w:t>Dovezile provin din trei artefacte locale: experimentul pe bytes [A1], experimentul de completare a faptelor [A2] și implementarea integrată RecallSOP [A3]. Primele două testează mecanisme de memorie; al treilea verifică interfețele și execuția. Pentru această versiune a manuscrisului au fost inspectate rapoartele și codul relevant și au fost rerulate suita Node și matricea de reasoning din A3. Timpii de memorie din tabelul 6 provin din rapoartele arhivate, nu dintr-o nouă măsurare pe Spark.</w:t>
      </w:r>
    </w:p>
    <w:p>
      <w:pPr>
        <w:jc w:val="both"/>
      </w:pPr>
      <w:r>
        <w:t>Această succesiune reprezintă o verificare treptată a construcției, nu un experiment prospectiv preregistrat. Exemplele au fost alese pentru a izola mecanismele. Nu este folosit un model neuronal antrenat în testele raportate aici. Numărul testelor software indică acoperirea unor contracte, nu acuratețe conversațională.</w:t>
      </w:r>
    </w:p>
    <w:p>
      <w:pPr>
        <w:pStyle w:val="Caption"/>
      </w:pPr>
      <w:r>
        <w:t>Tabelul 5. Demonstrații de mecanism și interpretarea lor limitată.</w:t>
      </w:r>
    </w:p>
    <w:tbl>
      <w:tblPr>
        <w:tblW w:type="auto" w:w="0"/>
        <w:tblLayout w:type="fixed"/>
        <w:tblLook w:firstColumn="1" w:firstRow="1" w:lastColumn="0" w:lastRow="0" w:noHBand="0" w:noVBand="1" w:val="04A0"/>
      </w:tblPr>
      <w:tblGrid>
        <w:gridCol w:w="1757"/>
        <w:gridCol w:w="4762"/>
        <w:gridCol w:w="3005"/>
      </w:tblGrid>
      <w:tr>
        <w:trPr>
          <w:cantSplit/>
          <w:tblHeader/>
        </w:trPr>
        <w:tc>
          <w:tcPr>
            <w:tcW w:type="dxa" w:w="1757"/>
            <w:tcMar>
              <w:top w:w="80" w:type="dxa"/>
              <w:left w:w="80" w:type="dxa"/>
              <w:bottom w:w="80" w:type="dxa"/>
              <w:right w:w="80" w:type="dxa"/>
            </w:tcMar>
            <w:shd w:fill="E9E9E9"/>
          </w:tcPr>
          <w:p>
            <w:pPr>
              <w:spacing w:after="60" w:line="245" w:lineRule="auto"/>
            </w:pPr>
            <w:r>
              <w:rPr>
                <w:b/>
                <w:sz w:val="19"/>
              </w:rPr>
              <w:t>Experiment</w:t>
            </w:r>
          </w:p>
        </w:tc>
        <w:tc>
          <w:tcPr>
            <w:tcW w:type="dxa" w:w="4762"/>
            <w:tcMar>
              <w:top w:w="80" w:type="dxa"/>
              <w:left w:w="80" w:type="dxa"/>
              <w:bottom w:w="80" w:type="dxa"/>
              <w:right w:w="80" w:type="dxa"/>
            </w:tcMar>
            <w:shd w:fill="E9E9E9"/>
          </w:tcPr>
          <w:p>
            <w:pPr>
              <w:spacing w:after="60" w:line="245" w:lineRule="auto"/>
            </w:pPr>
            <w:r>
              <w:rPr>
                <w:b/>
                <w:sz w:val="19"/>
              </w:rPr>
              <w:t>Configurație și rezultat</w:t>
            </w:r>
          </w:p>
        </w:tc>
        <w:tc>
          <w:tcPr>
            <w:tcW w:type="dxa" w:w="3005"/>
            <w:tcMar>
              <w:top w:w="80" w:type="dxa"/>
              <w:left w:w="80" w:type="dxa"/>
              <w:bottom w:w="80" w:type="dxa"/>
              <w:right w:w="80" w:type="dxa"/>
            </w:tcMar>
            <w:shd w:fill="E9E9E9"/>
          </w:tcPr>
          <w:p>
            <w:pPr>
              <w:spacing w:after="60" w:line="245" w:lineRule="auto"/>
            </w:pPr>
            <w:r>
              <w:rPr>
                <w:b/>
                <w:sz w:val="19"/>
              </w:rPr>
              <w:t>Ce susține</w:t>
            </w:r>
          </w:p>
        </w:tc>
      </w:tr>
      <w:tr>
        <w:trPr>
          <w:cantSplit/>
        </w:trPr>
        <w:tc>
          <w:tcPr>
            <w:tcW w:type="dxa" w:w="1757"/>
            <w:tcMar>
              <w:top w:w="80" w:type="dxa"/>
              <w:left w:w="80" w:type="dxa"/>
              <w:bottom w:w="80" w:type="dxa"/>
              <w:right w:w="80" w:type="dxa"/>
            </w:tcMar>
            <w:shd w:fill="FFFFFF"/>
          </w:tcPr>
          <w:p>
            <w:pPr>
              <w:spacing w:after="60" w:line="245" w:lineRule="auto"/>
            </w:pPr>
            <w:r>
              <w:rPr>
                <w:b w:val="0"/>
                <w:sz w:val="19"/>
              </w:rPr>
              <w:t>Completare pe text [A1]</w:t>
            </w:r>
          </w:p>
        </w:tc>
        <w:tc>
          <w:tcPr>
            <w:tcW w:type="dxa" w:w="4762"/>
            <w:tcMar>
              <w:top w:w="80" w:type="dxa"/>
              <w:left w:w="80" w:type="dxa"/>
              <w:bottom w:w="80" w:type="dxa"/>
              <w:right w:w="80" w:type="dxa"/>
            </w:tcMar>
            <w:shd w:fill="FFFFFF"/>
          </w:tcPr>
          <w:p>
            <w:pPr>
              <w:spacing w:after="60" w:line="245" w:lineRule="auto"/>
            </w:pPr>
            <w:r>
              <w:rPr>
                <w:b w:val="0"/>
                <w:sz w:val="19"/>
              </w:rPr>
              <w:t>180.000 bytes UTF-8; 12 vederi de câte 4 poziții; 384 KiB de bitset-uri. 594/600 bytes izolați lipsă au fost reconstruiți unic; 6 abțineri și 0 completări greșite.</w:t>
            </w:r>
          </w:p>
        </w:tc>
        <w:tc>
          <w:tcPr>
            <w:tcW w:type="dxa" w:w="3005"/>
            <w:tcMar>
              <w:top w:w="80" w:type="dxa"/>
              <w:left w:w="80" w:type="dxa"/>
              <w:bottom w:w="80" w:type="dxa"/>
              <w:right w:w="80" w:type="dxa"/>
            </w:tcMar>
            <w:shd w:fill="FFFFFF"/>
          </w:tcPr>
          <w:p>
            <w:pPr>
              <w:spacing w:after="60" w:line="245" w:lineRule="auto"/>
            </w:pPr>
            <w:r>
              <w:rPr>
                <w:b w:val="0"/>
                <w:sz w:val="19"/>
              </w:rPr>
              <w:t>Recuperare din indicii în text memorat. Nu generare de cunoaștere nouă și nu compresie fără pierderi.</w:t>
            </w:r>
          </w:p>
        </w:tc>
      </w:tr>
      <w:tr>
        <w:trPr>
          <w:cantSplit/>
        </w:trPr>
        <w:tc>
          <w:tcPr>
            <w:tcW w:type="dxa" w:w="1757"/>
            <w:tcMar>
              <w:top w:w="80" w:type="dxa"/>
              <w:left w:w="80" w:type="dxa"/>
              <w:bottom w:w="80" w:type="dxa"/>
              <w:right w:w="80" w:type="dxa"/>
            </w:tcMar>
            <w:shd w:fill="F8F8F8"/>
          </w:tcPr>
          <w:p>
            <w:pPr>
              <w:spacing w:after="60" w:line="245" w:lineRule="auto"/>
            </w:pPr>
            <w:r>
              <w:rPr>
                <w:b w:val="0"/>
                <w:sz w:val="19"/>
              </w:rPr>
              <w:t>Fapte structurate [A2]</w:t>
            </w:r>
          </w:p>
        </w:tc>
        <w:tc>
          <w:tcPr>
            <w:tcW w:type="dxa" w:w="4762"/>
            <w:tcMar>
              <w:top w:w="80" w:type="dxa"/>
              <w:left w:w="80" w:type="dxa"/>
              <w:bottom w:w="80" w:type="dxa"/>
              <w:right w:w="80" w:type="dxa"/>
            </w:tcMar>
            <w:shd w:fill="F8F8F8"/>
          </w:tcPr>
          <w:p>
            <w:pPr>
              <w:spacing w:after="60" w:line="245" w:lineRule="auto"/>
            </w:pPr>
            <w:r>
              <w:rPr>
                <w:b w:val="0"/>
                <w:sz w:val="19"/>
              </w:rPr>
              <w:t>1.000.000 de fapte sintetice, 6 câmpuri, 20 de vederi; 10 MiB de bitset-uri. Un câmp lipsă: 1.439/1.440 corecte. Două câmpuri: 227/240 completate integral. Trei câmpuri: 73/240.</w:t>
            </w:r>
          </w:p>
        </w:tc>
        <w:tc>
          <w:tcPr>
            <w:tcW w:type="dxa" w:w="3005"/>
            <w:tcMar>
              <w:top w:w="80" w:type="dxa"/>
              <w:left w:w="80" w:type="dxa"/>
              <w:bottom w:w="80" w:type="dxa"/>
              <w:right w:w="80" w:type="dxa"/>
            </w:tcMar>
            <w:shd w:fill="F8F8F8"/>
          </w:tcPr>
          <w:p>
            <w:pPr>
              <w:spacing w:after="60" w:line="245" w:lineRule="auto"/>
            </w:pPr>
            <w:r>
              <w:rPr>
                <w:b w:val="0"/>
                <w:sz w:val="19"/>
              </w:rPr>
              <w:t>Completion direct fără tabelul original în decodor; degradare evidentă când indiciul pierde informație.</w:t>
            </w:r>
          </w:p>
        </w:tc>
      </w:tr>
      <w:tr>
        <w:trPr>
          <w:cantSplit/>
        </w:trPr>
        <w:tc>
          <w:tcPr>
            <w:tcW w:type="dxa" w:w="1757"/>
            <w:tcMar>
              <w:top w:w="80" w:type="dxa"/>
              <w:left w:w="80" w:type="dxa"/>
              <w:bottom w:w="80" w:type="dxa"/>
              <w:right w:w="80" w:type="dxa"/>
            </w:tcMar>
            <w:shd w:fill="FFFFFF"/>
          </w:tcPr>
          <w:p>
            <w:pPr>
              <w:spacing w:after="60" w:line="245" w:lineRule="auto"/>
            </w:pPr>
            <w:r>
              <w:rPr>
                <w:b w:val="0"/>
                <w:sz w:val="19"/>
              </w:rPr>
              <w:t>Execuție integrată [A3]</w:t>
            </w:r>
          </w:p>
        </w:tc>
        <w:tc>
          <w:tcPr>
            <w:tcW w:type="dxa" w:w="4762"/>
            <w:tcMar>
              <w:top w:w="80" w:type="dxa"/>
              <w:left w:w="80" w:type="dxa"/>
              <w:bottom w:w="80" w:type="dxa"/>
              <w:right w:w="80" w:type="dxa"/>
            </w:tcMar>
            <w:shd w:fill="FFFFFF"/>
          </w:tcPr>
          <w:p>
            <w:pPr>
              <w:spacing w:after="60" w:line="245" w:lineRule="auto"/>
            </w:pPr>
            <w:r>
              <w:rPr>
                <w:b w:val="0"/>
                <w:sz w:val="19"/>
              </w:rPr>
              <w:t>306 teste trecute; 11 teste de backend extern sărite. 14 scenarii × 5 memorii × 2 strategii: 140 execuții verificate.</w:t>
            </w:r>
          </w:p>
        </w:tc>
        <w:tc>
          <w:tcPr>
            <w:tcW w:type="dxa" w:w="3005"/>
            <w:tcMar>
              <w:top w:w="80" w:type="dxa"/>
              <w:left w:w="80" w:type="dxa"/>
              <w:bottom w:w="80" w:type="dxa"/>
              <w:right w:w="80" w:type="dxa"/>
            </w:tcMar>
            <w:shd w:fill="FFFFFF"/>
          </w:tcPr>
          <w:p>
            <w:pPr>
              <w:spacing w:after="60" w:line="245" w:lineRule="auto"/>
            </w:pPr>
            <w:r>
              <w:rPr>
                <w:b w:val="0"/>
                <w:sz w:val="19"/>
              </w:rPr>
              <w:t>Compoziția mecanismelor pe lumi mici. Ambele strategii au folosit JS în aceste rulări.</w:t>
            </w:r>
          </w:p>
        </w:tc>
      </w:tr>
    </w:tbl>
    <w:p>
      <w:pPr>
        <w:spacing w:after="20"/>
        <w:jc w:val="both"/>
      </w:pPr>
      <w:r/>
    </w:p>
    <w:p>
      <w:pPr>
        <w:jc w:val="both"/>
      </w:pPr>
      <w:r>
        <w:t>În A1, vederile au fost selectate pe trei texte, apoi memoria de test a fost construită din alt text. Decoderul primește banca și indiciul, nu caută răspunsul în documentul original. Materialul este un corpus local, nu un benchmark reprezentativ pentru toate limbile. Banca de 384 KiB este mai mare decât fluxul de 180.000 bytes; rezultatul ilustrează recuperarea asociativă, nu superioritatea compresiei față de păstrarea exactă a textului.</w:t>
      </w:r>
    </w:p>
    <w:p>
      <w:pPr>
        <w:jc w:val="both"/>
      </w:pPr>
      <w:r>
        <w:t>În A2, domeniile sunt cunoscute și finite: subiectul și obiectul au câte 16.384 valori posibile, iar celelalte câmpuri au domenii mai mici. La un câmp lipsă, celelalte cinci sunt furnizate exact. Acesta este un indiciu puternic, care explică de ce rezultatul nu trebuie extrapolat la întrebarea deschisă «ce știi despre această persoană?». Rata scăzută la trei câmpuri lipsă este un rezultat informativ: arată limita indiciilor și a metodei conservative de propagare.</w:t>
      </w:r>
    </w:p>
    <w:p>
      <w:pPr>
        <w:jc w:val="both"/>
      </w:pPr>
      <w:r>
        <w:t>Cele 1.530 de ținte SOP din setul integrat au fost executate pe fiecare strategie de memorie. Această verificare arată că programele țintă sunt utilizabile; nu arată că un LLM le poate produce din formulări noi. Un set generat de aceiași autori și executat de același runtime nu este o evaluare independentă a semanticii.</w:t>
      </w:r>
    </w:p>
    <w:p>
      <w:pPr>
        <w:pStyle w:val="Heading2"/>
      </w:pPr>
      <w:r>
        <w:t>8.2. O comparație numerică a memoriilor</w:t>
      </w:r>
    </w:p>
    <w:p>
      <w:pPr>
        <w:jc w:val="both"/>
      </w:pPr>
      <w:r>
        <w:t>Comparația A3 folosește 100.000 de inserări pe seed, trei seed-uri și același generator de fapte binare pentru fiecare motor. Numărul de tuple distincte este 99.922–99.932. Există 128 de valori de obiect; unele subiecte au mai multe valori. Pe fiecare seed sunt evaluate 80 de completări directe, 20 de chei absente și două interogări inverse largi. Prin urmare, tabelul agregă 240 de completări și numai șase interogări inverse, nu mii de întrebări independente.</w:t>
      </w:r>
    </w:p>
    <w:p>
      <w:pPr>
        <w:jc w:val="both"/>
      </w:pPr>
      <w:r>
        <w:t>Recall-ul numără faptele corecte recuperate din faptele așteptate. La completări sunt 261 de răspunsuri așteptate; la inverse sunt 4.665. Holo recuperează 252, respectiv 846. Celelalte trei motoare recuperează toate răspunsurile acestor probe. Latența este mediana observațiilor de completare, după încălzirea cache-ului. Hardware-ul raportat este AMD EPYC 9V74, Linux x64, Node 22.16.0; nu un telefon și nu DGX Spark.</w:t>
      </w:r>
    </w:p>
    <w:p>
      <w:pPr>
        <w:pStyle w:val="Caption"/>
      </w:pPr>
      <w:r>
        <w:t>Tabelul 6. Comparație arhivată a nucleelor de memorie la 100.000 de inserări/seed [A3]. Bugetele totale nu sunt egalizate.</w:t>
      </w:r>
    </w:p>
    <w:tbl>
      <w:tblPr>
        <w:tblW w:type="auto" w:w="0"/>
        <w:tblLayout w:type="fixed"/>
        <w:tblLook w:firstColumn="1" w:firstRow="1" w:lastColumn="0" w:lastRow="0" w:noHBand="0" w:noVBand="1" w:val="04A0"/>
      </w:tblPr>
      <w:tblGrid>
        <w:gridCol w:w="1304"/>
        <w:gridCol w:w="1191"/>
        <w:gridCol w:w="1191"/>
        <w:gridCol w:w="1191"/>
        <w:gridCol w:w="2324"/>
        <w:gridCol w:w="2324"/>
      </w:tblGrid>
      <w:tr>
        <w:trPr>
          <w:cantSplit/>
          <w:tblHeader/>
        </w:trPr>
        <w:tc>
          <w:tcPr>
            <w:tcW w:type="dxa" w:w="1304"/>
            <w:tcMar>
              <w:top w:w="80" w:type="dxa"/>
              <w:left w:w="80" w:type="dxa"/>
              <w:bottom w:w="80" w:type="dxa"/>
              <w:right w:w="80" w:type="dxa"/>
            </w:tcMar>
            <w:shd w:fill="E9E9E9"/>
          </w:tcPr>
          <w:p>
            <w:pPr>
              <w:spacing w:after="60" w:line="245" w:lineRule="auto"/>
            </w:pPr>
            <w:r>
              <w:rPr>
                <w:b/>
                <w:sz w:val="19"/>
              </w:rPr>
              <w:t>Motor</w:t>
            </w:r>
          </w:p>
        </w:tc>
        <w:tc>
          <w:tcPr>
            <w:tcW w:type="dxa" w:w="1191"/>
            <w:tcMar>
              <w:top w:w="80" w:type="dxa"/>
              <w:left w:w="80" w:type="dxa"/>
              <w:bottom w:w="80" w:type="dxa"/>
              <w:right w:w="80" w:type="dxa"/>
            </w:tcMar>
            <w:shd w:fill="E9E9E9"/>
          </w:tcPr>
          <w:p>
            <w:pPr>
              <w:spacing w:after="60" w:line="245" w:lineRule="auto"/>
            </w:pPr>
            <w:r>
              <w:rPr>
                <w:b/>
                <w:sz w:val="19"/>
              </w:rPr>
              <w:t>Recall direct</w:t>
            </w:r>
          </w:p>
        </w:tc>
        <w:tc>
          <w:tcPr>
            <w:tcW w:type="dxa" w:w="1191"/>
            <w:tcMar>
              <w:top w:w="80" w:type="dxa"/>
              <w:left w:w="80" w:type="dxa"/>
              <w:bottom w:w="80" w:type="dxa"/>
              <w:right w:w="80" w:type="dxa"/>
            </w:tcMar>
            <w:shd w:fill="E9E9E9"/>
          </w:tcPr>
          <w:p>
            <w:pPr>
              <w:spacing w:after="60" w:line="245" w:lineRule="auto"/>
            </w:pPr>
            <w:r>
              <w:rPr>
                <w:b/>
                <w:sz w:val="19"/>
              </w:rPr>
              <w:t>Mediană ms</w:t>
            </w:r>
          </w:p>
        </w:tc>
        <w:tc>
          <w:tcPr>
            <w:tcW w:type="dxa" w:w="1191"/>
            <w:tcMar>
              <w:top w:w="80" w:type="dxa"/>
              <w:left w:w="80" w:type="dxa"/>
              <w:bottom w:w="80" w:type="dxa"/>
              <w:right w:w="80" w:type="dxa"/>
            </w:tcMar>
            <w:shd w:fill="E9E9E9"/>
          </w:tcPr>
          <w:p>
            <w:pPr>
              <w:spacing w:after="60" w:line="245" w:lineRule="auto"/>
            </w:pPr>
            <w:r>
              <w:rPr>
                <w:b/>
                <w:sz w:val="19"/>
              </w:rPr>
              <w:t>Recall invers</w:t>
            </w:r>
          </w:p>
        </w:tc>
        <w:tc>
          <w:tcPr>
            <w:tcW w:type="dxa" w:w="2324"/>
            <w:tcMar>
              <w:top w:w="80" w:type="dxa"/>
              <w:left w:w="80" w:type="dxa"/>
              <w:bottom w:w="80" w:type="dxa"/>
              <w:right w:w="80" w:type="dxa"/>
            </w:tcMar>
            <w:shd w:fill="E9E9E9"/>
          </w:tcPr>
          <w:p>
            <w:pPr>
              <w:spacing w:after="60" w:line="245" w:lineRule="auto"/>
            </w:pPr>
            <w:r>
              <w:rPr>
                <w:b/>
                <w:sz w:val="19"/>
              </w:rPr>
              <w:t>Bănci / stocare MiB</w:t>
            </w:r>
          </w:p>
        </w:tc>
        <w:tc>
          <w:tcPr>
            <w:tcW w:type="dxa" w:w="2324"/>
            <w:tcMar>
              <w:top w:w="80" w:type="dxa"/>
              <w:left w:w="80" w:type="dxa"/>
              <w:bottom w:w="80" w:type="dxa"/>
              <w:right w:w="80" w:type="dxa"/>
            </w:tcMar>
            <w:shd w:fill="E9E9E9"/>
          </w:tcPr>
          <w:p>
            <w:pPr>
              <w:spacing w:after="60" w:line="245" w:lineRule="auto"/>
            </w:pPr>
            <w:r>
              <w:rPr>
                <w:b/>
                <w:sz w:val="19"/>
              </w:rPr>
              <w:t>Metadate supl. MiB</w:t>
            </w:r>
          </w:p>
        </w:tc>
      </w:tr>
      <w:tr>
        <w:trPr>
          <w:cantSplit/>
        </w:trPr>
        <w:tc>
          <w:tcPr>
            <w:tcW w:type="dxa" w:w="1304"/>
            <w:tcMar>
              <w:top w:w="80" w:type="dxa"/>
              <w:left w:w="80" w:type="dxa"/>
              <w:bottom w:w="80" w:type="dxa"/>
              <w:right w:w="80" w:type="dxa"/>
            </w:tcMar>
            <w:shd w:fill="FFFFFF"/>
          </w:tcPr>
          <w:p>
            <w:pPr>
              <w:spacing w:after="60" w:line="245" w:lineRule="auto"/>
            </w:pPr>
            <w:r>
              <w:rPr>
                <w:b w:val="0"/>
                <w:sz w:val="19"/>
              </w:rPr>
              <w:t>Weaver</w:t>
            </w:r>
          </w:p>
        </w:tc>
        <w:tc>
          <w:tcPr>
            <w:tcW w:type="dxa" w:w="1191"/>
            <w:tcMar>
              <w:top w:w="80" w:type="dxa"/>
              <w:left w:w="80" w:type="dxa"/>
              <w:bottom w:w="80" w:type="dxa"/>
              <w:right w:w="80" w:type="dxa"/>
            </w:tcMar>
            <w:shd w:fill="FFFFFF"/>
          </w:tcPr>
          <w:p>
            <w:pPr>
              <w:spacing w:after="60" w:line="245" w:lineRule="auto"/>
            </w:pPr>
            <w:r>
              <w:rPr>
                <w:b w:val="0"/>
                <w:sz w:val="19"/>
              </w:rPr>
              <w:t>100%</w:t>
            </w:r>
          </w:p>
        </w:tc>
        <w:tc>
          <w:tcPr>
            <w:tcW w:type="dxa" w:w="1191"/>
            <w:tcMar>
              <w:top w:w="80" w:type="dxa"/>
              <w:left w:w="80" w:type="dxa"/>
              <w:bottom w:w="80" w:type="dxa"/>
              <w:right w:w="80" w:type="dxa"/>
            </w:tcMar>
            <w:shd w:fill="FFFFFF"/>
          </w:tcPr>
          <w:p>
            <w:pPr>
              <w:spacing w:after="60" w:line="245" w:lineRule="auto"/>
            </w:pPr>
            <w:r>
              <w:rPr>
                <w:b w:val="0"/>
                <w:sz w:val="19"/>
              </w:rPr>
              <w:t>2,404</w:t>
            </w:r>
          </w:p>
        </w:tc>
        <w:tc>
          <w:tcPr>
            <w:tcW w:type="dxa" w:w="1191"/>
            <w:tcMar>
              <w:top w:w="80" w:type="dxa"/>
              <w:left w:w="80" w:type="dxa"/>
              <w:bottom w:w="80" w:type="dxa"/>
              <w:right w:w="80" w:type="dxa"/>
            </w:tcMar>
            <w:shd w:fill="FFFFFF"/>
          </w:tcPr>
          <w:p>
            <w:pPr>
              <w:spacing w:after="60" w:line="245" w:lineRule="auto"/>
            </w:pPr>
            <w:r>
              <w:rPr>
                <w:b w:val="0"/>
                <w:sz w:val="19"/>
              </w:rPr>
              <w:t>100%</w:t>
            </w:r>
          </w:p>
        </w:tc>
        <w:tc>
          <w:tcPr>
            <w:tcW w:type="dxa" w:w="2324"/>
            <w:tcMar>
              <w:top w:w="80" w:type="dxa"/>
              <w:left w:w="80" w:type="dxa"/>
              <w:bottom w:w="80" w:type="dxa"/>
              <w:right w:w="80" w:type="dxa"/>
            </w:tcMar>
            <w:shd w:fill="FFFFFF"/>
          </w:tcPr>
          <w:p>
            <w:pPr>
              <w:spacing w:after="60" w:line="245" w:lineRule="auto"/>
            </w:pPr>
            <w:r>
              <w:rPr>
                <w:b w:val="0"/>
                <w:sz w:val="19"/>
              </w:rPr>
              <w:t>2,50</w:t>
            </w:r>
          </w:p>
        </w:tc>
        <w:tc>
          <w:tcPr>
            <w:tcW w:type="dxa" w:w="2324"/>
            <w:tcMar>
              <w:top w:w="80" w:type="dxa"/>
              <w:left w:w="80" w:type="dxa"/>
              <w:bottom w:w="80" w:type="dxa"/>
              <w:right w:w="80" w:type="dxa"/>
            </w:tcMar>
            <w:shd w:fill="FFFFFF"/>
          </w:tcPr>
          <w:p>
            <w:pPr>
              <w:spacing w:after="60" w:line="245" w:lineRule="auto"/>
            </w:pPr>
            <w:r>
              <w:rPr>
                <w:b w:val="0"/>
                <w:sz w:val="19"/>
              </w:rPr>
              <w:t>11,97</w:t>
            </w:r>
          </w:p>
        </w:tc>
      </w:tr>
      <w:tr>
        <w:trPr>
          <w:cantSplit/>
        </w:trPr>
        <w:tc>
          <w:tcPr>
            <w:tcW w:type="dxa" w:w="1304"/>
            <w:tcMar>
              <w:top w:w="80" w:type="dxa"/>
              <w:left w:w="80" w:type="dxa"/>
              <w:bottom w:w="80" w:type="dxa"/>
              <w:right w:w="80" w:type="dxa"/>
            </w:tcMar>
            <w:shd w:fill="F8F8F8"/>
          </w:tcPr>
          <w:p>
            <w:pPr>
              <w:spacing w:after="60" w:line="245" w:lineRule="auto"/>
            </w:pPr>
            <w:r>
              <w:rPr>
                <w:b w:val="0"/>
                <w:sz w:val="19"/>
              </w:rPr>
              <w:t>Holo/H7</w:t>
            </w:r>
          </w:p>
        </w:tc>
        <w:tc>
          <w:tcPr>
            <w:tcW w:type="dxa" w:w="1191"/>
            <w:tcMar>
              <w:top w:w="80" w:type="dxa"/>
              <w:left w:w="80" w:type="dxa"/>
              <w:bottom w:w="80" w:type="dxa"/>
              <w:right w:w="80" w:type="dxa"/>
            </w:tcMar>
            <w:shd w:fill="F8F8F8"/>
          </w:tcPr>
          <w:p>
            <w:pPr>
              <w:spacing w:after="60" w:line="245" w:lineRule="auto"/>
            </w:pPr>
            <w:r>
              <w:rPr>
                <w:b w:val="0"/>
                <w:sz w:val="19"/>
              </w:rPr>
              <w:t>96,55%</w:t>
            </w:r>
          </w:p>
        </w:tc>
        <w:tc>
          <w:tcPr>
            <w:tcW w:type="dxa" w:w="1191"/>
            <w:tcMar>
              <w:top w:w="80" w:type="dxa"/>
              <w:left w:w="80" w:type="dxa"/>
              <w:bottom w:w="80" w:type="dxa"/>
              <w:right w:w="80" w:type="dxa"/>
            </w:tcMar>
            <w:shd w:fill="F8F8F8"/>
          </w:tcPr>
          <w:p>
            <w:pPr>
              <w:spacing w:after="60" w:line="245" w:lineRule="auto"/>
            </w:pPr>
            <w:r>
              <w:rPr>
                <w:b w:val="0"/>
                <w:sz w:val="19"/>
              </w:rPr>
              <w:t>0,109</w:t>
            </w:r>
          </w:p>
        </w:tc>
        <w:tc>
          <w:tcPr>
            <w:tcW w:type="dxa" w:w="1191"/>
            <w:tcMar>
              <w:top w:w="80" w:type="dxa"/>
              <w:left w:w="80" w:type="dxa"/>
              <w:bottom w:w="80" w:type="dxa"/>
              <w:right w:w="80" w:type="dxa"/>
            </w:tcMar>
            <w:shd w:fill="F8F8F8"/>
          </w:tcPr>
          <w:p>
            <w:pPr>
              <w:spacing w:after="60" w:line="245" w:lineRule="auto"/>
            </w:pPr>
            <w:r>
              <w:rPr>
                <w:b w:val="0"/>
                <w:sz w:val="19"/>
              </w:rPr>
              <w:t>18,14%</w:t>
            </w:r>
          </w:p>
        </w:tc>
        <w:tc>
          <w:tcPr>
            <w:tcW w:type="dxa" w:w="2324"/>
            <w:tcMar>
              <w:top w:w="80" w:type="dxa"/>
              <w:left w:w="80" w:type="dxa"/>
              <w:bottom w:w="80" w:type="dxa"/>
              <w:right w:w="80" w:type="dxa"/>
            </w:tcMar>
            <w:shd w:fill="F8F8F8"/>
          </w:tcPr>
          <w:p>
            <w:pPr>
              <w:spacing w:after="60" w:line="245" w:lineRule="auto"/>
            </w:pPr>
            <w:r>
              <w:rPr>
                <w:b w:val="0"/>
                <w:sz w:val="19"/>
              </w:rPr>
              <w:t>2,50</w:t>
            </w:r>
          </w:p>
        </w:tc>
        <w:tc>
          <w:tcPr>
            <w:tcW w:type="dxa" w:w="2324"/>
            <w:tcMar>
              <w:top w:w="80" w:type="dxa"/>
              <w:left w:w="80" w:type="dxa"/>
              <w:bottom w:w="80" w:type="dxa"/>
              <w:right w:w="80" w:type="dxa"/>
            </w:tcMar>
            <w:shd w:fill="F8F8F8"/>
          </w:tcPr>
          <w:p>
            <w:pPr>
              <w:spacing w:after="60" w:line="245" w:lineRule="auto"/>
            </w:pPr>
            <w:r>
              <w:rPr>
                <w:b w:val="0"/>
                <w:sz w:val="19"/>
              </w:rPr>
              <w:t>9,96</w:t>
            </w:r>
          </w:p>
        </w:tc>
      </w:tr>
      <w:tr>
        <w:trPr>
          <w:cantSplit/>
        </w:trPr>
        <w:tc>
          <w:tcPr>
            <w:tcW w:type="dxa" w:w="1304"/>
            <w:tcMar>
              <w:top w:w="80" w:type="dxa"/>
              <w:left w:w="80" w:type="dxa"/>
              <w:bottom w:w="80" w:type="dxa"/>
              <w:right w:w="80" w:type="dxa"/>
            </w:tcMar>
            <w:shd w:fill="FFFFFF"/>
          </w:tcPr>
          <w:p>
            <w:pPr>
              <w:spacing w:after="60" w:line="245" w:lineRule="auto"/>
            </w:pPr>
            <w:r>
              <w:rPr>
                <w:b w:val="0"/>
                <w:sz w:val="19"/>
              </w:rPr>
              <w:t>SQLite</w:t>
            </w:r>
          </w:p>
        </w:tc>
        <w:tc>
          <w:tcPr>
            <w:tcW w:type="dxa" w:w="1191"/>
            <w:tcMar>
              <w:top w:w="80" w:type="dxa"/>
              <w:left w:w="80" w:type="dxa"/>
              <w:bottom w:w="80" w:type="dxa"/>
              <w:right w:w="80" w:type="dxa"/>
            </w:tcMar>
            <w:shd w:fill="FFFFFF"/>
          </w:tcPr>
          <w:p>
            <w:pPr>
              <w:spacing w:after="60" w:line="245" w:lineRule="auto"/>
            </w:pPr>
            <w:r>
              <w:rPr>
                <w:b w:val="0"/>
                <w:sz w:val="19"/>
              </w:rPr>
              <w:t>100%</w:t>
            </w:r>
          </w:p>
        </w:tc>
        <w:tc>
          <w:tcPr>
            <w:tcW w:type="dxa" w:w="1191"/>
            <w:tcMar>
              <w:top w:w="80" w:type="dxa"/>
              <w:left w:w="80" w:type="dxa"/>
              <w:bottom w:w="80" w:type="dxa"/>
              <w:right w:w="80" w:type="dxa"/>
            </w:tcMar>
            <w:shd w:fill="FFFFFF"/>
          </w:tcPr>
          <w:p>
            <w:pPr>
              <w:spacing w:after="60" w:line="245" w:lineRule="auto"/>
            </w:pPr>
            <w:r>
              <w:rPr>
                <w:b w:val="0"/>
                <w:sz w:val="19"/>
              </w:rPr>
              <w:t>0,015</w:t>
            </w:r>
          </w:p>
        </w:tc>
        <w:tc>
          <w:tcPr>
            <w:tcW w:type="dxa" w:w="1191"/>
            <w:tcMar>
              <w:top w:w="80" w:type="dxa"/>
              <w:left w:w="80" w:type="dxa"/>
              <w:bottom w:w="80" w:type="dxa"/>
              <w:right w:w="80" w:type="dxa"/>
            </w:tcMar>
            <w:shd w:fill="FFFFFF"/>
          </w:tcPr>
          <w:p>
            <w:pPr>
              <w:spacing w:after="60" w:line="245" w:lineRule="auto"/>
            </w:pPr>
            <w:r>
              <w:rPr>
                <w:b w:val="0"/>
                <w:sz w:val="19"/>
              </w:rPr>
              <w:t>100%</w:t>
            </w:r>
          </w:p>
        </w:tc>
        <w:tc>
          <w:tcPr>
            <w:tcW w:type="dxa" w:w="2324"/>
            <w:tcMar>
              <w:top w:w="80" w:type="dxa"/>
              <w:left w:w="80" w:type="dxa"/>
              <w:bottom w:w="80" w:type="dxa"/>
              <w:right w:w="80" w:type="dxa"/>
            </w:tcMar>
            <w:shd w:fill="FFFFFF"/>
          </w:tcPr>
          <w:p>
            <w:pPr>
              <w:spacing w:after="60" w:line="245" w:lineRule="auto"/>
            </w:pPr>
            <w:r>
              <w:rPr>
                <w:b w:val="0"/>
                <w:sz w:val="19"/>
              </w:rPr>
              <w:t>58,61</w:t>
            </w:r>
          </w:p>
        </w:tc>
        <w:tc>
          <w:tcPr>
            <w:tcW w:type="dxa" w:w="2324"/>
            <w:tcMar>
              <w:top w:w="80" w:type="dxa"/>
              <w:left w:w="80" w:type="dxa"/>
              <w:bottom w:w="80" w:type="dxa"/>
              <w:right w:w="80" w:type="dxa"/>
            </w:tcMar>
            <w:shd w:fill="FFFFFF"/>
          </w:tcPr>
          <w:p>
            <w:pPr>
              <w:spacing w:after="60" w:line="245" w:lineRule="auto"/>
            </w:pPr>
            <w:r>
              <w:rPr>
                <w:b w:val="0"/>
                <w:sz w:val="19"/>
              </w:rPr>
              <w:t>incluse în bază</w:t>
            </w:r>
          </w:p>
        </w:tc>
      </w:tr>
      <w:tr>
        <w:trPr>
          <w:cantSplit/>
        </w:trPr>
        <w:tc>
          <w:tcPr>
            <w:tcW w:type="dxa" w:w="1304"/>
            <w:tcMar>
              <w:top w:w="80" w:type="dxa"/>
              <w:left w:w="80" w:type="dxa"/>
              <w:bottom w:w="80" w:type="dxa"/>
              <w:right w:w="80" w:type="dxa"/>
            </w:tcMar>
            <w:shd w:fill="F8F8F8"/>
          </w:tcPr>
          <w:p>
            <w:pPr>
              <w:spacing w:after="60" w:line="245" w:lineRule="auto"/>
            </w:pPr>
            <w:r>
              <w:rPr>
                <w:b w:val="0"/>
                <w:sz w:val="19"/>
              </w:rPr>
              <w:t>Scan</w:t>
            </w:r>
          </w:p>
        </w:tc>
        <w:tc>
          <w:tcPr>
            <w:tcW w:type="dxa" w:w="1191"/>
            <w:tcMar>
              <w:top w:w="80" w:type="dxa"/>
              <w:left w:w="80" w:type="dxa"/>
              <w:bottom w:w="80" w:type="dxa"/>
              <w:right w:w="80" w:type="dxa"/>
            </w:tcMar>
            <w:shd w:fill="F8F8F8"/>
          </w:tcPr>
          <w:p>
            <w:pPr>
              <w:spacing w:after="60" w:line="245" w:lineRule="auto"/>
            </w:pPr>
            <w:r>
              <w:rPr>
                <w:b w:val="0"/>
                <w:sz w:val="19"/>
              </w:rPr>
              <w:t>100%</w:t>
            </w:r>
          </w:p>
        </w:tc>
        <w:tc>
          <w:tcPr>
            <w:tcW w:type="dxa" w:w="1191"/>
            <w:tcMar>
              <w:top w:w="80" w:type="dxa"/>
              <w:left w:w="80" w:type="dxa"/>
              <w:bottom w:w="80" w:type="dxa"/>
              <w:right w:w="80" w:type="dxa"/>
            </w:tcMar>
            <w:shd w:fill="F8F8F8"/>
          </w:tcPr>
          <w:p>
            <w:pPr>
              <w:spacing w:after="60" w:line="245" w:lineRule="auto"/>
            </w:pPr>
            <w:r>
              <w:rPr>
                <w:b w:val="0"/>
                <w:sz w:val="19"/>
              </w:rPr>
              <w:t>21,316</w:t>
            </w:r>
          </w:p>
        </w:tc>
        <w:tc>
          <w:tcPr>
            <w:tcW w:type="dxa" w:w="1191"/>
            <w:tcMar>
              <w:top w:w="80" w:type="dxa"/>
              <w:left w:w="80" w:type="dxa"/>
              <w:bottom w:w="80" w:type="dxa"/>
              <w:right w:w="80" w:type="dxa"/>
            </w:tcMar>
            <w:shd w:fill="F8F8F8"/>
          </w:tcPr>
          <w:p>
            <w:pPr>
              <w:spacing w:after="60" w:line="245" w:lineRule="auto"/>
            </w:pPr>
            <w:r>
              <w:rPr>
                <w:b w:val="0"/>
                <w:sz w:val="19"/>
              </w:rPr>
              <w:t>100%</w:t>
            </w:r>
          </w:p>
        </w:tc>
        <w:tc>
          <w:tcPr>
            <w:tcW w:type="dxa" w:w="2324"/>
            <w:tcMar>
              <w:top w:w="80" w:type="dxa"/>
              <w:left w:w="80" w:type="dxa"/>
              <w:bottom w:w="80" w:type="dxa"/>
              <w:right w:w="80" w:type="dxa"/>
            </w:tcMar>
            <w:shd w:fill="F8F8F8"/>
          </w:tcPr>
          <w:p>
            <w:pPr>
              <w:spacing w:after="60" w:line="245" w:lineRule="auto"/>
            </w:pPr>
            <w:r>
              <w:rPr>
                <w:b w:val="0"/>
                <w:sz w:val="19"/>
              </w:rPr>
              <w:t>16,20</w:t>
            </w:r>
          </w:p>
        </w:tc>
        <w:tc>
          <w:tcPr>
            <w:tcW w:type="dxa" w:w="2324"/>
            <w:tcMar>
              <w:top w:w="80" w:type="dxa"/>
              <w:left w:w="80" w:type="dxa"/>
              <w:bottom w:w="80" w:type="dxa"/>
              <w:right w:w="80" w:type="dxa"/>
            </w:tcMar>
            <w:shd w:fill="F8F8F8"/>
          </w:tcPr>
          <w:p>
            <w:pPr>
              <w:spacing w:after="60" w:line="245" w:lineRule="auto"/>
            </w:pPr>
            <w:r>
              <w:rPr>
                <w:b w:val="0"/>
                <w:sz w:val="19"/>
              </w:rPr>
              <w:t>nereprezentate separat</w:t>
            </w:r>
          </w:p>
        </w:tc>
      </w:tr>
    </w:tbl>
    <w:p>
      <w:pPr>
        <w:spacing w:after="20"/>
        <w:jc w:val="both"/>
      </w:pPr>
      <w:r/>
    </w:p>
    <w:p>
      <w:pPr>
        <w:jc w:val="both"/>
      </w:pPr>
      <w:r>
        <w:t>Timpii nu includ formalizatorul, parserul SOP, construcția întregului context temporal sau salvarea snapshot-urilor. În cazul scanării, dimensiunea indică forma serializată, nu consumul total al heap-ului. SQLite include indici și căutare lexicală; nu a fost constrâns artificial la bugetul băncilor asociative. Memoriile asociative includ separat domenii și amprente de verificare. Comparăm utilitatea și costul configurațiilor concrete, nu structuri cu memorie totală identică.</w:t>
      </w:r>
    </w:p>
    <w:p>
      <w:pPr>
        <w:jc w:val="both"/>
      </w:pPr>
      <w:r>
        <w:t>Nu au fost acceptate tuple inexistente în aceste probe. Pentru Weaver și Holo, acest rezultat include verificarea prin amprente SHA-256; nu este o măsură a purității semnalului asociativ singur. Cele trei seed-uri și numărul mic de interogări inverse nu justifică afirmații despre semnificație statistică generală. Hibridul nu apare în acest benchmark de latență; prezența sa în matricea de integrare nu autorizează inventarea unui rezultat de performanță pentru el.</w:t>
      </w:r>
    </w:p>
    <w:p>
      <w:pPr>
        <w:jc w:val="both"/>
      </w:pPr>
      <w:r>
        <w:t>Interpretarea utilă este arhitecturală. Pentru aceste căutări exacte, SQLite oferă un reper foarte puternic. Holo este rapid la completări cu puține valori, dar pierde numeroase răspunsuri la chei cu mulți asociați. Weaver păstrează răspunsurile testate, cu un cost de explorare mai mare. Aceste diferențe justifică păstrarea strategiilor alternative și contrazic ideea că o memorie inspirată biologic trebuie să fie implicit cea mai eficientă.</w:t>
      </w:r>
    </w:p>
    <w:p>
      <w:pPr>
        <w:pStyle w:val="Heading2"/>
      </w:pPr>
      <w:r>
        <w:t>8.3. Ce a fost validat în integrare</w:t>
      </w:r>
    </w:p>
    <w:p>
      <w:pPr>
        <w:jc w:val="both"/>
      </w:pPr>
      <w:r>
        <w:t>Matricea integrată acoperă deducție, temporalitate, clasificare, restricții, optimizare, abducție, diagnostic, asociere, inducție, analogie, planificare și intervenții. Cele 140 de execuții verifică rezultatele așteptate, ieșirile și ruta efectivă. În auditul local, 306 dintre cele 317 teste Node au trecut, 11 fiind sărite deoarece executabilele externe lipsesc. Matricea a fost de asemenea rerulată cu succes. Nu există în aceste dovezi un benchmark executat Prolog contra JS sau Z3 contra JS.</w:t>
      </w:r>
    </w:p>
    <w:p>
      <w:pPr>
        <w:jc w:val="both"/>
      </w:pPr>
      <w:r>
        <w:t>Testele de memorie includ mecanisme de retenție, restart și izolare; acestea sunt verificări de conformitate ale scenariilor declarate, nu un studiu longitudinal al unui agent real. Datele pentru cele două modele și procedurile de antrenare sunt pregătite. Fine-tuning-ul, calitatea formalizării românești și fidelitatea verbalizării rămân de evaluat. Articolul folosește rezultatele existente pentru ceea ce pot susține: componentele de bază se compun într-un sistem executabil inspectabil.</w:t>
      </w:r>
    </w:p>
    <w:p>
      <w:pPr>
        <w:pStyle w:val="Heading1"/>
      </w:pPr>
      <w:r>
        <w:t>9. Potențial, limite conceptuale și întrebări de cercetare</w:t>
      </w:r>
    </w:p>
    <w:p>
      <w:pPr>
        <w:pStyle w:val="Heading2"/>
      </w:pPr>
      <w:r>
        <w:t>9.1. Ce poate depăși un model mare și în ce condiții</w:t>
      </w:r>
    </w:p>
    <w:p>
      <w:pPr>
        <w:jc w:val="both"/>
      </w:pPr>
      <w:r>
        <w:t>Un agent cu model mic poate depăși un model mai mare izolat pe sarcini în care memoria explicită, regulile și instrumentele determină răspunsul. Exemple plauzibile sunt istoricul unui utilizator, urmărirea corecțiilor, relații multi-hop și verificarea restricțiilor. Lucrările de tip PAL și LINC oferă precedente pentru câștiguri ale sistemelor care deleagă calculul [1,2]. Ele nu demonstrează rezultatul pentru RecallSOP și nici pentru un formalizator de 270M.</w:t>
      </w:r>
    </w:p>
    <w:p>
      <w:pPr>
        <w:jc w:val="both"/>
      </w:pPr>
      <w:r>
        <w:t>Comparația echitabilă trebuie să includă și un model mare cu acces la aceeași cunoaștere și la aceleași instrumente. Altfel, diferența poate proveni doar din accesul asimetric la date. Obiectivul interesant este raportul dintre corectitudine, acoperire, latență, memorie și costul pregătirii, nu o declarație globală că «270M este la fel de inteligent ca 70B».</w:t>
      </w:r>
    </w:p>
    <w:p>
      <w:pPr>
        <w:jc w:val="both"/>
      </w:pPr>
      <w:r>
        <w:t>Aplicațiile naturale sunt asistenții personali cu istoric, agenții pentru documentație tehnică, companioni cu preferințe persistente și coordonatori de activități care necesită explicații. Pentru roboți, același model poate lega observații de planuri, dar integrarea perceptivă, acțiunile reale și siguranța execuției sunt componente suplimentare. Pentru analiza științifică, sistemul poate urmări premise și inconsecvențe; judecarea valorii unei teorii sau a unei idei noi nu rezultă automat dintr-un proof.</w:t>
      </w:r>
    </w:p>
    <w:p>
      <w:pPr>
        <w:pStyle w:val="Heading2"/>
      </w:pPr>
      <w:r>
        <w:t>9.2. Unde sunt limitele</w:t>
      </w:r>
    </w:p>
    <w:p>
      <w:pPr>
        <w:jc w:val="both"/>
      </w:pPr>
      <w:r>
        <w:t>Prima limită este pierderea semantică. Dacă două sensuri diferite sunt reduse la același program, pașii ulteriori nu le mai pot distinge doar din acel program. Sursa originală, alternativele și cererile de clarificare reduc riscul; nu îl elimină. Alegerea unei formalizări este ea însăși o sarcină cognitivă, nu simplă recunoaștere de cuvinte.</w:t>
      </w:r>
    </w:p>
    <w:p>
      <w:pPr>
        <w:jc w:val="both"/>
      </w:pPr>
      <w:r>
        <w:t>A doua limită este reprezentarea disponibilă. Un limbaj fix poate omite modalitate, intenție, cuantificare sau incertitudine relevantă. Extinderea tipurilor poate remedia o parte dintre lipsuri, însă un interpretor trebuie să definească și să execute noul sens. Faptul că un corp SOP poate conține text liber nu înseamnă că solverul înțelege acel text. Generalitatea arhitecturii este capacitatea de extensie controlată, nu existența unei teorii complete a tuturor formelor de raționament.</w:t>
      </w:r>
    </w:p>
    <w:p>
      <w:pPr>
        <w:jc w:val="both"/>
      </w:pPr>
      <w:r>
        <w:t>A treia limită este informațională. Un număr finit de biți nu poate păstra injectiv toate mulțimile arbitrar de mari de fapte; unele stări vor avea aceeași reprezentare. Sharding-ul adaugă capacitate, iar uitarea alege ce se păstrează. Niciuna nu înlătură costul informației. Mai multe perspective nu fac un scor automat probabilitate calibrată, iar un acord între perspective corelate nu poate fi tratat ca un produs de dovezi independente.</w:t>
      </w:r>
    </w:p>
    <w:p>
      <w:pPr>
        <w:jc w:val="both"/>
      </w:pPr>
      <w:r>
        <w:t>A patra limită este căutarea. Generarea tuturor explicațiilor sau planurilor poate deveni combinatorială. Recuperarea unui subgraf mic ajută numai când acesta conține informația necesară; un filtru prea agresiv poate produce un răspuns aparent clar și incomplet. Domeniile finite oferă o bază executabilă, dar extinderea la formalism mai expresiv schimbă proprietățile de decidabilitate și de terminare. Niciun contract de interfață nu face automat ieftină rezolvarea tuturor instanțelor.</w:t>
      </w:r>
    </w:p>
    <w:p>
      <w:pPr>
        <w:jc w:val="both"/>
      </w:pPr>
      <w:r>
        <w:t>Nu există totuși un prag conceptual al numărului de parametri care să plafoneze, singur, competența întregului agent. Procedurile, cunoașterea, algoritmii și interacțiunea contribuie separat. Afirmația este despre distribuirea competenței între componente, nu despre apariția inteligenței generale dintr-un parser mic. Progresul depinde în special de formalizarea corectă, alegerea reprezentărilor și controlul căutării.</w:t>
      </w:r>
    </w:p>
    <w:p>
      <w:pPr>
        <w:pStyle w:val="Heading2"/>
      </w:pPr>
      <w:r>
        <w:t>9.3. Evaluarea care rămâne necesară</w:t>
      </w:r>
    </w:p>
    <w:p>
      <w:pPr>
        <w:jc w:val="both"/>
      </w:pPr>
      <w:r>
        <w:t>Validarea completă este o etapă ulterioară de cercetare și inginerie, dar afirmațiile arhitecturale impun de acum criterii verificabile. Pentru formalizator trebuie măsurate fidelitatea semantică și abținerea pe formulări noi, nu doar parsabilitatea. Pentru strategii, se compară același SOP și aceeași cunoaștere, separând timpul de recuperare de timpul de inferență. Pentru experiența conversațională, trebuie urmărite erorile de la sursă la răspuns, pe sesiuni și domenii distincte.</w:t>
      </w:r>
    </w:p>
    <w:p>
      <w:pPr>
        <w:jc w:val="both"/>
      </w:pPr>
      <w:r>
        <w:t>Experimentele prioritare sunt o curbă dimensiune–cost–fidelitate pentru modele mici, ablația resolverului și a procedurilor recuperate, comparația memoriilor sub bugete totale măsurate și verificarea backend-urilor pe profilele comune. Un test longitudinal trebuie să includă corecții, fapte rar folosite dar importante, fork-uri și efectele uitării. Calitatea trebuie raportată împreună cu acoperirea: un agent care răspunde la foarte puține întrebări poate avea precizie mare fără a fi util.</w:t>
      </w:r>
    </w:p>
    <w:p>
      <w:pPr>
        <w:jc w:val="both"/>
      </w:pPr>
      <w:r>
        <w:t>Prin aceste experimente se poate invalida și o parte a ipotezei fără a pierde arhitectura. Formalizatorul poate necesita 1B în loc de 270M; SQLite poate rămâne superior pe date structurate; indiciile asociative pot să nu reducă suficient căutarea. În toate aceste cazuri, contractul comun păstrează valoarea de infrastructură comparativă. Rezultatul științific urmărit este identificarea condițiilor în care separarea responsabilităților îmbunătățește sistemul, nu confirmarea obligatorie a unei anumite memorii sau dimensiuni de model.</w:t>
      </w:r>
    </w:p>
    <w:p>
      <w:pPr>
        <w:pStyle w:val="Heading1"/>
      </w:pPr>
      <w:r>
        <w:t>10. Concluzie</w:t>
      </w:r>
    </w:p>
    <w:p>
      <w:pPr>
        <w:jc w:val="both"/>
      </w:pPr>
      <w:r>
        <w:t>RecallSOP propune un model de organizare a agenților neurosimbolici în care circuitele SOP Lang formează contractul comun dintre limbaj, memorie și raționament. Firele tipizate păstrează distincțiile dintre observații, reguli, ipoteze și rezultate; linkerul explicitează legătura dintre întrebare și cunoașterea recuperată; ieșirile materializate permit compunerea solverelor fără a delega sensul acestei compoziții unui text generat liber.</w:t>
      </w:r>
    </w:p>
    <w:p>
      <w:pPr>
        <w:jc w:val="both"/>
      </w:pPr>
      <w:r>
        <w:t>Demonstrațiile existente susțin fezabilitatea componentelor și utilitatea comparării strategiilor independente. Nu susțin încă superioritatea conversațională a unui model mic. Contribuția principială este că dimensiunea neuronală, memoria și metoda de rezolvare devin variabile separabile și măsurabile. Un rezultat favorabil ar permite agenți locali care acumulează cunoaștere și execută proceduri mult peste ceea ce poate face modelul lor lingvistic izolat; un rezultat nefavorabil ar localiza precis limitele, fără a le ascunde într-un singur scor de model.</w:t>
      </w:r>
    </w:p>
    <w:p>
      <w:pPr>
        <w:pStyle w:val="Heading1"/>
      </w:pPr>
      <w:r>
        <w:t>Disponibilitatea artefactelor și declarații</w:t>
      </w:r>
    </w:p>
    <w:p>
      <w:pPr>
        <w:jc w:val="both"/>
      </w:pPr>
      <w:r>
        <w:t>Artefactele A1–A3 sunt arhive de lucru furnizate împreună cu dezvoltarea proiectului. Nu este revendicat un depozit public arhivat sau un DOI pentru software. Pentru depunere, versiunea folosită în articol trebuie publicată într-un depozit stabil, cu licență, configurări, rezultate și drepturi clare asupra corpusului. Conformitatea unui test cu propriul runtime nu înlocuiește verificarea independentă.</w:t>
      </w:r>
    </w:p>
    <w:p>
      <w:pPr>
        <w:jc w:val="both"/>
      </w:pPr>
      <w:r>
        <w:t>Manuscrisul și o parte a dezvoltării au beneficiat de asistență generativă. Această versiune este o schiță pentru revizuirea autorului, nu o declarație că revizuirea umană finală a fost deja încheiată. Autorul trebuie să confirme înaintea depunerii corectitudinea tuturor afirmațiilor, contribuțiile, drepturile asupra datelor și eventualele surse de finanțare sau interese concurente. Nu atribuim finanțări ori aprobări etice care nu sunt documentate în artefactele examinate.</w:t>
      </w:r>
    </w:p>
    <w:p>
      <w:pPr>
        <w:pStyle w:val="Heading1"/>
      </w:pPr>
      <w:r>
        <w:t>Referințe</w:t>
      </w:r>
    </w:p>
    <w:p>
      <w:pPr>
        <w:pStyle w:val="Reference"/>
      </w:pPr>
      <w:r>
        <w:t>[1] Gao, L., Madaan, A., Zhou, S., Alon, U., Liu, P., Yang, Y., Callan, J. și Neubig, G. (2023). PAL: Program-aided Language Models. ICML, PMLR 202, 10764–10799. https://proceedings.mlr.press/v202/gao23f.html</w:t>
      </w:r>
    </w:p>
    <w:p>
      <w:pPr>
        <w:pStyle w:val="Reference"/>
      </w:pPr>
      <w:r>
        <w:t>[2] Olausson, T., Gu, A., Lipkin, B., Zhang, C., Solar-Lezama, A., Tenenbaum, J. și Levy, R. (2023). LINC: A Neurosymbolic Approach for Logical Reasoning by Combining Language Models with First-Order Logic Provers. EMNLP, 5153–5176. doi:10.18653/v1/2023.emnlp-main.313.</w:t>
      </w:r>
    </w:p>
    <w:p>
      <w:pPr>
        <w:pStyle w:val="Reference"/>
      </w:pPr>
      <w:r>
        <w:t>[3] Pan, L., Albalak, A., Wang, X. și Wang, W. (2023). Logic-LM: Empowering Large Language Models with Symbolic Solvers for Faithful Logical Reasoning. Findings of EMNLP, 3806–3824. doi:10.18653/v1/2023.findings-emnlp.248.</w:t>
      </w:r>
    </w:p>
    <w:p>
      <w:pPr>
        <w:pStyle w:val="Reference"/>
      </w:pPr>
      <w:r>
        <w:t>[4] Li, Z., Huang, J. și Naik, M. (2023). Scallop: A Language for Neurosymbolic Programming. Proceedings of the ACM on Programming Languages, 7 (PLDI), articolul 166, 1463–1487. doi:10.1145/3591280.</w:t>
      </w:r>
    </w:p>
    <w:p>
      <w:pPr>
        <w:pStyle w:val="Reference"/>
      </w:pPr>
      <w:r>
        <w:t>[5] Beurer-Kellner, L., Fischer, M. și Vechev, M. (2023). Prompting Is Programming: A Query Language for Large Language Models. Proceedings of the ACM on Programming Languages, 7 (PLDI). doi:10.1145/3591300.</w:t>
      </w:r>
    </w:p>
    <w:p>
      <w:pPr>
        <w:pStyle w:val="Reference"/>
      </w:pPr>
      <w:r>
        <w:t>[6] Khattab, O. și colab. (2023). DSPy: Compiling Declarative Language Model Calls into Self-Improving Pipelines. Preprint arXiv:2310.03714. https://arxiv.org/abs/2310.03714</w:t>
      </w:r>
    </w:p>
    <w:p>
      <w:pPr>
        <w:pStyle w:val="Reference"/>
      </w:pPr>
      <w:r>
        <w:t>[7] Scholak, T., Schucher, N. și Bahdanau, D. (2021). PICARD: Parsing Incrementally for Constrained Auto-Regressive Decoding from Language Models. EMNLP, 9895–9901. doi:10.18653/v1/2021.emnlp-main.779.</w:t>
      </w:r>
    </w:p>
    <w:p>
      <w:pPr>
        <w:pStyle w:val="Reference"/>
      </w:pPr>
      <w:r>
        <w:t>[8] Lattner, C., Amini, M., Bondhugula, U., Cohen, A., Davis, A., Pienaar, J., Riddle, R., Shpeisman, T., Vasilache, N. și Zinenko, O. (2021). MLIR: Scaling Compiler Infrastructure for Domain Specific Computation. IEEE/ACM CGO, 2–14. doi:10.1109/CGO51591.2021.9370308.</w:t>
      </w:r>
    </w:p>
    <w:p>
      <w:pPr>
        <w:pStyle w:val="Reference"/>
      </w:pPr>
      <w:r>
        <w:t>[9] Lewis, P. și colab. (2020). Retrieval-Augmented Generation for Knowledge-Intensive NLP Tasks. Advances in Neural Information Processing Systems, 33. https://proceedings.nips.cc/paper/2020/hash/6b493230205f780e1bc26945df7481e5-Abstract.html</w:t>
      </w:r>
    </w:p>
    <w:p>
      <w:pPr>
        <w:pStyle w:val="Reference"/>
      </w:pPr>
      <w:r>
        <w:t>[10] Bloom, B. H. (1970). Space/Time Trade-offs in Hash Coding with Allowable Errors. Communications of the ACM, 13(7), 422–426. doi:10.1145/362686.362692.</w:t>
      </w:r>
    </w:p>
    <w:p>
      <w:pPr>
        <w:pStyle w:val="Reference"/>
      </w:pPr>
      <w:r>
        <w:t>[11] Deng, F. și Rafiei, D. (2006). Approximately Detecting Duplicates for Streaming Data Using Stable Bloom Filters. ACM SIGMOD, 25–36. doi:10.1145/1142473.1142477.</w:t>
      </w:r>
    </w:p>
    <w:p>
      <w:pPr>
        <w:pStyle w:val="Reference"/>
      </w:pPr>
      <w:r>
        <w:t>[12] Plate, T. A. (1995). Holographic Reduced Representations. IEEE Transactions on Neural Networks, 6(3), 623–641. doi:10.1109/72.377968.</w:t>
      </w:r>
    </w:p>
    <w:p>
      <w:pPr>
        <w:pStyle w:val="Reference"/>
      </w:pPr>
      <w:r>
        <w:t>[13] Hawkins, J., Ahmad, S. și Cui, Y. (2017). A Theory of How Columns in the Neocortex Enable Learning the Structure of the World. Frontiers in Neural Circuits, 11, articolul 81. doi:10.3389/fncir.2017.00081.</w:t>
      </w:r>
    </w:p>
    <w:p>
      <w:pPr>
        <w:pStyle w:val="Reference"/>
      </w:pPr>
      <w:r>
        <w:t>[14] Leadholm, N., Clay, V., Knudstrup, S., Lee, H. și Hawkins, J. (2025). Thousand-Brains Systems: Sensorimotor Intelligence for Rapid, Robust Learning and Inference. Preprint arXiv:2507.04494. https://arxiv.org/abs/2507.04494</w:t>
      </w:r>
    </w:p>
    <w:p>
      <w:pPr>
        <w:pStyle w:val="Reference"/>
      </w:pPr>
      <w:r>
        <w:t>[15] Laird, J. E., Lebiere, C. și Rosenbloom, P. S. (2017). A Standard Model of the Mind: Toward a Common Computational Framework across Artificial Intelligence, Cognitive Science, Neuroscience, and Robotics. AI Magazine, 38(4), 13–26. doi:10.1609/aimag.v38i4.2744.</w:t>
      </w:r>
    </w:p>
    <w:p>
      <w:pPr>
        <w:pStyle w:val="Reference"/>
      </w:pPr>
      <w:r>
        <w:t>[16] SWI-Prolog. Tabled execution (SLG resolution). Documentație oficială, consultată la 27 septembrie 2026. https://www.swi-prolog.org/pldoc/man?section=tabling</w:t>
      </w:r>
    </w:p>
    <w:p>
      <w:pPr>
        <w:pStyle w:val="Reference"/>
      </w:pPr>
      <w:r>
        <w:t>[17] de Moura, L. și Bjørner, N. (2008). Z3: An Efficient SMT Solver. TACAS, LNCS 4963, 337–340. doi:10.1007/978-3-540-78800-3_24.</w:t>
      </w:r>
    </w:p>
    <w:p>
      <w:pPr>
        <w:pStyle w:val="Reference"/>
      </w:pPr>
      <w:r>
        <w:t>[18] Google DeepMind. Gemma 3 270M IT: model card. Documentație oficială, consultată la 27 septembrie 2026. https://huggingface.co/google/gemma-3-270m-it</w:t>
      </w:r>
    </w:p>
    <w:p>
      <w:pPr>
        <w:pStyle w:val="Reference"/>
      </w:pPr>
      <w:r>
        <w:t>[19] Qwen Team. Qwen3-0.6B: model card. Documentație oficială, consultată la 27 septembrie 2026. https://huggingface.co/Qwen/Qwen3-0.6B</w:t>
      </w:r>
    </w:p>
    <w:p>
      <w:pPr>
        <w:pStyle w:val="Heading2"/>
      </w:pPr>
      <w:r>
        <w:t>Artefacte experimentale citate</w:t>
      </w:r>
    </w:p>
    <w:p>
      <w:pPr>
        <w:pStyle w:val="Reference"/>
      </w:pPr>
      <w:r>
        <w:t>[A1] MVRM_NodeJS_Byte_Experiment.zip. Experimentul de memorie relațională pe bytes; surse, corpus și results/results.json. Arhivă locală, 2026. Numele istoric al arhivei este păstrat pentru identificare.</w:t>
      </w:r>
    </w:p>
    <w:p>
      <w:pPr>
        <w:pStyle w:val="Reference"/>
      </w:pPr>
      <w:r>
        <w:t>[A2] RecallFacts.zip. Experimentul de completare directă a faptelor; schema, banca și results/results.json. Arhivă locală, 2026.</w:t>
      </w:r>
    </w:p>
    <w:p>
      <w:pPr>
        <w:pStyle w:val="Reference"/>
      </w:pPr>
      <w:r>
        <w:t>[A3] RecallSOP.zip, profil sop-agent-3. Cod, docs/requirements/23–30, reports/reasoning/matrix.json, reports/reasoning/RESULTS.md, reports/memory/ și rapoarte de validare. Arhivă locală, 2026. Auditul de teste și de integrare a fost repetat la 27 septembrie 2026.</w:t>
      </w:r>
    </w:p>
    <w:p>
      <w:pPr>
        <w:pStyle w:val="Caption"/>
      </w:pPr>
      <w:r>
        <w:t>Identificatorul SHA-256 al arhivei A3 examinate:</w:t>
      </w:r>
    </w:p>
    <w:p>
      <w:pPr>
        <w:pStyle w:val="SOPCode"/>
        <w:keepNext w:val="0"/>
        <w:shd w:fill="F5F5F5"/>
      </w:pPr>
      <w:r>
        <w:t>4630592f428104c47f6b1686ffed98ede29a62b02f6d761a4b7c753f615b3f4f</w:t>
      </w:r>
    </w:p>
    <w:p>
      <w:pPr>
        <w:spacing w:after="20"/>
        <w:jc w:val="both"/>
      </w:pPr>
      <w:r/>
    </w:p>
    <w:p>
      <w:pPr>
        <w:pStyle w:val="Caption"/>
      </w:pPr>
      <w:r>
        <w:t>Sugestiile editoriale sunt în documentul separat Publicare.docx; ele nu fac parte din argumentul științific al manuscrisului.</w:t>
      </w:r>
    </w:p>
    <w:sectPr w:rsidR="00FC693F" w:rsidRPr="0006063C" w:rsidSect="00034616">
      <w:headerReference w:type="default" r:id="rId9"/>
      <w:footerReference w:type="default" r:id="rId10"/>
      <w:pgSz w:w="11906" w:h="16838"/>
      <w:pgMar w:top="1049" w:right="1191" w:bottom="1049" w:left="1191"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RecallSOP • manuscris de lucru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RecallSOP — arhitectură neurosimbolică bazată pe circuite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Liberation Serif" w:hAnsi="Liberation Serif"/>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ro-R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ro-R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erif" w:hAnsi="Liberation Serif"/>
      <w:b/>
      <w:bCs/>
      <w:color w:val="111111"/>
      <w:sz w:val="28"/>
      <w:szCs w:val="28"/>
      <w:lang w:val="ro-RO"/>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erif" w:hAnsi="Liberation Serif"/>
      <w:b/>
      <w:bCs/>
      <w:color w:val="111111"/>
      <w:sz w:val="23"/>
      <w:szCs w:val="26"/>
      <w:lang w:val="ro-RO"/>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erif" w:hAnsi="Liberation Serif"/>
      <w:b/>
      <w:bCs/>
      <w:color w:val="111111"/>
      <w:sz w:val="22"/>
      <w:lang w:val="ro-R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ro-R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ro-R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ro-R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ro-R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ro-R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ro-R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erif" w:hAnsi="Liberation Serif"/>
      <w:b/>
      <w:color w:val="111111"/>
      <w:spacing w:val="5"/>
      <w:kern w:val="28"/>
      <w:sz w:val="42"/>
      <w:szCs w:val="52"/>
      <w:lang w:val="ro-R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ro-R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ro-RO"/>
    </w:rPr>
  </w:style>
  <w:style w:type="paragraph" w:styleId="BodyText">
    <w:name w:val="Body Text"/>
    <w:basedOn w:val="Normal"/>
    <w:link w:val="BodyTextChar"/>
    <w:uiPriority w:val="99"/>
    <w:unhideWhenUsed/>
    <w:rsid w:val="00AA1D8D"/>
    <w:pPr>
      <w:spacing w:after="120"/>
    </w:pPr>
    <w:rPr>
      <w:lang w:val="ro-R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ro-R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ro-R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ro-RO"/>
    </w:rPr>
  </w:style>
  <w:style w:type="paragraph" w:styleId="List2">
    <w:name w:val="List 2"/>
    <w:basedOn w:val="Normal"/>
    <w:uiPriority w:val="99"/>
    <w:unhideWhenUsed/>
    <w:rsid w:val="00326F90"/>
    <w:pPr>
      <w:ind w:left="720" w:hanging="360"/>
      <w:contextualSpacing/>
    </w:pPr>
    <w:rPr>
      <w:lang w:val="ro-RO"/>
    </w:rPr>
  </w:style>
  <w:style w:type="paragraph" w:styleId="List3">
    <w:name w:val="List 3"/>
    <w:basedOn w:val="Normal"/>
    <w:uiPriority w:val="99"/>
    <w:unhideWhenUsed/>
    <w:rsid w:val="00326F90"/>
    <w:pPr>
      <w:ind w:left="1080" w:hanging="360"/>
      <w:contextualSpacing/>
    </w:pPr>
    <w:rPr>
      <w:lang w:val="ro-RO"/>
    </w:rPr>
  </w:style>
  <w:style w:type="paragraph" w:styleId="ListBullet">
    <w:name w:val="List Bullet"/>
    <w:basedOn w:val="Normal"/>
    <w:uiPriority w:val="99"/>
    <w:unhideWhenUsed/>
    <w:rsid w:val="00326F90"/>
    <w:pPr>
      <w:numPr>
        <w:numId w:val="1"/>
      </w:numPr>
      <w:contextualSpacing/>
    </w:pPr>
    <w:rPr>
      <w:lang w:val="ro-RO"/>
    </w:rPr>
  </w:style>
  <w:style w:type="paragraph" w:styleId="ListBullet2">
    <w:name w:val="List Bullet 2"/>
    <w:basedOn w:val="Normal"/>
    <w:uiPriority w:val="99"/>
    <w:unhideWhenUsed/>
    <w:rsid w:val="00326F90"/>
    <w:pPr>
      <w:numPr>
        <w:numId w:val="2"/>
      </w:numPr>
      <w:contextualSpacing/>
    </w:pPr>
    <w:rPr>
      <w:lang w:val="ro-RO"/>
    </w:rPr>
  </w:style>
  <w:style w:type="paragraph" w:styleId="ListBullet3">
    <w:name w:val="List Bullet 3"/>
    <w:basedOn w:val="Normal"/>
    <w:uiPriority w:val="99"/>
    <w:unhideWhenUsed/>
    <w:rsid w:val="00326F90"/>
    <w:pPr>
      <w:numPr>
        <w:numId w:val="3"/>
      </w:numPr>
      <w:contextualSpacing/>
    </w:pPr>
    <w:rPr>
      <w:lang w:val="ro-RO"/>
    </w:rPr>
  </w:style>
  <w:style w:type="paragraph" w:styleId="ListNumber">
    <w:name w:val="List Number"/>
    <w:basedOn w:val="Normal"/>
    <w:uiPriority w:val="99"/>
    <w:unhideWhenUsed/>
    <w:rsid w:val="00326F90"/>
    <w:pPr>
      <w:numPr>
        <w:numId w:val="5"/>
      </w:numPr>
      <w:contextualSpacing/>
    </w:pPr>
    <w:rPr>
      <w:lang w:val="ro-RO"/>
    </w:rPr>
  </w:style>
  <w:style w:type="paragraph" w:styleId="ListNumber2">
    <w:name w:val="List Number 2"/>
    <w:basedOn w:val="Normal"/>
    <w:uiPriority w:val="99"/>
    <w:unhideWhenUsed/>
    <w:rsid w:val="0029639D"/>
    <w:pPr>
      <w:numPr>
        <w:numId w:val="6"/>
      </w:numPr>
      <w:contextualSpacing/>
    </w:pPr>
    <w:rPr>
      <w:lang w:val="ro-RO"/>
    </w:rPr>
  </w:style>
  <w:style w:type="paragraph" w:styleId="ListNumber3">
    <w:name w:val="List Number 3"/>
    <w:basedOn w:val="Normal"/>
    <w:uiPriority w:val="99"/>
    <w:unhideWhenUsed/>
    <w:rsid w:val="0029639D"/>
    <w:pPr>
      <w:numPr>
        <w:numId w:val="7"/>
      </w:numPr>
      <w:contextualSpacing/>
    </w:pPr>
    <w:rPr>
      <w:lang w:val="ro-RO"/>
    </w:rPr>
  </w:style>
  <w:style w:type="paragraph" w:styleId="ListContinue">
    <w:name w:val="List Continue"/>
    <w:basedOn w:val="Normal"/>
    <w:uiPriority w:val="99"/>
    <w:unhideWhenUsed/>
    <w:rsid w:val="0029639D"/>
    <w:pPr>
      <w:spacing w:after="120"/>
      <w:ind w:left="360"/>
      <w:contextualSpacing/>
    </w:pPr>
    <w:rPr>
      <w:lang w:val="ro-RO"/>
    </w:rPr>
  </w:style>
  <w:style w:type="paragraph" w:styleId="ListContinue2">
    <w:name w:val="List Continue 2"/>
    <w:basedOn w:val="Normal"/>
    <w:uiPriority w:val="99"/>
    <w:unhideWhenUsed/>
    <w:rsid w:val="0029639D"/>
    <w:pPr>
      <w:spacing w:after="120"/>
      <w:ind w:left="720"/>
      <w:contextualSpacing/>
    </w:pPr>
    <w:rPr>
      <w:lang w:val="ro-RO"/>
    </w:rPr>
  </w:style>
  <w:style w:type="paragraph" w:styleId="ListContinue3">
    <w:name w:val="List Continue 3"/>
    <w:basedOn w:val="Normal"/>
    <w:uiPriority w:val="99"/>
    <w:unhideWhenUsed/>
    <w:rsid w:val="0029639D"/>
    <w:pPr>
      <w:spacing w:after="120"/>
      <w:ind w:left="1080"/>
      <w:contextualSpacing/>
    </w:pPr>
    <w:rPr>
      <w:lang w:val="ro-R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ro-R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ro-R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color w:val="303030"/>
      <w:sz w:val="19"/>
      <w:szCs w:val="18"/>
      <w:lang w:val="ro-R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ro-R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ro-R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rPr>
      <w:rFonts w:ascii="Liberation Serif" w:hAnsi="Liberation Serif"/>
      <w:color w:val="303030"/>
      <w:sz w:val="18"/>
      <w:lang w:val="ro-RO"/>
    </w:rPr>
  </w:style>
  <w:style w:type="paragraph" w:customStyle="1" w:styleId="SOPCode">
    <w:name w:val="SOP Code"/>
    <w:pPr>
      <w:keepNext/>
      <w:spacing w:line="240" w:lineRule="auto" w:after="0" w:before="0"/>
      <w:ind w:left="142"/>
    </w:pPr>
    <w:rPr>
      <w:rFonts w:ascii="Liberation Mono" w:hAnsi="Liberation Mono"/>
      <w:sz w:val="18"/>
      <w:lang w:val="ro-RO"/>
    </w:rPr>
  </w:style>
  <w:style w:type="paragraph" w:customStyle="1" w:styleId="Reference">
    <w:name w:val="Reference"/>
    <w:pPr>
      <w:spacing w:after="100" w:line="245" w:lineRule="auto"/>
      <w:ind w:left="340" w:hanging="340"/>
    </w:pPr>
    <w:rPr>
      <w:rFonts w:ascii="Liberation Serif" w:hAnsi="Liberation Serif"/>
      <w:sz w:val="19"/>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RecallSOP — arhitectură neurosimbolică bazată pe circuite</dc:title>
  <dc:subject>Arhitectură neurosimbolică, SOP Lang, strategii de memorie și raționament</dc:subject>
  <dc:creator>Sînică Alboaie</dc:creator>
  <cp:keywords>RecallSOP; SOP Lang; neurosymbolic; memory; reasoning; semantic parsing</cp:keywords>
  <dc:description>generated by python-docx</dc:description>
  <cp:lastModifiedBy/>
  <cp:revision>1</cp:revision>
  <dcterms:created xsi:type="dcterms:W3CDTF">2013-12-23T23:15:00Z</dcterms:created>
  <dcterms:modified xsi:type="dcterms:W3CDTF">2013-12-23T23:15:00Z</dcterms:modified>
  <cp:category/>
  <dc:language>ro-RO</dc:language>
</cp:coreProperties>
</file>