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Anexă separată: opțiuni de publicare pentru RecallSOP</w:t>
      </w:r>
    </w:p>
    <w:p>
      <w:pPr>
        <w:pStyle w:val="Caption"/>
      </w:pPr>
      <w:r>
        <w:t>Analiză editorială pentru manuscrisul de arhitectură • 27 septembrie 2026</w:t>
      </w:r>
    </w:p>
    <w:p>
      <w:pPr>
        <w:pStyle w:val="Heading1"/>
      </w:pPr>
      <w:r>
        <w:t>1. Încadrarea recomandată</w:t>
      </w:r>
    </w:p>
    <w:p>
      <w:pPr>
        <w:jc w:val="both"/>
      </w:pPr>
      <w:r>
        <w:t>Aș poziționa prima versiune ca articol de arhitectură neurosimbolică, însoțit de un artefact executabil și demonstrații de mecanism. Nu aș prezenta-o încă drept articol care demonstrează superioritatea unui agent de 270M asupra unui LLM mare. Afirmația suficient de precisă este: un IR executabil comun face posibilă compoziția inspectabilă și comparația independentă a strategiilor de memorie și reasoning.</w:t>
      </w:r>
    </w:p>
    <w:p>
      <w:pPr>
        <w:jc w:val="both"/>
      </w:pPr>
      <w:r>
        <w:t>Demonstrațiile existente pot susține această contribuție dacă exemplele, contractele și sursele sunt publicate clar. Acceptarea depinde totuși de relevanța percepută, delimitarea față de PAL, LINC, Logic-LM, Scallop, LMQL și DSPy și de suficiența evaluării pentru tipul de articol solicitat. O revistă serioasă poate cere un studiu neuronal suplimentar. Nu există o scutire generală de validare doar pentru că manuscrisul este conceptual.</w:t>
      </w:r>
    </w:p>
    <w:p>
      <w:pPr>
        <w:jc w:val="both"/>
      </w:pPr>
      <w:r>
        <w:t>Recomandările de mai jos sunt evaluări editoriale, nu probabilități de acceptare. Sursele oficiale au fost consultate la data indicată; termenele și politicile trebuie reverificate înaintea trimiterii. Pentru o depunere internațională, manuscrisul românesc trebuie transpus în engleză și adaptat exact tipului de contribuție ales.</w:t>
      </w:r>
    </w:p>
    <w:p>
      <w:pPr>
        <w:pStyle w:val="Heading1"/>
      </w:pPr>
      <w:r>
        <w:t>2. Destinații relevante</w:t>
      </w:r>
    </w:p>
    <w:p>
      <w:pPr>
        <w:pStyle w:val="Caption"/>
      </w:pPr>
      <w:r>
        <w:t>Opțiuni și condiții concrete; nu reprezintă un clasament bibliometric.</w:t>
      </w:r>
    </w:p>
    <w:tbl>
      <w:tblPr>
        <w:tblW w:type="auto" w:w="0"/>
        <w:tblLayout w:type="fixed"/>
        <w:tblLook w:firstColumn="1" w:firstRow="1" w:lastColumn="0" w:lastRow="0" w:noHBand="0" w:noVBand="1" w:val="04A0"/>
      </w:tblPr>
      <w:tblGrid>
        <w:gridCol w:w="2835"/>
        <w:gridCol w:w="6690"/>
      </w:tblGrid>
      <w:tr>
        <w:trPr>
          <w:cantSplit/>
          <w:tblHeader/>
        </w:trPr>
        <w:tc>
          <w:tcPr>
            <w:tcW w:type="dxa" w:w="2835"/>
            <w:tcMar>
              <w:top w:w="80" w:type="dxa"/>
              <w:left w:w="80" w:type="dxa"/>
              <w:bottom w:w="80" w:type="dxa"/>
              <w:right w:w="80" w:type="dxa"/>
            </w:tcMar>
            <w:shd w:fill="E9E9E9"/>
          </w:tcPr>
          <w:p>
            <w:pPr>
              <w:spacing w:after="60" w:line="245" w:lineRule="auto"/>
            </w:pPr>
            <w:r>
              <w:rPr>
                <w:b/>
                <w:sz w:val="19"/>
              </w:rPr>
              <w:t>Destinație</w:t>
            </w:r>
          </w:p>
        </w:tc>
        <w:tc>
          <w:tcPr>
            <w:tcW w:type="dxa" w:w="6690"/>
            <w:tcMar>
              <w:top w:w="80" w:type="dxa"/>
              <w:left w:w="80" w:type="dxa"/>
              <w:bottom w:w="80" w:type="dxa"/>
              <w:right w:w="80" w:type="dxa"/>
            </w:tcMar>
            <w:shd w:fill="E9E9E9"/>
          </w:tcPr>
          <w:p>
            <w:pPr>
              <w:spacing w:after="60" w:line="245" w:lineRule="auto"/>
            </w:pPr>
            <w:r>
              <w:rPr>
                <w:b/>
                <w:sz w:val="19"/>
              </w:rPr>
              <w:t>Potrivire și pregătire necesară</w:t>
            </w:r>
          </w:p>
        </w:tc>
      </w:tr>
      <w:tr>
        <w:trPr>
          <w:cantSplit/>
        </w:trPr>
        <w:tc>
          <w:tcPr>
            <w:tcW w:type="dxa" w:w="2835"/>
            <w:tcMar>
              <w:top w:w="80" w:type="dxa"/>
              <w:left w:w="80" w:type="dxa"/>
              <w:bottom w:w="80" w:type="dxa"/>
              <w:right w:w="80" w:type="dxa"/>
            </w:tcMar>
            <w:shd w:fill="FFFFFF"/>
          </w:tcPr>
          <w:p>
            <w:pPr>
              <w:spacing w:after="60" w:line="245" w:lineRule="auto"/>
            </w:pPr>
            <w:r>
              <w:rPr>
                <w:b w:val="0"/>
                <w:sz w:val="19"/>
              </w:rPr>
              <w:t>Neurosymbolic Artificial Intelligence</w:t>
            </w:r>
          </w:p>
        </w:tc>
        <w:tc>
          <w:tcPr>
            <w:tcW w:type="dxa" w:w="6690"/>
            <w:tcMar>
              <w:top w:w="80" w:type="dxa"/>
              <w:left w:w="80" w:type="dxa"/>
              <w:bottom w:w="80" w:type="dxa"/>
              <w:right w:w="80" w:type="dxa"/>
            </w:tcMar>
            <w:shd w:fill="FFFFFF"/>
          </w:tcPr>
          <w:p>
            <w:pPr>
              <w:spacing w:after="60" w:line="245" w:lineRule="auto"/>
            </w:pPr>
            <w:r>
              <w:rPr>
                <w:b w:val="0"/>
                <w:sz w:val="19"/>
              </w:rPr>
              <w:t>Prima mea opțiune pentru această temă. Revista este dedicată integrării neuronale și simbolice și are evaluare publică. Aș propune articol de arhitectură cu artefact și aș confirma cu editorii forma potrivită pentru o contribuție conceptuală. Ghidul permite Word fără un template obligatoriu la pregătire; depunerea inițială cere PDF. [P1,P2]</w:t>
            </w:r>
          </w:p>
        </w:tc>
      </w:tr>
      <w:tr>
        <w:trPr>
          <w:cantSplit/>
        </w:trPr>
        <w:tc>
          <w:tcPr>
            <w:tcW w:type="dxa" w:w="2835"/>
            <w:tcMar>
              <w:top w:w="80" w:type="dxa"/>
              <w:left w:w="80" w:type="dxa"/>
              <w:bottom w:w="80" w:type="dxa"/>
              <w:right w:w="80" w:type="dxa"/>
            </w:tcMar>
            <w:shd w:fill="F8F8F8"/>
          </w:tcPr>
          <w:p>
            <w:pPr>
              <w:spacing w:after="60" w:line="245" w:lineRule="auto"/>
            </w:pPr>
            <w:r>
              <w:rPr>
                <w:b w:val="0"/>
                <w:sz w:val="19"/>
              </w:rPr>
              <w:t>NeSy — International Conference on Neurosymbolic Learning and Reasoning</w:t>
            </w:r>
          </w:p>
        </w:tc>
        <w:tc>
          <w:tcPr>
            <w:tcW w:type="dxa" w:w="6690"/>
            <w:tcMar>
              <w:top w:w="80" w:type="dxa"/>
              <w:left w:w="80" w:type="dxa"/>
              <w:bottom w:w="80" w:type="dxa"/>
              <w:right w:w="80" w:type="dxa"/>
            </w:tcMar>
            <w:shd w:fill="F8F8F8"/>
          </w:tcPr>
          <w:p>
            <w:pPr>
              <w:spacing w:after="60" w:line="245" w:lineRule="auto"/>
            </w:pPr>
            <w:r>
              <w:rPr>
                <w:b w:val="0"/>
                <w:sz w:val="19"/>
              </w:rPr>
              <w:t>Public potrivit pentru IR, inferență și integrare. Seria studiază explicit combinarea învățării cu reprezentarea cunoașterii. Ediția 2026 a avut loc la 1–4 septembrie 2026; nu mai este o opțiune viitoare. Pagina oficială anunță NeSy 2027 la CMU, 8–10 septembrie 2027, dar nu afișează încă pe pagina consultată termenele de trimitere. [P3,P4]</w:t>
            </w:r>
          </w:p>
        </w:tc>
      </w:tr>
      <w:tr>
        <w:trPr>
          <w:cantSplit/>
        </w:trPr>
        <w:tc>
          <w:tcPr>
            <w:tcW w:type="dxa" w:w="2835"/>
            <w:tcMar>
              <w:top w:w="80" w:type="dxa"/>
              <w:left w:w="80" w:type="dxa"/>
              <w:bottom w:w="80" w:type="dxa"/>
              <w:right w:w="80" w:type="dxa"/>
            </w:tcMar>
            <w:shd w:fill="FFFFFF"/>
          </w:tcPr>
          <w:p>
            <w:pPr>
              <w:spacing w:after="60" w:line="245" w:lineRule="auto"/>
            </w:pPr>
            <w:r>
              <w:rPr>
                <w:b w:val="0"/>
                <w:sz w:val="19"/>
              </w:rPr>
              <w:t>Semantic Web</w:t>
            </w:r>
          </w:p>
        </w:tc>
        <w:tc>
          <w:tcPr>
            <w:tcW w:type="dxa" w:w="6690"/>
            <w:tcMar>
              <w:top w:w="80" w:type="dxa"/>
              <w:left w:w="80" w:type="dxa"/>
              <w:bottom w:w="80" w:type="dxa"/>
              <w:right w:w="80" w:type="dxa"/>
            </w:tcMar>
            <w:shd w:fill="FFFFFF"/>
          </w:tcPr>
          <w:p>
            <w:pPr>
              <w:spacing w:after="60" w:line="245" w:lineRule="auto"/>
            </w:pPr>
            <w:r>
              <w:rPr>
                <w:b w:val="0"/>
                <w:sz w:val="19"/>
              </w:rPr>
              <w:t>Potrivit dacă accentul cade pe reprezentarea formală, proveniență, interogare și interoperabilitatea memoriilor. Categoria Reports on tools and systems cere un sistem matur și dovezi de utilitate/impact. Fără integrare clară cu tehnologii semantice, articolul general despre agent poate fi prea îndepărtat de tematică. [P5]</w:t>
            </w:r>
          </w:p>
        </w:tc>
      </w:tr>
      <w:tr>
        <w:trPr>
          <w:cantSplit/>
        </w:trPr>
        <w:tc>
          <w:tcPr>
            <w:tcW w:type="dxa" w:w="2835"/>
            <w:tcMar>
              <w:top w:w="80" w:type="dxa"/>
              <w:left w:w="80" w:type="dxa"/>
              <w:bottom w:w="80" w:type="dxa"/>
              <w:right w:w="80" w:type="dxa"/>
            </w:tcMar>
            <w:shd w:fill="F8F8F8"/>
          </w:tcPr>
          <w:p>
            <w:pPr>
              <w:spacing w:after="60" w:line="245" w:lineRule="auto"/>
            </w:pPr>
            <w:r>
              <w:rPr>
                <w:b w:val="0"/>
                <w:sz w:val="19"/>
              </w:rPr>
              <w:t>Journal of Open Source Software (JOSS)</w:t>
            </w:r>
          </w:p>
        </w:tc>
        <w:tc>
          <w:tcPr>
            <w:tcW w:type="dxa" w:w="6690"/>
            <w:tcMar>
              <w:top w:w="80" w:type="dxa"/>
              <w:left w:w="80" w:type="dxa"/>
              <w:bottom w:w="80" w:type="dxa"/>
              <w:right w:w="80" w:type="dxa"/>
            </w:tcMar>
            <w:shd w:fill="F8F8F8"/>
          </w:tcPr>
          <w:p>
            <w:pPr>
              <w:spacing w:after="60" w:line="245" w:lineRule="auto"/>
            </w:pPr>
            <w:r>
              <w:rPr>
                <w:b w:val="0"/>
                <w:sz w:val="19"/>
              </w:rPr>
              <w:t>Țintă ulterioară pentru un articol software separat, nu înlocuitorul articolului de arhitectură. Cere software de cercetare deschis, teste, documentație și impact demonstrat. Ghidul actual impune peste șase luni de dezvoltare publică activă; un ZIP publicat imediat înainte nu este suficient. [P6]</w:t>
            </w:r>
          </w:p>
        </w:tc>
      </w:tr>
      <w:tr>
        <w:trPr>
          <w:cantSplit/>
        </w:trPr>
        <w:tc>
          <w:tcPr>
            <w:tcW w:type="dxa" w:w="2835"/>
            <w:tcMar>
              <w:top w:w="80" w:type="dxa"/>
              <w:left w:w="80" w:type="dxa"/>
              <w:bottom w:w="80" w:type="dxa"/>
              <w:right w:w="80" w:type="dxa"/>
            </w:tcMar>
            <w:shd w:fill="FFFFFF"/>
          </w:tcPr>
          <w:p>
            <w:pPr>
              <w:spacing w:after="60" w:line="245" w:lineRule="auto"/>
            </w:pPr>
            <w:r>
              <w:rPr>
                <w:b w:val="0"/>
                <w:sz w:val="19"/>
              </w:rPr>
              <w:t>arXiv + arhivarea versionată a artefactului</w:t>
            </w:r>
          </w:p>
        </w:tc>
        <w:tc>
          <w:tcPr>
            <w:tcW w:type="dxa" w:w="6690"/>
            <w:tcMar>
              <w:top w:w="80" w:type="dxa"/>
              <w:left w:w="80" w:type="dxa"/>
              <w:bottom w:w="80" w:type="dxa"/>
              <w:right w:w="80" w:type="dxa"/>
            </w:tcMar>
            <w:shd w:fill="FFFFFF"/>
          </w:tcPr>
          <w:p>
            <w:pPr>
              <w:spacing w:after="60" w:line="245" w:lineRule="auto"/>
            </w:pPr>
            <w:r>
              <w:rPr>
                <w:b w:val="0"/>
                <w:sz w:val="19"/>
              </w:rPr>
              <w:t>Rută de diseminare inițială, nu evaluare peer-reviewed. Un preprint delimitează contribuția și face posibil feedback-ul comunității; nu certifică validitatea rezultatelor. Ghidul arXiv explică procedura și verificările de depunere. [P7]</w:t>
            </w:r>
          </w:p>
        </w:tc>
      </w:tr>
    </w:tbl>
    <w:p>
      <w:pPr>
        <w:spacing w:after="20"/>
        <w:jc w:val="both"/>
      </w:pPr>
      <w:r/>
    </w:p>
    <w:p>
      <w:pPr>
        <w:pStyle w:val="Heading1"/>
      </w:pPr>
      <w:r>
        <w:t>3. Ce aș pregăti înaintea depunerii</w:t>
      </w:r>
    </w:p>
    <w:p>
      <w:pPr>
        <w:jc w:val="both"/>
      </w:pPr>
      <w:r>
        <w:t>Pentru revista neurosimbolică, aș menține centrul de greutate pe contractele SOP și pe separarea strategiilor. Aș adăuga o scrisoare editorială care formulează contribuția într-un paragraf, explică de ce nu este doar o colecție de wrappers pentru solvere și indică precis limitele demonstrațiilor. Pentru NeSy, aș concentra textul pe mecanismul linker–ieșiri–interpretoare și pe un număr mic de experimente comparative bine controlate.</w:t>
      </w:r>
    </w:p>
    <w:p>
      <w:pPr>
        <w:jc w:val="both"/>
      </w:pPr>
      <w:r>
        <w:t>Artefactul trebuie să aibă o versiune publică imuabilă, o licență, instrucțiuni verificabile și proveniența corpusurilor. Trebuie înghețate configurările și separat ce a fost măsurat de ce este numai pregătit pentru executare. Ghidul Semantic Web cere în mod explicit acces la resursele necesare reproducerii [P5]. Existența lor într-o conversație privată nu este disponibilitate publică.</w:t>
      </w:r>
    </w:p>
    <w:p>
      <w:pPr>
        <w:jc w:val="both"/>
      </w:pPr>
      <w:r>
        <w:t>Pentru afirmațiile despre modele mici, cel mai valoros supliment ar fi o probă cap-coadă, modestă, dar independentă: întrebări românești noi, formalizare, execuție și răspuns. Nu trebuie să pretindă generalitate; trebuie să localizeze erorile și să compare costul cu un model mai mare în condiții echitabile. Acest studiu poate susține o versiune extinsă, chiar dacă prima comunicare rămâne una de arhitectură.</w:t>
      </w:r>
    </w:p>
    <w:p>
      <w:pPr>
        <w:jc w:val="both"/>
      </w:pPr>
      <w:r>
        <w:t>Trebuie declarată asistența generativă folosită în cod și manuscris. JOSS cere explicit identificarea instrumentelor, natura asistenței și confirmarea revizuirii umane; nu trebuie bifată această confirmare înainte ca revizuirea să fi avut loc [P6]. Lista autorilor, afilierea, finanțarea și interesele concurente sunt stabilite de autorii reali, nu presupuse în draft.</w:t>
      </w:r>
    </w:p>
    <w:p>
      <w:pPr>
        <w:jc w:val="both"/>
      </w:pPr>
      <w:r>
        <w:t>Nu aș trimite același manuscris în paralel către două reviste. Pentru o versiune extinsă după o conferință, trebuie declarate publicația anterioară și contribuția suplimentară; ghidul Neurosymbolic Artificial Intelligence solicită acest lucru explicit [P2]. Nu am inclus factori de impact, rate de acceptare sau estimări de durată editorială: acestea nu sunt necesare alegerii tematice și nu au fost verificate în această analiză.</w:t>
      </w:r>
    </w:p>
    <w:p>
      <w:pPr>
        <w:pStyle w:val="Heading1"/>
      </w:pPr>
      <w:r>
        <w:t>4. Surse oficiale pentru anexă</w:t>
      </w:r>
    </w:p>
    <w:p>
      <w:pPr>
        <w:pStyle w:val="Reference"/>
      </w:pPr>
      <w:r>
        <w:t>[P1] Neurosymbolic Artificial Intelligence. About. https://neurosymbolic-ai-journal.com/ Consultat la 27 septembrie 2026.</w:t>
      </w:r>
    </w:p>
    <w:p>
      <w:pPr>
        <w:pStyle w:val="Reference"/>
      </w:pPr>
      <w:r>
        <w:t>[P2] Neurosymbolic Artificial Intelligence. Author Guidelines. https://neurosymbolic-ai-journal.com/content/author-guidelines Consultat la 27 septembrie 2026.</w:t>
      </w:r>
    </w:p>
    <w:p>
      <w:pPr>
        <w:pStyle w:val="Reference"/>
      </w:pPr>
      <w:r>
        <w:t>[P3] NeSy Association. NeSy 2026. https://nesy-ai.org/conferences/nesy-2026 Consultat la 27 septembrie 2026.</w:t>
      </w:r>
    </w:p>
    <w:p>
      <w:pPr>
        <w:pStyle w:val="Reference"/>
      </w:pPr>
      <w:r>
        <w:t>[P4] NeSy Association. NeSy 2027. https://nesy-ai.org/conferences/nesy-2027 Consultat la 27 septembrie 2026.</w:t>
      </w:r>
    </w:p>
    <w:p>
      <w:pPr>
        <w:pStyle w:val="Reference"/>
      </w:pPr>
      <w:r>
        <w:t>[P5] Semantic Web. For Authors: submission types, review and open-science requirements. https://www.semantic-web-journal.net/authors Consultat la 27 septembrie 2026.</w:t>
      </w:r>
    </w:p>
    <w:p>
      <w:pPr>
        <w:pStyle w:val="Reference"/>
      </w:pPr>
      <w:r>
        <w:t>[P6] JOSS. Submitting a paper: scope, public development history and AI usage disclosure. https://joss.readthedocs.io/en/latest/submitting.html Consultat la 27 septembrie 2026.</w:t>
      </w:r>
    </w:p>
    <w:p>
      <w:pPr>
        <w:pStyle w:val="Reference"/>
      </w:pPr>
      <w:r>
        <w:t>[P7] arXiv. Submission Guidelines. https://info.arxiv.org/help/submit/index.html Consultat la 27 septembrie 2026.</w:t>
      </w:r>
    </w:p>
    <w:sectPr w:rsidR="00FC693F" w:rsidRPr="0006063C" w:rsidSect="00034616">
      <w:headerReference w:type="default" r:id="rId9"/>
      <w:footerReference w:type="default" r:id="rId10"/>
      <w:pgSz w:w="11906" w:h="16838"/>
      <w:pgMar w:top="1049" w:right="1191" w:bottom="1049" w:left="1191"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RecallSOP • manuscris de lucru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RecallSOP — anexă editorială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Liberation Serif" w:hAnsi="Liberation Serif"/>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o-R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o-R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erif" w:hAnsi="Liberation Serif"/>
      <w:b/>
      <w:bCs/>
      <w:color w:val="111111"/>
      <w:sz w:val="28"/>
      <w:szCs w:val="28"/>
      <w:lang w:val="ro-RO"/>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erif" w:hAnsi="Liberation Serif"/>
      <w:b/>
      <w:bCs/>
      <w:color w:val="111111"/>
      <w:sz w:val="23"/>
      <w:szCs w:val="26"/>
      <w:lang w:val="ro-RO"/>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erif" w:hAnsi="Liberation Serif"/>
      <w:b/>
      <w:bCs/>
      <w:color w:val="111111"/>
      <w:sz w:val="22"/>
      <w:lang w:val="ro-R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ro-R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ro-R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ro-R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ro-R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ro-R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o-R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erif" w:hAnsi="Liberation Serif"/>
      <w:b/>
      <w:color w:val="111111"/>
      <w:spacing w:val="5"/>
      <w:kern w:val="28"/>
      <w:sz w:val="42"/>
      <w:szCs w:val="52"/>
      <w:lang w:val="ro-R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ro-R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ro-RO"/>
    </w:rPr>
  </w:style>
  <w:style w:type="paragraph" w:styleId="BodyText">
    <w:name w:val="Body Text"/>
    <w:basedOn w:val="Normal"/>
    <w:link w:val="BodyTextChar"/>
    <w:uiPriority w:val="99"/>
    <w:unhideWhenUsed/>
    <w:rsid w:val="00AA1D8D"/>
    <w:pPr>
      <w:spacing w:after="120"/>
    </w:pPr>
    <w:rPr>
      <w:lang w:val="ro-R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ro-R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ro-R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ro-RO"/>
    </w:rPr>
  </w:style>
  <w:style w:type="paragraph" w:styleId="List2">
    <w:name w:val="List 2"/>
    <w:basedOn w:val="Normal"/>
    <w:uiPriority w:val="99"/>
    <w:unhideWhenUsed/>
    <w:rsid w:val="00326F90"/>
    <w:pPr>
      <w:ind w:left="720" w:hanging="360"/>
      <w:contextualSpacing/>
    </w:pPr>
    <w:rPr>
      <w:lang w:val="ro-RO"/>
    </w:rPr>
  </w:style>
  <w:style w:type="paragraph" w:styleId="List3">
    <w:name w:val="List 3"/>
    <w:basedOn w:val="Normal"/>
    <w:uiPriority w:val="99"/>
    <w:unhideWhenUsed/>
    <w:rsid w:val="00326F90"/>
    <w:pPr>
      <w:ind w:left="1080" w:hanging="360"/>
      <w:contextualSpacing/>
    </w:pPr>
    <w:rPr>
      <w:lang w:val="ro-RO"/>
    </w:rPr>
  </w:style>
  <w:style w:type="paragraph" w:styleId="ListBullet">
    <w:name w:val="List Bullet"/>
    <w:basedOn w:val="Normal"/>
    <w:uiPriority w:val="99"/>
    <w:unhideWhenUsed/>
    <w:rsid w:val="00326F90"/>
    <w:pPr>
      <w:numPr>
        <w:numId w:val="1"/>
      </w:numPr>
      <w:contextualSpacing/>
    </w:pPr>
    <w:rPr>
      <w:lang w:val="ro-RO"/>
    </w:rPr>
  </w:style>
  <w:style w:type="paragraph" w:styleId="ListBullet2">
    <w:name w:val="List Bullet 2"/>
    <w:basedOn w:val="Normal"/>
    <w:uiPriority w:val="99"/>
    <w:unhideWhenUsed/>
    <w:rsid w:val="00326F90"/>
    <w:pPr>
      <w:numPr>
        <w:numId w:val="2"/>
      </w:numPr>
      <w:contextualSpacing/>
    </w:pPr>
    <w:rPr>
      <w:lang w:val="ro-RO"/>
    </w:rPr>
  </w:style>
  <w:style w:type="paragraph" w:styleId="ListBullet3">
    <w:name w:val="List Bullet 3"/>
    <w:basedOn w:val="Normal"/>
    <w:uiPriority w:val="99"/>
    <w:unhideWhenUsed/>
    <w:rsid w:val="00326F90"/>
    <w:pPr>
      <w:numPr>
        <w:numId w:val="3"/>
      </w:numPr>
      <w:contextualSpacing/>
    </w:pPr>
    <w:rPr>
      <w:lang w:val="ro-RO"/>
    </w:rPr>
  </w:style>
  <w:style w:type="paragraph" w:styleId="ListNumber">
    <w:name w:val="List Number"/>
    <w:basedOn w:val="Normal"/>
    <w:uiPriority w:val="99"/>
    <w:unhideWhenUsed/>
    <w:rsid w:val="00326F90"/>
    <w:pPr>
      <w:numPr>
        <w:numId w:val="5"/>
      </w:numPr>
      <w:contextualSpacing/>
    </w:pPr>
    <w:rPr>
      <w:lang w:val="ro-RO"/>
    </w:rPr>
  </w:style>
  <w:style w:type="paragraph" w:styleId="ListNumber2">
    <w:name w:val="List Number 2"/>
    <w:basedOn w:val="Normal"/>
    <w:uiPriority w:val="99"/>
    <w:unhideWhenUsed/>
    <w:rsid w:val="0029639D"/>
    <w:pPr>
      <w:numPr>
        <w:numId w:val="6"/>
      </w:numPr>
      <w:contextualSpacing/>
    </w:pPr>
    <w:rPr>
      <w:lang w:val="ro-RO"/>
    </w:rPr>
  </w:style>
  <w:style w:type="paragraph" w:styleId="ListNumber3">
    <w:name w:val="List Number 3"/>
    <w:basedOn w:val="Normal"/>
    <w:uiPriority w:val="99"/>
    <w:unhideWhenUsed/>
    <w:rsid w:val="0029639D"/>
    <w:pPr>
      <w:numPr>
        <w:numId w:val="7"/>
      </w:numPr>
      <w:contextualSpacing/>
    </w:pPr>
    <w:rPr>
      <w:lang w:val="ro-RO"/>
    </w:rPr>
  </w:style>
  <w:style w:type="paragraph" w:styleId="ListContinue">
    <w:name w:val="List Continue"/>
    <w:basedOn w:val="Normal"/>
    <w:uiPriority w:val="99"/>
    <w:unhideWhenUsed/>
    <w:rsid w:val="0029639D"/>
    <w:pPr>
      <w:spacing w:after="120"/>
      <w:ind w:left="360"/>
      <w:contextualSpacing/>
    </w:pPr>
    <w:rPr>
      <w:lang w:val="ro-RO"/>
    </w:rPr>
  </w:style>
  <w:style w:type="paragraph" w:styleId="ListContinue2">
    <w:name w:val="List Continue 2"/>
    <w:basedOn w:val="Normal"/>
    <w:uiPriority w:val="99"/>
    <w:unhideWhenUsed/>
    <w:rsid w:val="0029639D"/>
    <w:pPr>
      <w:spacing w:after="120"/>
      <w:ind w:left="720"/>
      <w:contextualSpacing/>
    </w:pPr>
    <w:rPr>
      <w:lang w:val="ro-RO"/>
    </w:rPr>
  </w:style>
  <w:style w:type="paragraph" w:styleId="ListContinue3">
    <w:name w:val="List Continue 3"/>
    <w:basedOn w:val="Normal"/>
    <w:uiPriority w:val="99"/>
    <w:unhideWhenUsed/>
    <w:rsid w:val="0029639D"/>
    <w:pPr>
      <w:spacing w:after="120"/>
      <w:ind w:left="1080"/>
      <w:contextualSpacing/>
    </w:pPr>
    <w:rPr>
      <w:lang w:val="ro-R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o-R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ro-R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color w:val="303030"/>
      <w:sz w:val="19"/>
      <w:szCs w:val="18"/>
      <w:lang w:val="ro-R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ro-R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ro-R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rPr>
      <w:rFonts w:ascii="Liberation Serif" w:hAnsi="Liberation Serif"/>
      <w:color w:val="303030"/>
      <w:sz w:val="18"/>
      <w:lang w:val="ro-RO"/>
    </w:rPr>
  </w:style>
  <w:style w:type="paragraph" w:customStyle="1" w:styleId="SOPCode">
    <w:name w:val="SOP Code"/>
    <w:pPr>
      <w:keepNext/>
      <w:spacing w:line="240" w:lineRule="auto" w:after="0" w:before="0"/>
      <w:ind w:left="142"/>
    </w:pPr>
    <w:rPr>
      <w:rFonts w:ascii="Liberation Mono" w:hAnsi="Liberation Mono"/>
      <w:sz w:val="18"/>
      <w:lang w:val="ro-RO"/>
    </w:rPr>
  </w:style>
  <w:style w:type="paragraph" w:customStyle="1" w:styleId="Reference">
    <w:name w:val="Reference"/>
    <w:pPr>
      <w:spacing w:after="100" w:line="245" w:lineRule="auto"/>
      <w:ind w:left="340" w:hanging="340"/>
    </w:pPr>
    <w:rPr>
      <w:rFonts w:ascii="Liberation Serif" w:hAnsi="Liberation Serif"/>
      <w:sz w:val="19"/>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RecallSOP — anexă editorială</dc:title>
  <dc:subject>Arhitectură neurosimbolică, SOP Lang, strategii de memorie și raționament</dc:subject>
  <dc:creator>Sînică Alboaie</dc:creator>
  <cp:keywords>RecallSOP; SOP Lang; neurosymbolic; memory; reasoning; semantic parsing</cp:keywords>
  <dc:description>generated by python-docx</dc:description>
  <cp:lastModifiedBy/>
  <cp:revision>1</cp:revision>
  <dcterms:created xsi:type="dcterms:W3CDTF">2013-12-23T23:15:00Z</dcterms:created>
  <dcterms:modified xsi:type="dcterms:W3CDTF">2013-12-23T23:15:00Z</dcterms:modified>
  <cp:category/>
  <dc:language>ro-RO</dc:language>
</cp:coreProperties>
</file>