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NL → SOP Lang Dataset Construction</w:t>
      </w:r>
    </w:p>
    <w:p>
      <w:pPr>
        <w:jc w:val="center"/>
      </w:pPr>
      <w:r>
        <w:rPr>
          <w:i/>
          <w:color w:val="5A5A5A"/>
          <w:sz w:val="22"/>
        </w:rPr>
        <w:t>Practical specification for an automated coding-agent pipeline</w:t>
      </w:r>
    </w:p>
    <w:tbl>
      <w:tblPr>
        <w:tblStyle w:val="TableGrid"/>
        <w:tblW w:type="auto" w:w="0"/>
        <w:jc w:val="center"/>
        <w:tblLook w:firstColumn="1" w:firstRow="1" w:lastColumn="0" w:lastRow="0" w:noHBand="0" w:noVBand="1" w:val="04A0"/>
      </w:tblPr>
      <w:tblGrid>
        <w:gridCol w:w="10166"/>
      </w:tblGrid>
      <w:tr>
        <w:tc>
          <w:tcPr>
            <w:tcW w:type="dxa" w:w="10166"/>
            <w:shd w:fill="EEF5FA"/>
            <w:tcMar>
              <w:top w:w="150" w:type="dxa"/>
              <w:start w:w="180" w:type="dxa"/>
              <w:bottom w:w="150" w:type="dxa"/>
              <w:end w:w="180" w:type="dxa"/>
            </w:tcMar>
          </w:tcPr>
          <w:p>
            <w:r>
              <w:rPr>
                <w:b/>
              </w:rPr>
              <w:t xml:space="preserve">Goal. </w:t>
            </w:r>
            <w:r>
              <w:t>Build a compact training corpus for a small model that converts user questions and the assertions attached to those questions from natural language into SOP Lang. The model is not intended to extract arbitrary facts from books or long documents; larger models can perform that task upstream.</w:t>
            </w:r>
          </w:p>
        </w:tc>
      </w:tr>
    </w:tbl>
    <w:p/>
    <w:p>
      <w:pPr>
        <w:pStyle w:val="Heading1"/>
        <w:keepNext/>
      </w:pPr>
      <w:r>
        <w:t>1. Dataset objective and design principle</w:t>
      </w:r>
    </w:p>
    <w:p>
      <w:r>
        <w:t>The dataset should teach a small model a narrow transduction task: recognize many linguistic forms that express the same intent or logical structure and map them to the same SOP representation. The important unit is therefore not a sentence but a semantic case.</w:t>
      </w:r>
    </w:p>
    <w:p>
      <w:r>
        <w:t>Each semantic case should have one canonical SOP target and multiple surface realizations. English provides the main training mass. Romanian is used primarily as a multilingual anchor and evaluation language; it is not necessary to translate the entire corpus.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D9EAF7"/>
            <w:vAlign w:val="center"/>
            <w:tcMar>
              <w:top w:w="100" w:type="dxa"/>
              <w:start w:w="120" w:type="dxa"/>
              <w:bottom w:w="100" w:type="dxa"/>
              <w:end w:w="120" w:type="dxa"/>
            </w:tcMar>
          </w:tcPr>
          <w:p>
            <w:r>
              <w:rPr>
                <w:b/>
                <w:sz w:val="18"/>
              </w:rPr>
              <w:t>Layer</w:t>
            </w:r>
          </w:p>
        </w:tc>
        <w:tc>
          <w:tcPr>
            <w:tcW w:type="dxa" w:w="5040"/>
            <w:shd w:fill="D9EAF7"/>
            <w:vAlign w:val="center"/>
            <w:tcMar>
              <w:top w:w="100" w:type="dxa"/>
              <w:start w:w="120" w:type="dxa"/>
              <w:bottom w:w="100" w:type="dxa"/>
              <w:end w:w="120" w:type="dxa"/>
            </w:tcMar>
          </w:tcPr>
          <w:p>
            <w:r>
              <w:rPr>
                <w:b/>
                <w:sz w:val="18"/>
              </w:rPr>
              <w:t>What it represents</w:t>
            </w:r>
          </w:p>
        </w:tc>
        <w:tc>
          <w:tcPr>
            <w:tcW w:type="dxa" w:w="3384"/>
            <w:shd w:fill="D9EAF7"/>
            <w:vAlign w:val="center"/>
            <w:tcMar>
              <w:top w:w="100" w:type="dxa"/>
              <w:start w:w="120" w:type="dxa"/>
              <w:bottom w:w="100" w:type="dxa"/>
              <w:end w:w="120" w:type="dxa"/>
            </w:tcMar>
          </w:tcPr>
          <w:p>
            <w:r>
              <w:rPr>
                <w:b/>
                <w:sz w:val="18"/>
              </w:rPr>
              <w:t>Rule</w:t>
            </w:r>
          </w:p>
        </w:tc>
      </w:tr>
      <w:tr>
        <w:tc>
          <w:tcPr>
            <w:tcW w:type="dxa" w:w="2088"/>
            <w:vAlign w:val="top"/>
            <w:tcMar>
              <w:top w:w="100" w:type="dxa"/>
              <w:start w:w="120" w:type="dxa"/>
              <w:bottom w:w="100" w:type="dxa"/>
              <w:end w:w="120" w:type="dxa"/>
            </w:tcMar>
          </w:tcPr>
          <w:p>
            <w:r>
              <w:rPr>
                <w:sz w:val="18"/>
              </w:rPr>
              <w:t>Semantic case</w:t>
            </w:r>
          </w:p>
        </w:tc>
        <w:tc>
          <w:tcPr>
            <w:tcW w:type="dxa" w:w="5040"/>
            <w:vAlign w:val="top"/>
            <w:tcMar>
              <w:top w:w="100" w:type="dxa"/>
              <w:start w:w="120" w:type="dxa"/>
              <w:bottom w:w="100" w:type="dxa"/>
              <w:end w:w="120" w:type="dxa"/>
            </w:tcMar>
          </w:tcPr>
          <w:p>
            <w:r>
              <w:rPr>
                <w:sz w:val="18"/>
              </w:rPr>
              <w:t>Question intent, attached assertions, logical relations, ambiguity status</w:t>
            </w:r>
          </w:p>
        </w:tc>
        <w:tc>
          <w:tcPr>
            <w:tcW w:type="dxa" w:w="3384"/>
            <w:vAlign w:val="top"/>
            <w:tcMar>
              <w:top w:w="100" w:type="dxa"/>
              <w:start w:w="120" w:type="dxa"/>
              <w:bottom w:w="100" w:type="dxa"/>
              <w:end w:w="120" w:type="dxa"/>
            </w:tcMar>
          </w:tcPr>
          <w:p>
            <w:r>
              <w:rPr>
                <w:sz w:val="18"/>
              </w:rPr>
              <w:t>Canonical unit; split train/dev/test by this ID.</w:t>
            </w:r>
          </w:p>
        </w:tc>
      </w:tr>
      <w:tr>
        <w:tc>
          <w:tcPr>
            <w:tcW w:type="dxa" w:w="2088"/>
            <w:vAlign w:val="top"/>
            <w:tcMar>
              <w:top w:w="100" w:type="dxa"/>
              <w:start w:w="120" w:type="dxa"/>
              <w:bottom w:w="100" w:type="dxa"/>
              <w:end w:w="120" w:type="dxa"/>
            </w:tcMar>
          </w:tcPr>
          <w:p>
            <w:r>
              <w:rPr>
                <w:sz w:val="18"/>
              </w:rPr>
              <w:t>Surface form</w:t>
            </w:r>
          </w:p>
        </w:tc>
        <w:tc>
          <w:tcPr>
            <w:tcW w:type="dxa" w:w="5040"/>
            <w:vAlign w:val="top"/>
            <w:tcMar>
              <w:top w:w="100" w:type="dxa"/>
              <w:start w:w="120" w:type="dxa"/>
              <w:bottom w:w="100" w:type="dxa"/>
              <w:end w:w="120" w:type="dxa"/>
            </w:tcMar>
          </w:tcPr>
          <w:p>
            <w:r>
              <w:rPr>
                <w:sz w:val="18"/>
              </w:rPr>
              <w:t>A concrete English, Romanian or other-language formulation</w:t>
            </w:r>
          </w:p>
        </w:tc>
        <w:tc>
          <w:tcPr>
            <w:tcW w:type="dxa" w:w="3384"/>
            <w:vAlign w:val="top"/>
            <w:tcMar>
              <w:top w:w="100" w:type="dxa"/>
              <w:start w:w="120" w:type="dxa"/>
              <w:bottom w:w="100" w:type="dxa"/>
              <w:end w:w="120" w:type="dxa"/>
            </w:tcMar>
          </w:tcPr>
          <w:p>
            <w:r>
              <w:rPr>
                <w:sz w:val="18"/>
              </w:rPr>
              <w:t>Many surfaces may map to the same SOP.</w:t>
            </w:r>
          </w:p>
        </w:tc>
      </w:tr>
      <w:tr>
        <w:tc>
          <w:tcPr>
            <w:tcW w:type="dxa" w:w="2088"/>
            <w:vAlign w:val="top"/>
            <w:tcMar>
              <w:top w:w="100" w:type="dxa"/>
              <w:start w:w="120" w:type="dxa"/>
              <w:bottom w:w="100" w:type="dxa"/>
              <w:end w:w="120" w:type="dxa"/>
            </w:tcMar>
          </w:tcPr>
          <w:p>
            <w:r>
              <w:rPr>
                <w:sz w:val="18"/>
              </w:rPr>
              <w:t>SOP target</w:t>
            </w:r>
          </w:p>
        </w:tc>
        <w:tc>
          <w:tcPr>
            <w:tcW w:type="dxa" w:w="5040"/>
            <w:vAlign w:val="top"/>
            <w:tcMar>
              <w:top w:w="100" w:type="dxa"/>
              <w:start w:w="120" w:type="dxa"/>
              <w:bottom w:w="100" w:type="dxa"/>
              <w:end w:w="120" w:type="dxa"/>
            </w:tcMar>
          </w:tcPr>
          <w:p>
            <w:r>
              <w:rPr>
                <w:sz w:val="18"/>
              </w:rPr>
              <w:t>Canonical circuit / structure expected from the model</w:t>
            </w:r>
          </w:p>
        </w:tc>
        <w:tc>
          <w:tcPr>
            <w:tcW w:type="dxa" w:w="3384"/>
            <w:vAlign w:val="top"/>
            <w:tcMar>
              <w:top w:w="100" w:type="dxa"/>
              <w:start w:w="120" w:type="dxa"/>
              <w:bottom w:w="100" w:type="dxa"/>
              <w:end w:w="120" w:type="dxa"/>
            </w:tcMar>
          </w:tcPr>
          <w:p>
            <w:r>
              <w:rPr>
                <w:sz w:val="18"/>
              </w:rPr>
              <w:t>Must be validated deterministically.</w:t>
            </w:r>
          </w:p>
        </w:tc>
      </w:tr>
      <w:tr>
        <w:tc>
          <w:tcPr>
            <w:tcW w:type="dxa" w:w="2088"/>
            <w:vAlign w:val="top"/>
            <w:tcMar>
              <w:top w:w="100" w:type="dxa"/>
              <w:start w:w="120" w:type="dxa"/>
              <w:bottom w:w="100" w:type="dxa"/>
              <w:end w:w="120" w:type="dxa"/>
            </w:tcMar>
          </w:tcPr>
          <w:p>
            <w:r>
              <w:rPr>
                <w:sz w:val="18"/>
              </w:rPr>
              <w:t>Contrast / negative</w:t>
            </w:r>
          </w:p>
        </w:tc>
        <w:tc>
          <w:tcPr>
            <w:tcW w:type="dxa" w:w="5040"/>
            <w:vAlign w:val="top"/>
            <w:tcMar>
              <w:top w:w="100" w:type="dxa"/>
              <w:start w:w="120" w:type="dxa"/>
              <w:bottom w:w="100" w:type="dxa"/>
              <w:end w:w="120" w:type="dxa"/>
            </w:tcMar>
          </w:tcPr>
          <w:p>
            <w:r>
              <w:rPr>
                <w:sz w:val="18"/>
              </w:rPr>
              <w:t>Lexically similar formulation with different semantics</w:t>
            </w:r>
          </w:p>
        </w:tc>
        <w:tc>
          <w:tcPr>
            <w:tcW w:type="dxa" w:w="3384"/>
            <w:vAlign w:val="top"/>
            <w:tcMar>
              <w:top w:w="100" w:type="dxa"/>
              <w:start w:w="120" w:type="dxa"/>
              <w:bottom w:w="100" w:type="dxa"/>
              <w:end w:w="120" w:type="dxa"/>
            </w:tcMar>
          </w:tcPr>
          <w:p>
            <w:r>
              <w:rPr>
                <w:sz w:val="18"/>
              </w:rPr>
              <w:t>Must map to a different SOP or to ambiguity/rejection.</w:t>
            </w:r>
          </w:p>
        </w:tc>
      </w:tr>
    </w:tbl>
    <w:p>
      <w:pPr>
        <w:spacing w:after="0"/>
      </w:pPr>
    </w:p>
    <w:p>
      <w:pPr>
        <w:pStyle w:val="Heading1"/>
        <w:keepNext/>
      </w:pPr>
      <w:r>
        <w:t>2. Recommended source datasets</w:t>
      </w:r>
    </w:p>
    <w:p>
      <w:r>
        <w:t>Use public datasets as semantic scaffolding, not as final training rows. The coding agent should ingest them, normalize them into semantic cases, and then generate or validate SOP targets.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944"/>
            <w:shd w:fill="D9EAF7"/>
            <w:vAlign w:val="center"/>
            <w:tcMar>
              <w:top w:w="100" w:type="dxa"/>
              <w:start w:w="120" w:type="dxa"/>
              <w:bottom w:w="100" w:type="dxa"/>
              <w:end w:w="120" w:type="dxa"/>
            </w:tcMar>
          </w:tcPr>
          <w:p>
            <w:r>
              <w:rPr>
                <w:b/>
                <w:sz w:val="17"/>
              </w:rPr>
              <w:t>Source</w:t>
            </w:r>
          </w:p>
        </w:tc>
        <w:tc>
          <w:tcPr>
            <w:tcW w:type="dxa" w:w="1512"/>
            <w:shd w:fill="D9EAF7"/>
            <w:vAlign w:val="center"/>
            <w:tcMar>
              <w:top w:w="100" w:type="dxa"/>
              <w:start w:w="120" w:type="dxa"/>
              <w:bottom w:w="100" w:type="dxa"/>
              <w:end w:w="120" w:type="dxa"/>
            </w:tcMar>
          </w:tcPr>
          <w:p>
            <w:r>
              <w:rPr>
                <w:b/>
                <w:sz w:val="17"/>
              </w:rPr>
              <w:t>Priority</w:t>
            </w:r>
          </w:p>
        </w:tc>
        <w:tc>
          <w:tcPr>
            <w:tcW w:type="dxa" w:w="4608"/>
            <w:shd w:fill="D9EAF7"/>
            <w:vAlign w:val="center"/>
            <w:tcMar>
              <w:top w:w="100" w:type="dxa"/>
              <w:start w:w="120" w:type="dxa"/>
              <w:bottom w:w="100" w:type="dxa"/>
              <w:end w:w="120" w:type="dxa"/>
            </w:tcMar>
          </w:tcPr>
          <w:p>
            <w:r>
              <w:rPr>
                <w:b/>
                <w:sz w:val="17"/>
              </w:rPr>
              <w:t>Why useful</w:t>
            </w:r>
          </w:p>
        </w:tc>
        <w:tc>
          <w:tcPr>
            <w:tcW w:type="dxa" w:w="3312"/>
            <w:shd w:fill="D9EAF7"/>
            <w:vAlign w:val="center"/>
            <w:tcMar>
              <w:top w:w="100" w:type="dxa"/>
              <w:start w:w="120" w:type="dxa"/>
              <w:bottom w:w="100" w:type="dxa"/>
              <w:end w:w="120" w:type="dxa"/>
            </w:tcMar>
          </w:tcPr>
          <w:p>
            <w:r>
              <w:rPr>
                <w:b/>
                <w:sz w:val="17"/>
              </w:rPr>
              <w:t>Coding-agent use</w:t>
            </w:r>
          </w:p>
        </w:tc>
      </w:tr>
      <w:tr>
        <w:tc>
          <w:tcPr>
            <w:tcW w:type="dxa" w:w="1944"/>
            <w:vAlign w:val="top"/>
            <w:tcMar>
              <w:top w:w="100" w:type="dxa"/>
              <w:start w:w="120" w:type="dxa"/>
              <w:bottom w:w="100" w:type="dxa"/>
              <w:end w:w="120" w:type="dxa"/>
            </w:tcMar>
          </w:tcPr>
          <w:p>
            <w:r>
              <w:rPr>
                <w:sz w:val="17"/>
              </w:rPr>
              <w:t>QA2D</w:t>
            </w:r>
          </w:p>
        </w:tc>
        <w:tc>
          <w:tcPr>
            <w:tcW w:type="dxa" w:w="1512"/>
            <w:vAlign w:val="top"/>
            <w:tcMar>
              <w:top w:w="100" w:type="dxa"/>
              <w:start w:w="120" w:type="dxa"/>
              <w:bottom w:w="100" w:type="dxa"/>
              <w:end w:w="120" w:type="dxa"/>
            </w:tcMar>
          </w:tcPr>
          <w:p>
            <w:r>
              <w:rPr>
                <w:sz w:val="17"/>
              </w:rPr>
              <w:t>High</w:t>
            </w:r>
          </w:p>
        </w:tc>
        <w:tc>
          <w:tcPr>
            <w:tcW w:type="dxa" w:w="4608"/>
            <w:vAlign w:val="top"/>
            <w:tcMar>
              <w:top w:w="100" w:type="dxa"/>
              <w:start w:w="120" w:type="dxa"/>
              <w:bottom w:w="100" w:type="dxa"/>
              <w:end w:w="120" w:type="dxa"/>
            </w:tcMar>
          </w:tcPr>
          <w:p>
            <w:r>
              <w:rPr>
                <w:sz w:val="17"/>
              </w:rPr>
              <w:t>Question + answer → declarative sentence. Useful for recovering the proposition behind different question forms.</w:t>
            </w:r>
          </w:p>
        </w:tc>
        <w:tc>
          <w:tcPr>
            <w:tcW w:type="dxa" w:w="3312"/>
            <w:vAlign w:val="top"/>
            <w:tcMar>
              <w:top w:w="100" w:type="dxa"/>
              <w:start w:w="120" w:type="dxa"/>
              <w:bottom w:w="100" w:type="dxa"/>
              <w:end w:w="120" w:type="dxa"/>
            </w:tcMar>
          </w:tcPr>
          <w:p>
            <w:r>
              <w:rPr>
                <w:sz w:val="17"/>
              </w:rPr>
              <w:t>Build canonical proposition/question pairs; convert proposition + query into SOP.</w:t>
            </w:r>
          </w:p>
        </w:tc>
      </w:tr>
      <w:tr>
        <w:tc>
          <w:tcPr>
            <w:tcW w:type="dxa" w:w="1944"/>
            <w:vAlign w:val="top"/>
            <w:tcMar>
              <w:top w:w="100" w:type="dxa"/>
              <w:start w:w="120" w:type="dxa"/>
              <w:bottom w:w="100" w:type="dxa"/>
              <w:end w:w="120" w:type="dxa"/>
            </w:tcMar>
          </w:tcPr>
          <w:p>
            <w:r>
              <w:rPr>
                <w:sz w:val="17"/>
              </w:rPr>
              <w:t>ProofWriter</w:t>
            </w:r>
          </w:p>
        </w:tc>
        <w:tc>
          <w:tcPr>
            <w:tcW w:type="dxa" w:w="1512"/>
            <w:vAlign w:val="top"/>
            <w:tcMar>
              <w:top w:w="100" w:type="dxa"/>
              <w:start w:w="120" w:type="dxa"/>
              <w:bottom w:w="100" w:type="dxa"/>
              <w:end w:w="120" w:type="dxa"/>
            </w:tcMar>
          </w:tcPr>
          <w:p>
            <w:r>
              <w:rPr>
                <w:sz w:val="17"/>
              </w:rPr>
              <w:t>High</w:t>
            </w:r>
          </w:p>
        </w:tc>
        <w:tc>
          <w:tcPr>
            <w:tcW w:type="dxa" w:w="4608"/>
            <w:vAlign w:val="top"/>
            <w:tcMar>
              <w:top w:w="100" w:type="dxa"/>
              <w:start w:w="120" w:type="dxa"/>
              <w:bottom w:w="100" w:type="dxa"/>
              <w:end w:w="120" w:type="dxa"/>
            </w:tcMar>
          </w:tcPr>
          <w:p>
            <w:r>
              <w:rPr>
                <w:sz w:val="17"/>
              </w:rPr>
              <w:t>Facts + rules + question + answer/proof. Closest source for assertions associated with a question.</w:t>
            </w:r>
          </w:p>
        </w:tc>
        <w:tc>
          <w:tcPr>
            <w:tcW w:type="dxa" w:w="3312"/>
            <w:vAlign w:val="top"/>
            <w:tcMar>
              <w:top w:w="100" w:type="dxa"/>
              <w:start w:w="120" w:type="dxa"/>
              <w:bottom w:w="100" w:type="dxa"/>
              <w:end w:w="120" w:type="dxa"/>
            </w:tcMar>
          </w:tcPr>
          <w:p>
            <w:r>
              <w:rPr>
                <w:sz w:val="17"/>
              </w:rPr>
              <w:t>Convert facts/rules/query into SOP; preserve reasoning depth and truth status.</w:t>
            </w:r>
          </w:p>
        </w:tc>
      </w:tr>
      <w:tr>
        <w:tc>
          <w:tcPr>
            <w:tcW w:type="dxa" w:w="1944"/>
            <w:vAlign w:val="top"/>
            <w:tcMar>
              <w:top w:w="100" w:type="dxa"/>
              <w:start w:w="120" w:type="dxa"/>
              <w:bottom w:w="100" w:type="dxa"/>
              <w:end w:w="120" w:type="dxa"/>
            </w:tcMar>
          </w:tcPr>
          <w:p>
            <w:r>
              <w:rPr>
                <w:sz w:val="17"/>
              </w:rPr>
              <w:t>Quora Question Pairs (QQP)</w:t>
            </w:r>
          </w:p>
        </w:tc>
        <w:tc>
          <w:tcPr>
            <w:tcW w:type="dxa" w:w="1512"/>
            <w:vAlign w:val="top"/>
            <w:tcMar>
              <w:top w:w="100" w:type="dxa"/>
              <w:start w:w="120" w:type="dxa"/>
              <w:bottom w:w="100" w:type="dxa"/>
              <w:end w:w="120" w:type="dxa"/>
            </w:tcMar>
          </w:tcPr>
          <w:p>
            <w:r>
              <w:rPr>
                <w:sz w:val="17"/>
              </w:rPr>
              <w:t>High</w:t>
            </w:r>
          </w:p>
        </w:tc>
        <w:tc>
          <w:tcPr>
            <w:tcW w:type="dxa" w:w="4608"/>
            <w:vAlign w:val="top"/>
            <w:tcMar>
              <w:top w:w="100" w:type="dxa"/>
              <w:start w:w="120" w:type="dxa"/>
              <w:bottom w:w="100" w:type="dxa"/>
              <w:end w:w="120" w:type="dxa"/>
            </w:tcMar>
          </w:tcPr>
          <w:p>
            <w:r>
              <w:rPr>
                <w:sz w:val="17"/>
              </w:rPr>
              <w:t>Human question pairs labeled as semantically equivalent or not.</w:t>
            </w:r>
          </w:p>
        </w:tc>
        <w:tc>
          <w:tcPr>
            <w:tcW w:type="dxa" w:w="3312"/>
            <w:vAlign w:val="top"/>
            <w:tcMar>
              <w:top w:w="100" w:type="dxa"/>
              <w:start w:w="120" w:type="dxa"/>
              <w:bottom w:w="100" w:type="dxa"/>
              <w:end w:w="120" w:type="dxa"/>
            </w:tcMar>
          </w:tcPr>
          <w:p>
            <w:r>
              <w:rPr>
                <w:sz w:val="17"/>
              </w:rPr>
              <w:t>Harvest paraphrase groups and difficult near-duplicates. Do not infer SOP directly without a semantic canonicalization step.</w:t>
            </w:r>
          </w:p>
        </w:tc>
      </w:tr>
      <w:tr>
        <w:tc>
          <w:tcPr>
            <w:tcW w:type="dxa" w:w="1944"/>
            <w:vAlign w:val="top"/>
            <w:tcMar>
              <w:top w:w="100" w:type="dxa"/>
              <w:start w:w="120" w:type="dxa"/>
              <w:bottom w:w="100" w:type="dxa"/>
              <w:end w:w="120" w:type="dxa"/>
            </w:tcMar>
          </w:tcPr>
          <w:p>
            <w:r>
              <w:rPr>
                <w:sz w:val="17"/>
              </w:rPr>
              <w:t>PAWS / PAWS-X</w:t>
            </w:r>
          </w:p>
        </w:tc>
        <w:tc>
          <w:tcPr>
            <w:tcW w:type="dxa" w:w="1512"/>
            <w:vAlign w:val="top"/>
            <w:tcMar>
              <w:top w:w="100" w:type="dxa"/>
              <w:start w:w="120" w:type="dxa"/>
              <w:bottom w:w="100" w:type="dxa"/>
              <w:end w:w="120" w:type="dxa"/>
            </w:tcMar>
          </w:tcPr>
          <w:p>
            <w:r>
              <w:rPr>
                <w:sz w:val="17"/>
              </w:rPr>
              <w:t>High for negatives</w:t>
            </w:r>
          </w:p>
        </w:tc>
        <w:tc>
          <w:tcPr>
            <w:tcW w:type="dxa" w:w="4608"/>
            <w:vAlign w:val="top"/>
            <w:tcMar>
              <w:top w:w="100" w:type="dxa"/>
              <w:start w:w="120" w:type="dxa"/>
              <w:bottom w:w="100" w:type="dxa"/>
              <w:end w:w="120" w:type="dxa"/>
            </w:tcMar>
          </w:tcPr>
          <w:p>
            <w:r>
              <w:rPr>
                <w:sz w:val="17"/>
              </w:rPr>
              <w:t>High lexical overlap pairs where word order/structure changes meaning.</w:t>
            </w:r>
          </w:p>
        </w:tc>
        <w:tc>
          <w:tcPr>
            <w:tcW w:type="dxa" w:w="3312"/>
            <w:vAlign w:val="top"/>
            <w:tcMar>
              <w:top w:w="100" w:type="dxa"/>
              <w:start w:w="120" w:type="dxa"/>
              <w:bottom w:w="100" w:type="dxa"/>
              <w:end w:w="120" w:type="dxa"/>
            </w:tcMar>
          </w:tcPr>
          <w:p>
            <w:r>
              <w:rPr>
                <w:sz w:val="17"/>
              </w:rPr>
              <w:t>Generate hard negatives so the model does not learn bag-of-words matching.</w:t>
            </w:r>
          </w:p>
        </w:tc>
      </w:tr>
      <w:tr>
        <w:tc>
          <w:tcPr>
            <w:tcW w:type="dxa" w:w="1944"/>
            <w:vAlign w:val="top"/>
            <w:tcMar>
              <w:top w:w="100" w:type="dxa"/>
              <w:start w:w="120" w:type="dxa"/>
              <w:bottom w:w="100" w:type="dxa"/>
              <w:end w:w="120" w:type="dxa"/>
            </w:tcMar>
          </w:tcPr>
          <w:p>
            <w:r>
              <w:rPr>
                <w:sz w:val="17"/>
              </w:rPr>
              <w:t>AmbigQA / AmbigNQ</w:t>
            </w:r>
          </w:p>
        </w:tc>
        <w:tc>
          <w:tcPr>
            <w:tcW w:type="dxa" w:w="1512"/>
            <w:vAlign w:val="top"/>
            <w:tcMar>
              <w:top w:w="100" w:type="dxa"/>
              <w:start w:w="120" w:type="dxa"/>
              <w:bottom w:w="100" w:type="dxa"/>
              <w:end w:w="120" w:type="dxa"/>
            </w:tcMar>
          </w:tcPr>
          <w:p>
            <w:r>
              <w:rPr>
                <w:sz w:val="17"/>
              </w:rPr>
              <w:t>Medium</w:t>
            </w:r>
          </w:p>
        </w:tc>
        <w:tc>
          <w:tcPr>
            <w:tcW w:type="dxa" w:w="4608"/>
            <w:vAlign w:val="top"/>
            <w:tcMar>
              <w:top w:w="100" w:type="dxa"/>
              <w:start w:w="120" w:type="dxa"/>
              <w:bottom w:w="100" w:type="dxa"/>
              <w:end w:w="120" w:type="dxa"/>
            </w:tcMar>
          </w:tcPr>
          <w:p>
            <w:r>
              <w:rPr>
                <w:sz w:val="17"/>
              </w:rPr>
              <w:t>Ambiguous questions plus disambiguated rewrites and answers.</w:t>
            </w:r>
          </w:p>
        </w:tc>
        <w:tc>
          <w:tcPr>
            <w:tcW w:type="dxa" w:w="3312"/>
            <w:vAlign w:val="top"/>
            <w:tcMar>
              <w:top w:w="100" w:type="dxa"/>
              <w:start w:w="120" w:type="dxa"/>
              <w:bottom w:w="100" w:type="dxa"/>
              <w:end w:w="120" w:type="dxa"/>
            </w:tcMar>
          </w:tcPr>
          <w:p>
            <w:r>
              <w:rPr>
                <w:sz w:val="17"/>
              </w:rPr>
              <w:t>Teach explicit ambiguity detection or multiple candidate SOP interpretations.</w:t>
            </w:r>
          </w:p>
        </w:tc>
      </w:tr>
      <w:tr>
        <w:tc>
          <w:tcPr>
            <w:tcW w:type="dxa" w:w="1944"/>
            <w:vAlign w:val="top"/>
            <w:tcMar>
              <w:top w:w="100" w:type="dxa"/>
              <w:start w:w="120" w:type="dxa"/>
              <w:bottom w:w="100" w:type="dxa"/>
              <w:end w:w="120" w:type="dxa"/>
            </w:tcMar>
          </w:tcPr>
          <w:p>
            <w:r>
              <w:rPr>
                <w:sz w:val="17"/>
              </w:rPr>
              <w:t>Romanian paraphrase corpus</w:t>
            </w:r>
          </w:p>
        </w:tc>
        <w:tc>
          <w:tcPr>
            <w:tcW w:type="dxa" w:w="1512"/>
            <w:vAlign w:val="top"/>
            <w:tcMar>
              <w:top w:w="100" w:type="dxa"/>
              <w:start w:w="120" w:type="dxa"/>
              <w:bottom w:w="100" w:type="dxa"/>
              <w:end w:w="120" w:type="dxa"/>
            </w:tcMar>
          </w:tcPr>
          <w:p>
            <w:r>
              <w:rPr>
                <w:sz w:val="17"/>
              </w:rPr>
              <w:t>Optional</w:t>
            </w:r>
          </w:p>
        </w:tc>
        <w:tc>
          <w:tcPr>
            <w:tcW w:type="dxa" w:w="4608"/>
            <w:vAlign w:val="top"/>
            <w:tcMar>
              <w:top w:w="100" w:type="dxa"/>
              <w:start w:w="120" w:type="dxa"/>
              <w:bottom w:w="100" w:type="dxa"/>
              <w:end w:w="120" w:type="dxa"/>
            </w:tcMar>
          </w:tcPr>
          <w:p>
            <w:r>
              <w:rPr>
                <w:sz w:val="17"/>
              </w:rPr>
              <w:t>Romanian paraphrase pairs; useful as linguistic augmentation.</w:t>
            </w:r>
          </w:p>
        </w:tc>
        <w:tc>
          <w:tcPr>
            <w:tcW w:type="dxa" w:w="3312"/>
            <w:vAlign w:val="top"/>
            <w:tcMar>
              <w:top w:w="100" w:type="dxa"/>
              <w:start w:w="120" w:type="dxa"/>
              <w:bottom w:w="100" w:type="dxa"/>
              <w:end w:w="120" w:type="dxa"/>
            </w:tcMar>
          </w:tcPr>
          <w:p>
            <w:r>
              <w:rPr>
                <w:sz w:val="17"/>
              </w:rPr>
              <w:t>Use for Romanian surface diversity, not as semantic ground truth by itself.</w:t>
            </w:r>
          </w:p>
        </w:tc>
      </w:tr>
    </w:tbl>
    <w:p>
      <w:pPr>
        <w:spacing w:after="0"/>
      </w:pPr>
    </w:p>
    <w:p>
      <w:r>
        <w:rPr>
          <w:b/>
        </w:rPr>
        <w:t xml:space="preserve">Verified source notes: </w:t>
      </w:r>
      <w:r>
        <w:t>QA2D contains about 86k manually transformed question-answer examples; ProofWriter exposes structured facts, rules, questions and proof graphs; QQP contains hundreds of thousands of question pairs; PAWS contains over 100k human-labeled high-overlap pairs; AmbigQA associates ambiguous questions with disambiguated rewrites; the Romanian paraphrase dataset contains roughly 97k rows. Exact usable subsets and redistribution terms should be checked by the ingestion script before publishing derived data.</w:t>
      </w:r>
    </w:p>
    <w:p>
      <w:pPr>
        <w:pStyle w:val="Heading1"/>
        <w:keepNext/>
      </w:pPr>
      <w:r>
        <w:t>3. Canonical record model</w:t>
      </w:r>
    </w:p>
    <w:p>
      <w:r>
        <w:t>The coding agent should first convert every source into one internal representation. Avoid letting each upstream dataset dictate the training format.</w:t>
      </w:r>
    </w:p>
    <w:tbl>
      <w:tblPr>
        <w:tblStyle w:val="TableGrid"/>
        <w:tblW w:type="auto" w:w="0"/>
        <w:jc w:val="center"/>
        <w:tblLook w:firstColumn="1" w:firstRow="1" w:lastColumn="0" w:lastRow="0" w:noHBand="0" w:noVBand="1" w:val="04A0"/>
      </w:tblPr>
      <w:tblGrid>
        <w:gridCol w:w="5083"/>
        <w:gridCol w:w="5083"/>
      </w:tblGrid>
      <w:tr>
        <w:tc>
          <w:tcPr>
            <w:tcW w:type="dxa" w:w="3024"/>
            <w:shd w:fill="D9EAF7"/>
            <w:vAlign w:val="center"/>
            <w:tcMar>
              <w:top w:w="100" w:type="dxa"/>
              <w:start w:w="120" w:type="dxa"/>
              <w:bottom w:w="100" w:type="dxa"/>
              <w:end w:w="120" w:type="dxa"/>
            </w:tcMar>
          </w:tcPr>
          <w:p>
            <w:r>
              <w:rPr>
                <w:b/>
                <w:sz w:val="18"/>
              </w:rPr>
              <w:t>Field</w:t>
            </w:r>
          </w:p>
        </w:tc>
        <w:tc>
          <w:tcPr>
            <w:tcW w:type="dxa" w:w="8496"/>
            <w:shd w:fill="D9EAF7"/>
            <w:vAlign w:val="center"/>
            <w:tcMar>
              <w:top w:w="100" w:type="dxa"/>
              <w:start w:w="120" w:type="dxa"/>
              <w:bottom w:w="100" w:type="dxa"/>
              <w:end w:w="120" w:type="dxa"/>
            </w:tcMar>
          </w:tcPr>
          <w:p>
            <w:r>
              <w:rPr>
                <w:b/>
                <w:sz w:val="18"/>
              </w:rPr>
              <w:t>Meaning</w:t>
            </w:r>
          </w:p>
        </w:tc>
      </w:tr>
      <w:tr>
        <w:tc>
          <w:tcPr>
            <w:tcW w:type="dxa" w:w="3024"/>
            <w:vAlign w:val="top"/>
            <w:tcMar>
              <w:top w:w="100" w:type="dxa"/>
              <w:start w:w="120" w:type="dxa"/>
              <w:bottom w:w="100" w:type="dxa"/>
              <w:end w:w="120" w:type="dxa"/>
            </w:tcMar>
          </w:tcPr>
          <w:p>
            <w:r>
              <w:rPr>
                <w:sz w:val="18"/>
              </w:rPr>
              <w:t>semantic_case_id</w:t>
            </w:r>
          </w:p>
        </w:tc>
        <w:tc>
          <w:tcPr>
            <w:tcW w:type="dxa" w:w="8496"/>
            <w:vAlign w:val="top"/>
            <w:tcMar>
              <w:top w:w="100" w:type="dxa"/>
              <w:start w:w="120" w:type="dxa"/>
              <w:bottom w:w="100" w:type="dxa"/>
              <w:end w:w="120" w:type="dxa"/>
            </w:tcMar>
          </w:tcPr>
          <w:p>
            <w:r>
              <w:rPr>
                <w:sz w:val="18"/>
              </w:rPr>
              <w:t>Stable ID shared by all linguistic variants of the same semantic problem.</w:t>
            </w:r>
          </w:p>
        </w:tc>
      </w:tr>
      <w:tr>
        <w:tc>
          <w:tcPr>
            <w:tcW w:type="dxa" w:w="3024"/>
            <w:vAlign w:val="top"/>
            <w:tcMar>
              <w:top w:w="100" w:type="dxa"/>
              <w:start w:w="120" w:type="dxa"/>
              <w:bottom w:w="100" w:type="dxa"/>
              <w:end w:w="120" w:type="dxa"/>
            </w:tcMar>
          </w:tcPr>
          <w:p>
            <w:r>
              <w:rPr>
                <w:sz w:val="18"/>
              </w:rPr>
              <w:t>source</w:t>
            </w:r>
          </w:p>
        </w:tc>
        <w:tc>
          <w:tcPr>
            <w:tcW w:type="dxa" w:w="8496"/>
            <w:vAlign w:val="top"/>
            <w:tcMar>
              <w:top w:w="100" w:type="dxa"/>
              <w:start w:w="120" w:type="dxa"/>
              <w:bottom w:w="100" w:type="dxa"/>
              <w:end w:w="120" w:type="dxa"/>
            </w:tcMar>
          </w:tcPr>
          <w:p>
            <w:r>
              <w:rPr>
                <w:sz w:val="18"/>
              </w:rPr>
              <w:t>Dataset, original row ID, license/provenance metadata.</w:t>
            </w:r>
          </w:p>
        </w:tc>
      </w:tr>
      <w:tr>
        <w:tc>
          <w:tcPr>
            <w:tcW w:type="dxa" w:w="3024"/>
            <w:vAlign w:val="top"/>
            <w:tcMar>
              <w:top w:w="100" w:type="dxa"/>
              <w:start w:w="120" w:type="dxa"/>
              <w:bottom w:w="100" w:type="dxa"/>
              <w:end w:w="120" w:type="dxa"/>
            </w:tcMar>
          </w:tcPr>
          <w:p>
            <w:r>
              <w:rPr>
                <w:sz w:val="18"/>
              </w:rPr>
              <w:t>context_assertions</w:t>
            </w:r>
          </w:p>
        </w:tc>
        <w:tc>
          <w:tcPr>
            <w:tcW w:type="dxa" w:w="8496"/>
            <w:vAlign w:val="top"/>
            <w:tcMar>
              <w:top w:w="100" w:type="dxa"/>
              <w:start w:w="120" w:type="dxa"/>
              <w:bottom w:w="100" w:type="dxa"/>
              <w:end w:w="120" w:type="dxa"/>
            </w:tcMar>
          </w:tcPr>
          <w:p>
            <w:r>
              <w:rPr>
                <w:sz w:val="18"/>
              </w:rPr>
              <w:t>Assertions supplied with the question. Empty when the case contains only a question.</w:t>
            </w:r>
          </w:p>
        </w:tc>
      </w:tr>
      <w:tr>
        <w:tc>
          <w:tcPr>
            <w:tcW w:type="dxa" w:w="3024"/>
            <w:vAlign w:val="top"/>
            <w:tcMar>
              <w:top w:w="100" w:type="dxa"/>
              <w:start w:w="120" w:type="dxa"/>
              <w:bottom w:w="100" w:type="dxa"/>
              <w:end w:w="120" w:type="dxa"/>
            </w:tcMar>
          </w:tcPr>
          <w:p>
            <w:r>
              <w:rPr>
                <w:sz w:val="18"/>
              </w:rPr>
              <w:t>question</w:t>
            </w:r>
          </w:p>
        </w:tc>
        <w:tc>
          <w:tcPr>
            <w:tcW w:type="dxa" w:w="8496"/>
            <w:vAlign w:val="top"/>
            <w:tcMar>
              <w:top w:w="100" w:type="dxa"/>
              <w:start w:w="120" w:type="dxa"/>
              <w:bottom w:w="100" w:type="dxa"/>
              <w:end w:w="120" w:type="dxa"/>
            </w:tcMar>
          </w:tcPr>
          <w:p>
            <w:r>
              <w:rPr>
                <w:sz w:val="18"/>
              </w:rPr>
              <w:t>The concrete natural-language question or instruction.</w:t>
            </w:r>
          </w:p>
        </w:tc>
      </w:tr>
      <w:tr>
        <w:tc>
          <w:tcPr>
            <w:tcW w:type="dxa" w:w="3024"/>
            <w:vAlign w:val="top"/>
            <w:tcMar>
              <w:top w:w="100" w:type="dxa"/>
              <w:start w:w="120" w:type="dxa"/>
              <w:bottom w:w="100" w:type="dxa"/>
              <w:end w:w="120" w:type="dxa"/>
            </w:tcMar>
          </w:tcPr>
          <w:p>
            <w:r>
              <w:rPr>
                <w:sz w:val="18"/>
              </w:rPr>
              <w:t>language</w:t>
            </w:r>
          </w:p>
        </w:tc>
        <w:tc>
          <w:tcPr>
            <w:tcW w:type="dxa" w:w="8496"/>
            <w:vAlign w:val="top"/>
            <w:tcMar>
              <w:top w:w="100" w:type="dxa"/>
              <w:start w:w="120" w:type="dxa"/>
              <w:bottom w:w="100" w:type="dxa"/>
              <w:end w:w="120" w:type="dxa"/>
            </w:tcMar>
          </w:tcPr>
          <w:p>
            <w:r>
              <w:rPr>
                <w:sz w:val="18"/>
              </w:rPr>
              <w:t>en, ro, or another language code.</w:t>
            </w:r>
          </w:p>
        </w:tc>
      </w:tr>
      <w:tr>
        <w:tc>
          <w:tcPr>
            <w:tcW w:type="dxa" w:w="3024"/>
            <w:vAlign w:val="top"/>
            <w:tcMar>
              <w:top w:w="100" w:type="dxa"/>
              <w:start w:w="120" w:type="dxa"/>
              <w:bottom w:w="100" w:type="dxa"/>
              <w:end w:w="120" w:type="dxa"/>
            </w:tcMar>
          </w:tcPr>
          <w:p>
            <w:r>
              <w:rPr>
                <w:sz w:val="18"/>
              </w:rPr>
              <w:t>surface_group_id</w:t>
            </w:r>
          </w:p>
        </w:tc>
        <w:tc>
          <w:tcPr>
            <w:tcW w:type="dxa" w:w="8496"/>
            <w:vAlign w:val="top"/>
            <w:tcMar>
              <w:top w:w="100" w:type="dxa"/>
              <w:start w:w="120" w:type="dxa"/>
              <w:bottom w:w="100" w:type="dxa"/>
              <w:end w:w="120" w:type="dxa"/>
            </w:tcMar>
          </w:tcPr>
          <w:p>
            <w:r>
              <w:rPr>
                <w:sz w:val="18"/>
              </w:rPr>
              <w:t>Groups paraphrases that must map to the same target.</w:t>
            </w:r>
          </w:p>
        </w:tc>
      </w:tr>
      <w:tr>
        <w:tc>
          <w:tcPr>
            <w:tcW w:type="dxa" w:w="3024"/>
            <w:vAlign w:val="top"/>
            <w:tcMar>
              <w:top w:w="100" w:type="dxa"/>
              <w:start w:w="120" w:type="dxa"/>
              <w:bottom w:w="100" w:type="dxa"/>
              <w:end w:w="120" w:type="dxa"/>
            </w:tcMar>
          </w:tcPr>
          <w:p>
            <w:r>
              <w:rPr>
                <w:sz w:val="18"/>
              </w:rPr>
              <w:t>sop_target</w:t>
            </w:r>
          </w:p>
        </w:tc>
        <w:tc>
          <w:tcPr>
            <w:tcW w:type="dxa" w:w="8496"/>
            <w:vAlign w:val="top"/>
            <w:tcMar>
              <w:top w:w="100" w:type="dxa"/>
              <w:start w:w="120" w:type="dxa"/>
              <w:bottom w:w="100" w:type="dxa"/>
              <w:end w:w="120" w:type="dxa"/>
            </w:tcMar>
          </w:tcPr>
          <w:p>
            <w:r>
              <w:rPr>
                <w:sz w:val="18"/>
              </w:rPr>
              <w:t>Canonical SOP Lang output.</w:t>
            </w:r>
          </w:p>
        </w:tc>
      </w:tr>
      <w:tr>
        <w:tc>
          <w:tcPr>
            <w:tcW w:type="dxa" w:w="3024"/>
            <w:vAlign w:val="top"/>
            <w:tcMar>
              <w:top w:w="100" w:type="dxa"/>
              <w:start w:w="120" w:type="dxa"/>
              <w:bottom w:w="100" w:type="dxa"/>
              <w:end w:w="120" w:type="dxa"/>
            </w:tcMar>
          </w:tcPr>
          <w:p>
            <w:r>
              <w:rPr>
                <w:sz w:val="18"/>
              </w:rPr>
              <w:t>semantic_status</w:t>
            </w:r>
          </w:p>
        </w:tc>
        <w:tc>
          <w:tcPr>
            <w:tcW w:type="dxa" w:w="8496"/>
            <w:vAlign w:val="top"/>
            <w:tcMar>
              <w:top w:w="100" w:type="dxa"/>
              <w:start w:w="120" w:type="dxa"/>
              <w:bottom w:w="100" w:type="dxa"/>
              <w:end w:w="120" w:type="dxa"/>
            </w:tcMar>
          </w:tcPr>
          <w:p>
            <w:r>
              <w:rPr>
                <w:sz w:val="18"/>
              </w:rPr>
              <w:t>valid / ambiguous / underspecified / contradictory / unsupported, as applicable.</w:t>
            </w:r>
          </w:p>
        </w:tc>
      </w:tr>
      <w:tr>
        <w:tc>
          <w:tcPr>
            <w:tcW w:type="dxa" w:w="3024"/>
            <w:vAlign w:val="top"/>
            <w:tcMar>
              <w:top w:w="100" w:type="dxa"/>
              <w:start w:w="120" w:type="dxa"/>
              <w:bottom w:w="100" w:type="dxa"/>
              <w:end w:w="120" w:type="dxa"/>
            </w:tcMar>
          </w:tcPr>
          <w:p>
            <w:r>
              <w:rPr>
                <w:sz w:val="18"/>
              </w:rPr>
              <w:t>negative_of</w:t>
            </w:r>
          </w:p>
        </w:tc>
        <w:tc>
          <w:tcPr>
            <w:tcW w:type="dxa" w:w="8496"/>
            <w:vAlign w:val="top"/>
            <w:tcMar>
              <w:top w:w="100" w:type="dxa"/>
              <w:start w:w="120" w:type="dxa"/>
              <w:bottom w:w="100" w:type="dxa"/>
              <w:end w:w="120" w:type="dxa"/>
            </w:tcMar>
          </w:tcPr>
          <w:p>
            <w:r>
              <w:rPr>
                <w:sz w:val="18"/>
              </w:rPr>
              <w:t>Optional semantic_case_id for an intentionally confusable contrast.</w:t>
            </w:r>
          </w:p>
        </w:tc>
      </w:tr>
      <w:tr>
        <w:tc>
          <w:tcPr>
            <w:tcW w:type="dxa" w:w="3024"/>
            <w:vAlign w:val="top"/>
            <w:tcMar>
              <w:top w:w="100" w:type="dxa"/>
              <w:start w:w="120" w:type="dxa"/>
              <w:bottom w:w="100" w:type="dxa"/>
              <w:end w:w="120" w:type="dxa"/>
            </w:tcMar>
          </w:tcPr>
          <w:p>
            <w:r>
              <w:rPr>
                <w:sz w:val="18"/>
              </w:rPr>
              <w:t>generation_trace</w:t>
            </w:r>
          </w:p>
        </w:tc>
        <w:tc>
          <w:tcPr>
            <w:tcW w:type="dxa" w:w="8496"/>
            <w:vAlign w:val="top"/>
            <w:tcMar>
              <w:top w:w="100" w:type="dxa"/>
              <w:start w:w="120" w:type="dxa"/>
              <w:bottom w:w="100" w:type="dxa"/>
              <w:end w:w="120" w:type="dxa"/>
            </w:tcMar>
          </w:tcPr>
          <w:p>
            <w:r>
              <w:rPr>
                <w:sz w:val="18"/>
              </w:rPr>
              <w:t>Whether the row is original, translated, paraphrased, adversarially generated, or manually edited.</w:t>
            </w:r>
          </w:p>
        </w:tc>
      </w:tr>
      <w:tr>
        <w:tc>
          <w:tcPr>
            <w:tcW w:type="dxa" w:w="3024"/>
            <w:vAlign w:val="top"/>
            <w:tcMar>
              <w:top w:w="100" w:type="dxa"/>
              <w:start w:w="120" w:type="dxa"/>
              <w:bottom w:w="100" w:type="dxa"/>
              <w:end w:w="120" w:type="dxa"/>
            </w:tcMar>
          </w:tcPr>
          <w:p>
            <w:r>
              <w:rPr>
                <w:sz w:val="18"/>
              </w:rPr>
              <w:t>quality_flags</w:t>
            </w:r>
          </w:p>
        </w:tc>
        <w:tc>
          <w:tcPr>
            <w:tcW w:type="dxa" w:w="8496"/>
            <w:vAlign w:val="top"/>
            <w:tcMar>
              <w:top w:w="100" w:type="dxa"/>
              <w:start w:w="120" w:type="dxa"/>
              <w:bottom w:w="100" w:type="dxa"/>
              <w:end w:w="120" w:type="dxa"/>
            </w:tcMar>
          </w:tcPr>
          <w:p>
            <w:r>
              <w:rPr>
                <w:sz w:val="18"/>
              </w:rPr>
              <w:t>Parser validity, execution validity, semantic-review status, duplicate flags.</w:t>
            </w:r>
          </w:p>
        </w:tc>
      </w:tr>
      <w:tr>
        <w:tc>
          <w:tcPr>
            <w:tcW w:type="dxa" w:w="3024"/>
            <w:vAlign w:val="top"/>
            <w:tcMar>
              <w:top w:w="100" w:type="dxa"/>
              <w:start w:w="120" w:type="dxa"/>
              <w:bottom w:w="100" w:type="dxa"/>
              <w:end w:w="120" w:type="dxa"/>
            </w:tcMar>
          </w:tcPr>
          <w:p>
            <w:r>
              <w:rPr>
                <w:sz w:val="18"/>
              </w:rPr>
              <w:t>split_key</w:t>
            </w:r>
          </w:p>
        </w:tc>
        <w:tc>
          <w:tcPr>
            <w:tcW w:type="dxa" w:w="8496"/>
            <w:vAlign w:val="top"/>
            <w:tcMar>
              <w:top w:w="100" w:type="dxa"/>
              <w:start w:w="120" w:type="dxa"/>
              <w:bottom w:w="100" w:type="dxa"/>
              <w:end w:w="120" w:type="dxa"/>
            </w:tcMar>
          </w:tcPr>
          <w:p>
            <w:r>
              <w:rPr>
                <w:sz w:val="18"/>
              </w:rPr>
              <w:t>Derived from semantic_case_id, never from surface rows.</w:t>
            </w:r>
          </w:p>
        </w:tc>
      </w:tr>
    </w:tbl>
    <w:p>
      <w:pPr>
        <w:spacing w:after="0"/>
      </w:pPr>
    </w:p>
    <w:p>
      <w:r>
        <w:t xml:space="preserve">The crucial invariant is: </w:t>
      </w:r>
      <w:r>
        <w:rPr>
          <w:b/>
        </w:rPr>
        <w:t>all paraphrases of one semantic case must share the same SOP target and must remain in the same dataset split.</w:t>
      </w:r>
    </w:p>
    <w:p>
      <w:pPr>
        <w:pStyle w:val="Heading1"/>
        <w:keepNext/>
      </w:pPr>
      <w:r>
        <w:t>4. Coding-agent pipeline</w:t>
      </w:r>
    </w:p>
    <w:p>
      <w:pPr>
        <w:pStyle w:val="ListNumber"/>
        <w:spacing w:after="60"/>
      </w:pPr>
      <w:r>
        <w:t>Acquire and cache each upstream dataset with source URL, revision/checksum where possible, license text, and original identifiers.</w:t>
      </w:r>
    </w:p>
    <w:p>
      <w:pPr>
        <w:pStyle w:val="ListNumber"/>
        <w:spacing w:after="60"/>
      </w:pPr>
      <w:r>
        <w:t>Normalize questions, answers, assertions and rules without rewriting their semantics. Preserve the raw source alongside normalized records.</w:t>
      </w:r>
    </w:p>
    <w:p>
      <w:pPr>
        <w:pStyle w:val="ListNumber"/>
        <w:spacing w:after="60"/>
      </w:pPr>
      <w:r>
        <w:t>Create semantic cases. For QA2D, reconstruct the underlying proposition and query. For ProofWriter, preserve facts, rules, query and proof metadata. For QQP/PAWS, build equivalence or contrast relations rather than pretending that the pair itself is already a complete semantic representation.</w:t>
      </w:r>
    </w:p>
    <w:p>
      <w:pPr>
        <w:pStyle w:val="ListNumber"/>
        <w:spacing w:after="60"/>
      </w:pPr>
      <w:r>
        <w:t>Generate the canonical SOP target. Prefer deterministic conversion when the source already has formal structure; otherwise use a strong teacher model and then validate the result.</w:t>
      </w:r>
    </w:p>
    <w:p>
      <w:pPr>
        <w:pStyle w:val="ListNumber"/>
        <w:spacing w:after="60"/>
      </w:pPr>
      <w:r>
        <w:t>Generate several English surface forms per semantic case. Vary syntax, question type, politeness, indirect phrasing, order of assertions, optional discourse markers and lexical choices while keeping semantics invariant.</w:t>
      </w:r>
    </w:p>
    <w:p>
      <w:pPr>
        <w:pStyle w:val="ListNumber"/>
        <w:spacing w:after="60"/>
      </w:pPr>
      <w:r>
        <w:t>Generate Romanian anchors for only a selected subset. Translate or independently paraphrase the same semantic cases, always keeping the SOP target unchanged.</w:t>
      </w:r>
    </w:p>
    <w:p>
      <w:pPr>
        <w:pStyle w:val="ListNumber"/>
        <w:spacing w:after="60"/>
      </w:pPr>
      <w:r>
        <w:t>Generate hard negatives. Swap argument order, quantifiers, negation, temporal order, comparison direction, entity roles or scope while minimizing lexical change.</w:t>
      </w:r>
    </w:p>
    <w:p>
      <w:pPr>
        <w:pStyle w:val="ListNumber"/>
        <w:spacing w:after="60"/>
      </w:pPr>
      <w:r>
        <w:t>Add ambiguity cases. Preserve genuine ambiguity instead of forcing a single SOP output; mark ambiguous cases or attach several admissible interpretations according to the intended SOP runtime policy.</w:t>
      </w:r>
    </w:p>
    <w:p>
      <w:pPr>
        <w:pStyle w:val="ListNumber"/>
        <w:spacing w:after="60"/>
      </w:pPr>
      <w:r>
        <w:t>Run deterministic validation: SOP parse, allowed-wire checks, variable/reference checks, execution when executable, canonicalization and duplicate detection.</w:t>
      </w:r>
    </w:p>
    <w:p>
      <w:pPr>
        <w:pStyle w:val="ListNumber"/>
        <w:spacing w:after="60"/>
      </w:pPr>
      <w:r>
        <w:t>Create train/dev/test splits by semantic_case_id, then export flat training rows for the fine-tuning framework.</w:t>
      </w:r>
    </w:p>
    <w:p>
      <w:pPr>
        <w:pStyle w:val="Heading1"/>
        <w:keepNext/>
      </w:pPr>
      <w:r>
        <w:t>5. Multilingual strategy</w:t>
      </w:r>
    </w:p>
    <w:p>
      <w:r>
        <w:t>Do not translate the full English corpus into every language. The research question is precisely how much language-specific supervision is necessary once the base model is already multilingual.</w:t>
      </w:r>
    </w:p>
    <w:tbl>
      <w:tblPr>
        <w:tblStyle w:val="TableGrid"/>
        <w:tblW w:type="auto" w:w="0"/>
        <w:jc w:val="center"/>
        <w:tblLook w:firstColumn="1" w:firstRow="1" w:lastColumn="0" w:lastRow="0" w:noHBand="0" w:noVBand="1" w:val="04A0"/>
      </w:tblPr>
      <w:tblGrid>
        <w:gridCol w:w="5083"/>
        <w:gridCol w:w="5083"/>
      </w:tblGrid>
      <w:tr>
        <w:tc>
          <w:tcPr>
            <w:tcW w:type="dxa" w:w="3888"/>
            <w:shd w:fill="D9EAF7"/>
            <w:vAlign w:val="center"/>
            <w:tcMar>
              <w:top w:w="100" w:type="dxa"/>
              <w:start w:w="120" w:type="dxa"/>
              <w:bottom w:w="100" w:type="dxa"/>
              <w:end w:w="120" w:type="dxa"/>
            </w:tcMar>
          </w:tcPr>
          <w:p>
            <w:r>
              <w:rPr>
                <w:b/>
                <w:sz w:val="18"/>
              </w:rPr>
              <w:t>Corpus component</w:t>
            </w:r>
          </w:p>
        </w:tc>
        <w:tc>
          <w:tcPr>
            <w:tcW w:type="dxa" w:w="7632"/>
            <w:shd w:fill="D9EAF7"/>
            <w:vAlign w:val="center"/>
            <w:tcMar>
              <w:top w:w="100" w:type="dxa"/>
              <w:start w:w="120" w:type="dxa"/>
              <w:bottom w:w="100" w:type="dxa"/>
              <w:end w:w="120" w:type="dxa"/>
            </w:tcMar>
          </w:tcPr>
          <w:p>
            <w:r>
              <w:rPr>
                <w:b/>
                <w:sz w:val="18"/>
              </w:rPr>
              <w:t>Initial experimental range</w:t>
            </w:r>
          </w:p>
        </w:tc>
      </w:tr>
      <w:tr>
        <w:tc>
          <w:tcPr>
            <w:tcW w:type="dxa" w:w="3888"/>
            <w:vAlign w:val="top"/>
            <w:tcMar>
              <w:top w:w="100" w:type="dxa"/>
              <w:start w:w="120" w:type="dxa"/>
              <w:bottom w:w="100" w:type="dxa"/>
              <w:end w:w="120" w:type="dxa"/>
            </w:tcMar>
          </w:tcPr>
          <w:p>
            <w:r>
              <w:rPr>
                <w:sz w:val="18"/>
              </w:rPr>
              <w:t>English semantic cases</w:t>
            </w:r>
          </w:p>
        </w:tc>
        <w:tc>
          <w:tcPr>
            <w:tcW w:type="dxa" w:w="7632"/>
            <w:vAlign w:val="top"/>
            <w:tcMar>
              <w:top w:w="100" w:type="dxa"/>
              <w:start w:w="120" w:type="dxa"/>
              <w:bottom w:w="100" w:type="dxa"/>
              <w:end w:w="120" w:type="dxa"/>
            </w:tcMar>
          </w:tcPr>
          <w:p>
            <w:r>
              <w:rPr>
                <w:sz w:val="18"/>
              </w:rPr>
              <w:t>Main corpus; 100% of selected semantic cases.</w:t>
            </w:r>
          </w:p>
        </w:tc>
      </w:tr>
      <w:tr>
        <w:tc>
          <w:tcPr>
            <w:tcW w:type="dxa" w:w="3888"/>
            <w:vAlign w:val="top"/>
            <w:tcMar>
              <w:top w:w="100" w:type="dxa"/>
              <w:start w:w="120" w:type="dxa"/>
              <w:bottom w:w="100" w:type="dxa"/>
              <w:end w:w="120" w:type="dxa"/>
            </w:tcMar>
          </w:tcPr>
          <w:p>
            <w:r>
              <w:rPr>
                <w:sz w:val="18"/>
              </w:rPr>
              <w:t>English paraphrases</w:t>
            </w:r>
          </w:p>
        </w:tc>
        <w:tc>
          <w:tcPr>
            <w:tcW w:type="dxa" w:w="7632"/>
            <w:vAlign w:val="top"/>
            <w:tcMar>
              <w:top w:w="100" w:type="dxa"/>
              <w:start w:w="120" w:type="dxa"/>
              <w:bottom w:w="100" w:type="dxa"/>
              <w:end w:w="120" w:type="dxa"/>
            </w:tcMar>
          </w:tcPr>
          <w:p>
            <w:r>
              <w:rPr>
                <w:sz w:val="18"/>
              </w:rPr>
              <w:t>Several variants per case; e.g. 3–10 depending on cost and diversity.</w:t>
            </w:r>
          </w:p>
        </w:tc>
      </w:tr>
      <w:tr>
        <w:tc>
          <w:tcPr>
            <w:tcW w:type="dxa" w:w="3888"/>
            <w:vAlign w:val="top"/>
            <w:tcMar>
              <w:top w:w="100" w:type="dxa"/>
              <w:start w:w="120" w:type="dxa"/>
              <w:bottom w:w="100" w:type="dxa"/>
              <w:end w:w="120" w:type="dxa"/>
            </w:tcMar>
          </w:tcPr>
          <w:p>
            <w:r>
              <w:rPr>
                <w:sz w:val="18"/>
              </w:rPr>
              <w:t>Romanian anchors</w:t>
            </w:r>
          </w:p>
        </w:tc>
        <w:tc>
          <w:tcPr>
            <w:tcW w:type="dxa" w:w="7632"/>
            <w:vAlign w:val="top"/>
            <w:tcMar>
              <w:top w:w="100" w:type="dxa"/>
              <w:start w:w="120" w:type="dxa"/>
              <w:bottom w:w="100" w:type="dxa"/>
              <w:end w:w="120" w:type="dxa"/>
            </w:tcMar>
          </w:tcPr>
          <w:p>
            <w:r>
              <w:rPr>
                <w:sz w:val="18"/>
              </w:rPr>
              <w:t>Start around 5–20% of semantic cases, or a few thousand well-distributed cases.</w:t>
            </w:r>
          </w:p>
        </w:tc>
      </w:tr>
      <w:tr>
        <w:tc>
          <w:tcPr>
            <w:tcW w:type="dxa" w:w="3888"/>
            <w:vAlign w:val="top"/>
            <w:tcMar>
              <w:top w:w="100" w:type="dxa"/>
              <w:start w:w="120" w:type="dxa"/>
              <w:bottom w:w="100" w:type="dxa"/>
              <w:end w:w="120" w:type="dxa"/>
            </w:tcMar>
          </w:tcPr>
          <w:p>
            <w:r>
              <w:rPr>
                <w:sz w:val="18"/>
              </w:rPr>
              <w:t>Additional languages</w:t>
            </w:r>
          </w:p>
        </w:tc>
        <w:tc>
          <w:tcPr>
            <w:tcW w:type="dxa" w:w="7632"/>
            <w:vAlign w:val="top"/>
            <w:tcMar>
              <w:top w:w="100" w:type="dxa"/>
              <w:start w:w="120" w:type="dxa"/>
              <w:bottom w:w="100" w:type="dxa"/>
              <w:end w:w="120" w:type="dxa"/>
            </w:tcMar>
          </w:tcPr>
          <w:p>
            <w:r>
              <w:rPr>
                <w:sz w:val="18"/>
              </w:rPr>
              <w:t>Small anchor sets only; e.g. hundreds to a few thousand cases per language.</w:t>
            </w:r>
          </w:p>
        </w:tc>
      </w:tr>
      <w:tr>
        <w:tc>
          <w:tcPr>
            <w:tcW w:type="dxa" w:w="3888"/>
            <w:vAlign w:val="top"/>
            <w:tcMar>
              <w:top w:w="100" w:type="dxa"/>
              <w:start w:w="120" w:type="dxa"/>
              <w:bottom w:w="100" w:type="dxa"/>
              <w:end w:w="120" w:type="dxa"/>
            </w:tcMar>
          </w:tcPr>
          <w:p>
            <w:r>
              <w:rPr>
                <w:sz w:val="18"/>
              </w:rPr>
              <w:t>Romanian evaluation</w:t>
            </w:r>
          </w:p>
        </w:tc>
        <w:tc>
          <w:tcPr>
            <w:tcW w:type="dxa" w:w="7632"/>
            <w:vAlign w:val="top"/>
            <w:tcMar>
              <w:top w:w="100" w:type="dxa"/>
              <w:start w:w="120" w:type="dxa"/>
              <w:bottom w:w="100" w:type="dxa"/>
              <w:end w:w="120" w:type="dxa"/>
            </w:tcMar>
          </w:tcPr>
          <w:p>
            <w:r>
              <w:rPr>
                <w:sz w:val="18"/>
              </w:rPr>
              <w:t>Maintain a held-out Romanian set whose semantic cases never occur in training in any language.</w:t>
            </w:r>
          </w:p>
        </w:tc>
      </w:tr>
    </w:tbl>
    <w:p>
      <w:pPr>
        <w:spacing w:after="0"/>
      </w:pPr>
    </w:p>
    <w:p>
      <w:r>
        <w:t>A useful experiment is to train mostly on English and evaluate Romanian at four levels: zero Romanian training examples, a few hundred anchors, a few thousand anchors, and a larger bilingual subset. This directly measures cross-lingual transfer into SOP Lang and tests whether SOP behaves as a semantic interlingua.</w:t>
      </w:r>
    </w:p>
    <w:p>
      <w:pPr>
        <w:pStyle w:val="Heading1"/>
        <w:keepNext/>
      </w:pPr>
      <w:r>
        <w:t>6. Surface diversity the agent should generate</w:t>
      </w:r>
    </w:p>
    <w:tbl>
      <w:tblPr>
        <w:tblStyle w:val="TableGrid"/>
        <w:tblW w:type="auto" w:w="0"/>
        <w:jc w:val="center"/>
        <w:tblLook w:firstColumn="1" w:firstRow="1" w:lastColumn="0" w:lastRow="0" w:noHBand="0" w:noVBand="1" w:val="04A0"/>
      </w:tblPr>
      <w:tblGrid>
        <w:gridCol w:w="5083"/>
        <w:gridCol w:w="5083"/>
      </w:tblGrid>
      <w:tr>
        <w:tc>
          <w:tcPr>
            <w:tcW w:type="dxa" w:w="3024"/>
            <w:shd w:fill="D9EAF7"/>
            <w:vAlign w:val="center"/>
            <w:tcMar>
              <w:top w:w="100" w:type="dxa"/>
              <w:start w:w="120" w:type="dxa"/>
              <w:bottom w:w="100" w:type="dxa"/>
              <w:end w:w="120" w:type="dxa"/>
            </w:tcMar>
          </w:tcPr>
          <w:p>
            <w:r>
              <w:rPr>
                <w:b/>
                <w:sz w:val="18"/>
              </w:rPr>
              <w:t>Dimension</w:t>
            </w:r>
          </w:p>
        </w:tc>
        <w:tc>
          <w:tcPr>
            <w:tcW w:type="dxa" w:w="8496"/>
            <w:shd w:fill="D9EAF7"/>
            <w:vAlign w:val="center"/>
            <w:tcMar>
              <w:top w:w="100" w:type="dxa"/>
              <w:start w:w="120" w:type="dxa"/>
              <w:bottom w:w="100" w:type="dxa"/>
              <w:end w:w="120" w:type="dxa"/>
            </w:tcMar>
          </w:tcPr>
          <w:p>
            <w:r>
              <w:rPr>
                <w:b/>
                <w:sz w:val="18"/>
              </w:rPr>
              <w:t>Examples of controlled variation</w:t>
            </w:r>
          </w:p>
        </w:tc>
      </w:tr>
      <w:tr>
        <w:tc>
          <w:tcPr>
            <w:tcW w:type="dxa" w:w="3024"/>
            <w:vAlign w:val="top"/>
            <w:tcMar>
              <w:top w:w="100" w:type="dxa"/>
              <w:start w:w="120" w:type="dxa"/>
              <w:bottom w:w="100" w:type="dxa"/>
              <w:end w:w="120" w:type="dxa"/>
            </w:tcMar>
          </w:tcPr>
          <w:p>
            <w:r>
              <w:rPr>
                <w:sz w:val="18"/>
              </w:rPr>
              <w:t>Question form</w:t>
            </w:r>
          </w:p>
        </w:tc>
        <w:tc>
          <w:tcPr>
            <w:tcW w:type="dxa" w:w="8496"/>
            <w:vAlign w:val="top"/>
            <w:tcMar>
              <w:top w:w="100" w:type="dxa"/>
              <w:start w:w="120" w:type="dxa"/>
              <w:bottom w:w="100" w:type="dxa"/>
              <w:end w:w="120" w:type="dxa"/>
            </w:tcMar>
          </w:tcPr>
          <w:p>
            <w:r>
              <w:rPr>
                <w:sz w:val="18"/>
              </w:rPr>
              <w:t>direct question; indirect question; request to determine/check/compare; yes/no; wh-question; conditional query</w:t>
            </w:r>
          </w:p>
        </w:tc>
      </w:tr>
      <w:tr>
        <w:tc>
          <w:tcPr>
            <w:tcW w:type="dxa" w:w="3024"/>
            <w:vAlign w:val="top"/>
            <w:tcMar>
              <w:top w:w="100" w:type="dxa"/>
              <w:start w:w="120" w:type="dxa"/>
              <w:bottom w:w="100" w:type="dxa"/>
              <w:end w:w="120" w:type="dxa"/>
            </w:tcMar>
          </w:tcPr>
          <w:p>
            <w:r>
              <w:rPr>
                <w:sz w:val="18"/>
              </w:rPr>
              <w:t>Assertion packaging</w:t>
            </w:r>
          </w:p>
        </w:tc>
        <w:tc>
          <w:tcPr>
            <w:tcW w:type="dxa" w:w="8496"/>
            <w:vAlign w:val="top"/>
            <w:tcMar>
              <w:top w:w="100" w:type="dxa"/>
              <w:start w:w="120" w:type="dxa"/>
              <w:bottom w:w="100" w:type="dxa"/>
              <w:end w:w="120" w:type="dxa"/>
            </w:tcMar>
          </w:tcPr>
          <w:p>
            <w:r>
              <w:rPr>
                <w:sz w:val="18"/>
              </w:rPr>
              <w:t>facts before question; facts after framing clause; multiple sentences; compact single sentence; reordered independent facts</w:t>
            </w:r>
          </w:p>
        </w:tc>
      </w:tr>
      <w:tr>
        <w:tc>
          <w:tcPr>
            <w:tcW w:type="dxa" w:w="3024"/>
            <w:vAlign w:val="top"/>
            <w:tcMar>
              <w:top w:w="100" w:type="dxa"/>
              <w:start w:w="120" w:type="dxa"/>
              <w:bottom w:w="100" w:type="dxa"/>
              <w:end w:w="120" w:type="dxa"/>
            </w:tcMar>
          </w:tcPr>
          <w:p>
            <w:r>
              <w:rPr>
                <w:sz w:val="18"/>
              </w:rPr>
              <w:t>Lexical variation</w:t>
            </w:r>
          </w:p>
        </w:tc>
        <w:tc>
          <w:tcPr>
            <w:tcW w:type="dxa" w:w="8496"/>
            <w:vAlign w:val="top"/>
            <w:tcMar>
              <w:top w:w="100" w:type="dxa"/>
              <w:start w:w="120" w:type="dxa"/>
              <w:bottom w:w="100" w:type="dxa"/>
              <w:end w:w="120" w:type="dxa"/>
            </w:tcMar>
          </w:tcPr>
          <w:p>
            <w:r>
              <w:rPr>
                <w:sz w:val="18"/>
              </w:rPr>
              <w:t>synonyms, nominalization/verbalization, common vs technical vocabulary</w:t>
            </w:r>
          </w:p>
        </w:tc>
      </w:tr>
      <w:tr>
        <w:tc>
          <w:tcPr>
            <w:tcW w:type="dxa" w:w="3024"/>
            <w:vAlign w:val="top"/>
            <w:tcMar>
              <w:top w:w="100" w:type="dxa"/>
              <w:start w:w="120" w:type="dxa"/>
              <w:bottom w:w="100" w:type="dxa"/>
              <w:end w:w="120" w:type="dxa"/>
            </w:tcMar>
          </w:tcPr>
          <w:p>
            <w:r>
              <w:rPr>
                <w:sz w:val="18"/>
              </w:rPr>
              <w:t>Coreference</w:t>
            </w:r>
          </w:p>
        </w:tc>
        <w:tc>
          <w:tcPr>
            <w:tcW w:type="dxa" w:w="8496"/>
            <w:vAlign w:val="top"/>
            <w:tcMar>
              <w:top w:w="100" w:type="dxa"/>
              <w:start w:w="120" w:type="dxa"/>
              <w:bottom w:w="100" w:type="dxa"/>
              <w:end w:w="120" w:type="dxa"/>
            </w:tcMar>
          </w:tcPr>
          <w:p>
            <w:r>
              <w:rPr>
                <w:sz w:val="18"/>
              </w:rPr>
              <w:t>entity repeated explicitly vs pronoun/reference where unambiguous</w:t>
            </w:r>
          </w:p>
        </w:tc>
      </w:tr>
      <w:tr>
        <w:tc>
          <w:tcPr>
            <w:tcW w:type="dxa" w:w="3024"/>
            <w:vAlign w:val="top"/>
            <w:tcMar>
              <w:top w:w="100" w:type="dxa"/>
              <w:start w:w="120" w:type="dxa"/>
              <w:bottom w:w="100" w:type="dxa"/>
              <w:end w:w="120" w:type="dxa"/>
            </w:tcMar>
          </w:tcPr>
          <w:p>
            <w:r>
              <w:rPr>
                <w:sz w:val="18"/>
              </w:rPr>
              <w:t>Logical wording</w:t>
            </w:r>
          </w:p>
        </w:tc>
        <w:tc>
          <w:tcPr>
            <w:tcW w:type="dxa" w:w="8496"/>
            <w:vAlign w:val="top"/>
            <w:tcMar>
              <w:top w:w="100" w:type="dxa"/>
              <w:start w:w="120" w:type="dxa"/>
              <w:bottom w:w="100" w:type="dxa"/>
              <w:end w:w="120" w:type="dxa"/>
            </w:tcMar>
          </w:tcPr>
          <w:p>
            <w:r>
              <w:rPr>
                <w:sz w:val="18"/>
              </w:rPr>
              <w:t>all/every; some/at least one; not/never; only; unless; if/then; necessary/sufficient</w:t>
            </w:r>
          </w:p>
        </w:tc>
      </w:tr>
      <w:tr>
        <w:tc>
          <w:tcPr>
            <w:tcW w:type="dxa" w:w="3024"/>
            <w:vAlign w:val="top"/>
            <w:tcMar>
              <w:top w:w="100" w:type="dxa"/>
              <w:start w:w="120" w:type="dxa"/>
              <w:bottom w:w="100" w:type="dxa"/>
              <w:end w:w="120" w:type="dxa"/>
            </w:tcMar>
          </w:tcPr>
          <w:p>
            <w:r>
              <w:rPr>
                <w:sz w:val="18"/>
              </w:rPr>
              <w:t>Temporal/causal wording</w:t>
            </w:r>
          </w:p>
        </w:tc>
        <w:tc>
          <w:tcPr>
            <w:tcW w:type="dxa" w:w="8496"/>
            <w:vAlign w:val="top"/>
            <w:tcMar>
              <w:top w:w="100" w:type="dxa"/>
              <w:start w:w="120" w:type="dxa"/>
              <w:bottom w:w="100" w:type="dxa"/>
              <w:end w:w="120" w:type="dxa"/>
            </w:tcMar>
          </w:tcPr>
          <w:p>
            <w:r>
              <w:rPr>
                <w:sz w:val="18"/>
              </w:rPr>
              <w:t>before/after; because/therefore; leads to/is caused by</w:t>
            </w:r>
          </w:p>
        </w:tc>
      </w:tr>
      <w:tr>
        <w:tc>
          <w:tcPr>
            <w:tcW w:type="dxa" w:w="3024"/>
            <w:vAlign w:val="top"/>
            <w:tcMar>
              <w:top w:w="100" w:type="dxa"/>
              <w:start w:w="120" w:type="dxa"/>
              <w:bottom w:w="100" w:type="dxa"/>
              <w:end w:w="120" w:type="dxa"/>
            </w:tcMar>
          </w:tcPr>
          <w:p>
            <w:r>
              <w:rPr>
                <w:sz w:val="18"/>
              </w:rPr>
              <w:t>Noise tolerance</w:t>
            </w:r>
          </w:p>
        </w:tc>
        <w:tc>
          <w:tcPr>
            <w:tcW w:type="dxa" w:w="8496"/>
            <w:vAlign w:val="top"/>
            <w:tcMar>
              <w:top w:w="100" w:type="dxa"/>
              <w:start w:w="120" w:type="dxa"/>
              <w:bottom w:w="100" w:type="dxa"/>
              <w:end w:w="120" w:type="dxa"/>
            </w:tcMar>
          </w:tcPr>
          <w:p>
            <w:r>
              <w:rPr>
                <w:sz w:val="18"/>
              </w:rPr>
              <w:t>minor punctuation variation, harmless filler, polite framing, limited typos if desired for deployment</w:t>
            </w:r>
          </w:p>
        </w:tc>
      </w:tr>
    </w:tbl>
    <w:p>
      <w:pPr>
        <w:spacing w:after="0"/>
      </w:pPr>
    </w:p>
    <w:p>
      <w:r>
        <w:t>The generator should vary one or a few dimensions at a time and record which transformation was applied. This makes later error analysis possible and prevents uncontrolled paraphrasing from silently changing meaning.</w:t>
      </w:r>
    </w:p>
    <w:p>
      <w:pPr>
        <w:pStyle w:val="Heading1"/>
        <w:keepNext/>
      </w:pPr>
      <w:r>
        <w:t>7. Hard negatives and validation</w:t>
      </w:r>
    </w:p>
    <w:p>
      <w:r>
        <w:t>The dataset will be weak if it contains only equivalent paraphrases. A small model must learn which apparently minor changes require a different circuit.</w:t>
      </w:r>
    </w:p>
    <w:tbl>
      <w:tblPr>
        <w:tblStyle w:val="TableGrid"/>
        <w:tblW w:type="auto" w:w="0"/>
        <w:jc w:val="center"/>
        <w:tblLook w:firstColumn="1" w:firstRow="1" w:lastColumn="0" w:lastRow="0" w:noHBand="0" w:noVBand="1" w:val="04A0"/>
      </w:tblPr>
      <w:tblGrid>
        <w:gridCol w:w="5083"/>
        <w:gridCol w:w="5083"/>
      </w:tblGrid>
      <w:tr>
        <w:tc>
          <w:tcPr>
            <w:tcW w:type="dxa" w:w="3168"/>
            <w:shd w:fill="D9EAF7"/>
            <w:vAlign w:val="center"/>
            <w:tcMar>
              <w:top w:w="100" w:type="dxa"/>
              <w:start w:w="120" w:type="dxa"/>
              <w:bottom w:w="100" w:type="dxa"/>
              <w:end w:w="120" w:type="dxa"/>
            </w:tcMar>
          </w:tcPr>
          <w:p>
            <w:r>
              <w:rPr>
                <w:b/>
                <w:sz w:val="18"/>
              </w:rPr>
              <w:t>Negative family</w:t>
            </w:r>
          </w:p>
        </w:tc>
        <w:tc>
          <w:tcPr>
            <w:tcW w:type="dxa" w:w="8352"/>
            <w:shd w:fill="D9EAF7"/>
            <w:vAlign w:val="center"/>
            <w:tcMar>
              <w:top w:w="100" w:type="dxa"/>
              <w:start w:w="120" w:type="dxa"/>
              <w:bottom w:w="100" w:type="dxa"/>
              <w:end w:w="120" w:type="dxa"/>
            </w:tcMar>
          </w:tcPr>
          <w:p>
            <w:r>
              <w:rPr>
                <w:b/>
                <w:sz w:val="18"/>
              </w:rPr>
              <w:t>Example distinction to preserve</w:t>
            </w:r>
          </w:p>
        </w:tc>
      </w:tr>
      <w:tr>
        <w:tc>
          <w:tcPr>
            <w:tcW w:type="dxa" w:w="3168"/>
            <w:vAlign w:val="top"/>
            <w:tcMar>
              <w:top w:w="100" w:type="dxa"/>
              <w:start w:w="120" w:type="dxa"/>
              <w:bottom w:w="100" w:type="dxa"/>
              <w:end w:w="120" w:type="dxa"/>
            </w:tcMar>
          </w:tcPr>
          <w:p>
            <w:r>
              <w:rPr>
                <w:sz w:val="18"/>
              </w:rPr>
              <w:t>Argument reversal</w:t>
            </w:r>
          </w:p>
        </w:tc>
        <w:tc>
          <w:tcPr>
            <w:tcW w:type="dxa" w:w="8352"/>
            <w:vAlign w:val="top"/>
            <w:tcMar>
              <w:top w:w="100" w:type="dxa"/>
              <w:start w:w="120" w:type="dxa"/>
              <w:bottom w:w="100" w:type="dxa"/>
              <w:end w:w="120" w:type="dxa"/>
            </w:tcMar>
          </w:tcPr>
          <w:p>
            <w:r>
              <w:rPr>
                <w:sz w:val="18"/>
              </w:rPr>
              <w:t>A follows B vs B follows A</w:t>
            </w:r>
          </w:p>
        </w:tc>
      </w:tr>
      <w:tr>
        <w:tc>
          <w:tcPr>
            <w:tcW w:type="dxa" w:w="3168"/>
            <w:vAlign w:val="top"/>
            <w:tcMar>
              <w:top w:w="100" w:type="dxa"/>
              <w:start w:w="120" w:type="dxa"/>
              <w:bottom w:w="100" w:type="dxa"/>
              <w:end w:w="120" w:type="dxa"/>
            </w:tcMar>
          </w:tcPr>
          <w:p>
            <w:r>
              <w:rPr>
                <w:sz w:val="18"/>
              </w:rPr>
              <w:t>Negation</w:t>
            </w:r>
          </w:p>
        </w:tc>
        <w:tc>
          <w:tcPr>
            <w:tcW w:type="dxa" w:w="8352"/>
            <w:vAlign w:val="top"/>
            <w:tcMar>
              <w:top w:w="100" w:type="dxa"/>
              <w:start w:w="120" w:type="dxa"/>
              <w:bottom w:w="100" w:type="dxa"/>
              <w:end w:w="120" w:type="dxa"/>
            </w:tcMar>
          </w:tcPr>
          <w:p>
            <w:r>
              <w:rPr>
                <w:sz w:val="18"/>
              </w:rPr>
              <w:t>A is valid vs A is not valid</w:t>
            </w:r>
          </w:p>
        </w:tc>
      </w:tr>
      <w:tr>
        <w:tc>
          <w:tcPr>
            <w:tcW w:type="dxa" w:w="3168"/>
            <w:vAlign w:val="top"/>
            <w:tcMar>
              <w:top w:w="100" w:type="dxa"/>
              <w:start w:w="120" w:type="dxa"/>
              <w:bottom w:w="100" w:type="dxa"/>
              <w:end w:w="120" w:type="dxa"/>
            </w:tcMar>
          </w:tcPr>
          <w:p>
            <w:r>
              <w:rPr>
                <w:sz w:val="18"/>
              </w:rPr>
              <w:t>Quantifier</w:t>
            </w:r>
          </w:p>
        </w:tc>
        <w:tc>
          <w:tcPr>
            <w:tcW w:type="dxa" w:w="8352"/>
            <w:vAlign w:val="top"/>
            <w:tcMar>
              <w:top w:w="100" w:type="dxa"/>
              <w:start w:w="120" w:type="dxa"/>
              <w:bottom w:w="100" w:type="dxa"/>
              <w:end w:w="120" w:type="dxa"/>
            </w:tcMar>
          </w:tcPr>
          <w:p>
            <w:r>
              <w:rPr>
                <w:sz w:val="18"/>
              </w:rPr>
              <w:t>all X vs some X</w:t>
            </w:r>
          </w:p>
        </w:tc>
      </w:tr>
      <w:tr>
        <w:tc>
          <w:tcPr>
            <w:tcW w:type="dxa" w:w="3168"/>
            <w:vAlign w:val="top"/>
            <w:tcMar>
              <w:top w:w="100" w:type="dxa"/>
              <w:start w:w="120" w:type="dxa"/>
              <w:bottom w:w="100" w:type="dxa"/>
              <w:end w:w="120" w:type="dxa"/>
            </w:tcMar>
          </w:tcPr>
          <w:p>
            <w:r>
              <w:rPr>
                <w:sz w:val="18"/>
              </w:rPr>
              <w:t>Scope</w:t>
            </w:r>
          </w:p>
        </w:tc>
        <w:tc>
          <w:tcPr>
            <w:tcW w:type="dxa" w:w="8352"/>
            <w:vAlign w:val="top"/>
            <w:tcMar>
              <w:top w:w="100" w:type="dxa"/>
              <w:start w:w="120" w:type="dxa"/>
              <w:bottom w:w="100" w:type="dxa"/>
              <w:end w:w="120" w:type="dxa"/>
            </w:tcMar>
          </w:tcPr>
          <w:p>
            <w:r>
              <w:rPr>
                <w:sz w:val="18"/>
              </w:rPr>
              <w:t>not (A and B) vs (not A) and B</w:t>
            </w:r>
          </w:p>
        </w:tc>
      </w:tr>
      <w:tr>
        <w:tc>
          <w:tcPr>
            <w:tcW w:type="dxa" w:w="3168"/>
            <w:vAlign w:val="top"/>
            <w:tcMar>
              <w:top w:w="100" w:type="dxa"/>
              <w:start w:w="120" w:type="dxa"/>
              <w:bottom w:w="100" w:type="dxa"/>
              <w:end w:w="120" w:type="dxa"/>
            </w:tcMar>
          </w:tcPr>
          <w:p>
            <w:r>
              <w:rPr>
                <w:sz w:val="18"/>
              </w:rPr>
              <w:t>Comparison</w:t>
            </w:r>
          </w:p>
        </w:tc>
        <w:tc>
          <w:tcPr>
            <w:tcW w:type="dxa" w:w="8352"/>
            <w:vAlign w:val="top"/>
            <w:tcMar>
              <w:top w:w="100" w:type="dxa"/>
              <w:start w:w="120" w:type="dxa"/>
              <w:bottom w:w="100" w:type="dxa"/>
              <w:end w:w="120" w:type="dxa"/>
            </w:tcMar>
          </w:tcPr>
          <w:p>
            <w:r>
              <w:rPr>
                <w:sz w:val="18"/>
              </w:rPr>
              <w:t>A &gt; B vs B &gt; A</w:t>
            </w:r>
          </w:p>
        </w:tc>
      </w:tr>
      <w:tr>
        <w:tc>
          <w:tcPr>
            <w:tcW w:type="dxa" w:w="3168"/>
            <w:vAlign w:val="top"/>
            <w:tcMar>
              <w:top w:w="100" w:type="dxa"/>
              <w:start w:w="120" w:type="dxa"/>
              <w:bottom w:w="100" w:type="dxa"/>
              <w:end w:w="120" w:type="dxa"/>
            </w:tcMar>
          </w:tcPr>
          <w:p>
            <w:r>
              <w:rPr>
                <w:sz w:val="18"/>
              </w:rPr>
              <w:t>Temporal order</w:t>
            </w:r>
          </w:p>
        </w:tc>
        <w:tc>
          <w:tcPr>
            <w:tcW w:type="dxa" w:w="8352"/>
            <w:vAlign w:val="top"/>
            <w:tcMar>
              <w:top w:w="100" w:type="dxa"/>
              <w:start w:w="120" w:type="dxa"/>
              <w:bottom w:w="100" w:type="dxa"/>
              <w:end w:w="120" w:type="dxa"/>
            </w:tcMar>
          </w:tcPr>
          <w:p>
            <w:r>
              <w:rPr>
                <w:sz w:val="18"/>
              </w:rPr>
              <w:t>A before B vs A after B</w:t>
            </w:r>
          </w:p>
        </w:tc>
      </w:tr>
      <w:tr>
        <w:tc>
          <w:tcPr>
            <w:tcW w:type="dxa" w:w="3168"/>
            <w:vAlign w:val="top"/>
            <w:tcMar>
              <w:top w:w="100" w:type="dxa"/>
              <w:start w:w="120" w:type="dxa"/>
              <w:bottom w:w="100" w:type="dxa"/>
              <w:end w:w="120" w:type="dxa"/>
            </w:tcMar>
          </w:tcPr>
          <w:p>
            <w:r>
              <w:rPr>
                <w:sz w:val="18"/>
              </w:rPr>
              <w:t>Condition direction</w:t>
            </w:r>
          </w:p>
        </w:tc>
        <w:tc>
          <w:tcPr>
            <w:tcW w:type="dxa" w:w="8352"/>
            <w:vAlign w:val="top"/>
            <w:tcMar>
              <w:top w:w="100" w:type="dxa"/>
              <w:start w:w="120" w:type="dxa"/>
              <w:bottom w:w="100" w:type="dxa"/>
              <w:end w:w="120" w:type="dxa"/>
            </w:tcMar>
          </w:tcPr>
          <w:p>
            <w:r>
              <w:rPr>
                <w:sz w:val="18"/>
              </w:rPr>
              <w:t>if A then B vs if B then A</w:t>
            </w:r>
          </w:p>
        </w:tc>
      </w:tr>
      <w:tr>
        <w:tc>
          <w:tcPr>
            <w:tcW w:type="dxa" w:w="3168"/>
            <w:vAlign w:val="top"/>
            <w:tcMar>
              <w:top w:w="100" w:type="dxa"/>
              <w:start w:w="120" w:type="dxa"/>
              <w:bottom w:w="100" w:type="dxa"/>
              <w:end w:w="120" w:type="dxa"/>
            </w:tcMar>
          </w:tcPr>
          <w:p>
            <w:r>
              <w:rPr>
                <w:sz w:val="18"/>
              </w:rPr>
              <w:t>Entity binding</w:t>
            </w:r>
          </w:p>
        </w:tc>
        <w:tc>
          <w:tcPr>
            <w:tcW w:type="dxa" w:w="8352"/>
            <w:vAlign w:val="top"/>
            <w:tcMar>
              <w:top w:w="100" w:type="dxa"/>
              <w:start w:w="120" w:type="dxa"/>
              <w:bottom w:w="100" w:type="dxa"/>
              <w:end w:w="120" w:type="dxa"/>
            </w:tcMar>
          </w:tcPr>
          <w:p>
            <w:r>
              <w:rPr>
                <w:sz w:val="18"/>
              </w:rPr>
              <w:t>property of entity X vs property of entity Y</w:t>
            </w:r>
          </w:p>
        </w:tc>
      </w:tr>
      <w:tr>
        <w:tc>
          <w:tcPr>
            <w:tcW w:type="dxa" w:w="3168"/>
            <w:vAlign w:val="top"/>
            <w:tcMar>
              <w:top w:w="100" w:type="dxa"/>
              <w:start w:w="120" w:type="dxa"/>
              <w:bottom w:w="100" w:type="dxa"/>
              <w:end w:w="120" w:type="dxa"/>
            </w:tcMar>
          </w:tcPr>
          <w:p>
            <w:r>
              <w:rPr>
                <w:sz w:val="18"/>
              </w:rPr>
              <w:t>Ambiguity</w:t>
            </w:r>
          </w:p>
        </w:tc>
        <w:tc>
          <w:tcPr>
            <w:tcW w:type="dxa" w:w="8352"/>
            <w:vAlign w:val="top"/>
            <w:tcMar>
              <w:top w:w="100" w:type="dxa"/>
              <w:start w:w="120" w:type="dxa"/>
              <w:bottom w:w="100" w:type="dxa"/>
              <w:end w:w="120" w:type="dxa"/>
            </w:tcMar>
          </w:tcPr>
          <w:p>
            <w:r>
              <w:rPr>
                <w:sz w:val="18"/>
              </w:rPr>
              <w:t>one underspecified wording vs two disambiguated readings</w:t>
            </w:r>
          </w:p>
        </w:tc>
      </w:tr>
    </w:tbl>
    <w:p>
      <w:pPr>
        <w:spacing w:after="0"/>
      </w:pPr>
    </w:p>
    <w:p>
      <w:r>
        <w:t>Validation should be layered:</w:t>
      </w:r>
    </w:p>
    <w:p>
      <w:pPr>
        <w:pStyle w:val="ListBullet"/>
        <w:spacing w:after="40"/>
      </w:pPr>
      <w:r>
        <w:t>Syntactic validity: the SOP parser accepts the output.</w:t>
      </w:r>
    </w:p>
    <w:p>
      <w:pPr>
        <w:pStyle w:val="ListBullet"/>
        <w:spacing w:after="40"/>
      </w:pPr>
      <w:r>
        <w:t>Structural validity: references, wire types, epochs and containers obey the current SOP rules.</w:t>
      </w:r>
    </w:p>
    <w:p>
      <w:pPr>
        <w:pStyle w:val="ListBullet"/>
        <w:spacing w:after="40"/>
      </w:pPr>
      <w:r>
        <w:t>Canonical equivalence: outputs that are semantically identical but formatted differently normalize to the same representation where possible.</w:t>
      </w:r>
    </w:p>
    <w:p>
      <w:pPr>
        <w:pStyle w:val="ListBullet"/>
        <w:spacing w:after="40"/>
      </w:pPr>
      <w:r>
        <w:t>Execution/result equivalence: when the circuit is executable, paraphrases of the same case produce the same observable result.</w:t>
      </w:r>
    </w:p>
    <w:p>
      <w:pPr>
        <w:pStyle w:val="ListBullet"/>
        <w:spacing w:after="40"/>
      </w:pPr>
      <w:r>
        <w:t>Contrast separation: hard negatives must not canonicalize to the same SOP.</w:t>
      </w:r>
    </w:p>
    <w:p>
      <w:pPr>
        <w:pStyle w:val="ListBullet"/>
        <w:spacing w:after="40"/>
      </w:pPr>
      <w:r>
        <w:t>Human/teacher review sample: periodically inspect a stratified sample, especially generated Romanian and ambiguity cases.</w:t>
      </w:r>
    </w:p>
    <w:p>
      <w:pPr>
        <w:pStyle w:val="Heading1"/>
        <w:keepNext/>
      </w:pPr>
      <w:r>
        <w:t>8. Split policy and leakage prevention</w:t>
      </w:r>
    </w:p>
    <w:p>
      <w:r>
        <w:t>Never split individual paraphrase rows randomly. That would allow almost identical formulations of the same semantic case to appear in both training and evaluation.</w:t>
      </w:r>
    </w:p>
    <w:tbl>
      <w:tblPr>
        <w:tblStyle w:val="TableGrid"/>
        <w:tblW w:type="auto" w:w="0"/>
        <w:jc w:val="center"/>
        <w:tblLook w:firstColumn="1" w:firstRow="1" w:lastColumn="0" w:lastRow="0" w:noHBand="0" w:noVBand="1" w:val="04A0"/>
      </w:tblPr>
      <w:tblGrid>
        <w:gridCol w:w="5083"/>
        <w:gridCol w:w="5083"/>
      </w:tblGrid>
      <w:tr>
        <w:tc>
          <w:tcPr>
            <w:tcW w:type="dxa" w:w="4320"/>
            <w:shd w:fill="D9EAF7"/>
            <w:vAlign w:val="center"/>
            <w:tcMar>
              <w:top w:w="100" w:type="dxa"/>
              <w:start w:w="120" w:type="dxa"/>
              <w:bottom w:w="100" w:type="dxa"/>
              <w:end w:w="120" w:type="dxa"/>
            </w:tcMar>
          </w:tcPr>
          <w:p>
            <w:r>
              <w:rPr>
                <w:b/>
                <w:sz w:val="18"/>
              </w:rPr>
              <w:t>Rule</w:t>
            </w:r>
          </w:p>
        </w:tc>
        <w:tc>
          <w:tcPr>
            <w:tcW w:type="dxa" w:w="7200"/>
            <w:shd w:fill="D9EAF7"/>
            <w:vAlign w:val="center"/>
            <w:tcMar>
              <w:top w:w="100" w:type="dxa"/>
              <w:start w:w="120" w:type="dxa"/>
              <w:bottom w:w="100" w:type="dxa"/>
              <w:end w:w="120" w:type="dxa"/>
            </w:tcMar>
          </w:tcPr>
          <w:p>
            <w:r>
              <w:rPr>
                <w:b/>
                <w:sz w:val="18"/>
              </w:rPr>
              <w:t>Reason</w:t>
            </w:r>
          </w:p>
        </w:tc>
      </w:tr>
      <w:tr>
        <w:tc>
          <w:tcPr>
            <w:tcW w:type="dxa" w:w="4320"/>
            <w:vAlign w:val="top"/>
            <w:tcMar>
              <w:top w:w="100" w:type="dxa"/>
              <w:start w:w="120" w:type="dxa"/>
              <w:bottom w:w="100" w:type="dxa"/>
              <w:end w:w="120" w:type="dxa"/>
            </w:tcMar>
          </w:tcPr>
          <w:p>
            <w:r>
              <w:rPr>
                <w:sz w:val="18"/>
              </w:rPr>
              <w:t>Split by semantic_case_id</w:t>
            </w:r>
          </w:p>
        </w:tc>
        <w:tc>
          <w:tcPr>
            <w:tcW w:type="dxa" w:w="7200"/>
            <w:vAlign w:val="top"/>
            <w:tcMar>
              <w:top w:w="100" w:type="dxa"/>
              <w:start w:w="120" w:type="dxa"/>
              <w:bottom w:w="100" w:type="dxa"/>
              <w:end w:w="120" w:type="dxa"/>
            </w:tcMar>
          </w:tcPr>
          <w:p>
            <w:r>
              <w:rPr>
                <w:sz w:val="18"/>
              </w:rPr>
              <w:t>Keeps all EN/RO/paraphrase variants of one meaning together.</w:t>
            </w:r>
          </w:p>
        </w:tc>
      </w:tr>
      <w:tr>
        <w:tc>
          <w:tcPr>
            <w:tcW w:type="dxa" w:w="4320"/>
            <w:vAlign w:val="top"/>
            <w:tcMar>
              <w:top w:w="100" w:type="dxa"/>
              <w:start w:w="120" w:type="dxa"/>
              <w:bottom w:w="100" w:type="dxa"/>
              <w:end w:w="120" w:type="dxa"/>
            </w:tcMar>
          </w:tcPr>
          <w:p>
            <w:r>
              <w:rPr>
                <w:sz w:val="18"/>
              </w:rPr>
              <w:t>Keep source-family metadata</w:t>
            </w:r>
          </w:p>
        </w:tc>
        <w:tc>
          <w:tcPr>
            <w:tcW w:type="dxa" w:w="7200"/>
            <w:vAlign w:val="top"/>
            <w:tcMar>
              <w:top w:w="100" w:type="dxa"/>
              <w:start w:w="120" w:type="dxa"/>
              <w:bottom w:w="100" w:type="dxa"/>
              <w:end w:w="120" w:type="dxa"/>
            </w:tcMar>
          </w:tcPr>
          <w:p>
            <w:r>
              <w:rPr>
                <w:sz w:val="18"/>
              </w:rPr>
              <w:t>Allows evaluation on unseen source distributions.</w:t>
            </w:r>
          </w:p>
        </w:tc>
      </w:tr>
      <w:tr>
        <w:tc>
          <w:tcPr>
            <w:tcW w:type="dxa" w:w="4320"/>
            <w:vAlign w:val="top"/>
            <w:tcMar>
              <w:top w:w="100" w:type="dxa"/>
              <w:start w:w="120" w:type="dxa"/>
              <w:bottom w:w="100" w:type="dxa"/>
              <w:end w:w="120" w:type="dxa"/>
            </w:tcMar>
          </w:tcPr>
          <w:p>
            <w:r>
              <w:rPr>
                <w:sz w:val="18"/>
              </w:rPr>
              <w:t>Create a compositional holdout</w:t>
            </w:r>
          </w:p>
        </w:tc>
        <w:tc>
          <w:tcPr>
            <w:tcW w:type="dxa" w:w="7200"/>
            <w:vAlign w:val="top"/>
            <w:tcMar>
              <w:top w:w="100" w:type="dxa"/>
              <w:start w:w="120" w:type="dxa"/>
              <w:bottom w:w="100" w:type="dxa"/>
              <w:end w:w="120" w:type="dxa"/>
            </w:tcMar>
          </w:tcPr>
          <w:p>
            <w:r>
              <w:rPr>
                <w:sz w:val="18"/>
              </w:rPr>
              <w:t>Reserve combinations of operators/relations not seen together during training.</w:t>
            </w:r>
          </w:p>
        </w:tc>
      </w:tr>
      <w:tr>
        <w:tc>
          <w:tcPr>
            <w:tcW w:type="dxa" w:w="4320"/>
            <w:vAlign w:val="top"/>
            <w:tcMar>
              <w:top w:w="100" w:type="dxa"/>
              <w:start w:w="120" w:type="dxa"/>
              <w:bottom w:w="100" w:type="dxa"/>
              <w:end w:w="120" w:type="dxa"/>
            </w:tcMar>
          </w:tcPr>
          <w:p>
            <w:r>
              <w:rPr>
                <w:sz w:val="18"/>
              </w:rPr>
              <w:t>Create a lexical holdout</w:t>
            </w:r>
          </w:p>
        </w:tc>
        <w:tc>
          <w:tcPr>
            <w:tcW w:type="dxa" w:w="7200"/>
            <w:vAlign w:val="top"/>
            <w:tcMar>
              <w:top w:w="100" w:type="dxa"/>
              <w:start w:w="120" w:type="dxa"/>
              <w:bottom w:w="100" w:type="dxa"/>
              <w:end w:w="120" w:type="dxa"/>
            </w:tcMar>
          </w:tcPr>
          <w:p>
            <w:r>
              <w:rPr>
                <w:sz w:val="18"/>
              </w:rPr>
              <w:t>Test unfamiliar wording for already-known SOP structures.</w:t>
            </w:r>
          </w:p>
        </w:tc>
      </w:tr>
      <w:tr>
        <w:tc>
          <w:tcPr>
            <w:tcW w:type="dxa" w:w="4320"/>
            <w:vAlign w:val="top"/>
            <w:tcMar>
              <w:top w:w="100" w:type="dxa"/>
              <w:start w:w="120" w:type="dxa"/>
              <w:bottom w:w="100" w:type="dxa"/>
              <w:end w:w="120" w:type="dxa"/>
            </w:tcMar>
          </w:tcPr>
          <w:p>
            <w:r>
              <w:rPr>
                <w:sz w:val="18"/>
              </w:rPr>
              <w:t>Create a Romanian cross-lingual holdout</w:t>
            </w:r>
          </w:p>
        </w:tc>
        <w:tc>
          <w:tcPr>
            <w:tcW w:type="dxa" w:w="7200"/>
            <w:vAlign w:val="top"/>
            <w:tcMar>
              <w:top w:w="100" w:type="dxa"/>
              <w:start w:w="120" w:type="dxa"/>
              <w:bottom w:w="100" w:type="dxa"/>
              <w:end w:w="120" w:type="dxa"/>
            </w:tcMar>
          </w:tcPr>
          <w:p>
            <w:r>
              <w:rPr>
                <w:sz w:val="18"/>
              </w:rPr>
              <w:t>Tests transfer rather than memorization of translated training cases.</w:t>
            </w:r>
          </w:p>
        </w:tc>
      </w:tr>
      <w:tr>
        <w:tc>
          <w:tcPr>
            <w:tcW w:type="dxa" w:w="4320"/>
            <w:vAlign w:val="top"/>
            <w:tcMar>
              <w:top w:w="100" w:type="dxa"/>
              <w:start w:w="120" w:type="dxa"/>
              <w:bottom w:w="100" w:type="dxa"/>
              <w:end w:w="120" w:type="dxa"/>
            </w:tcMar>
          </w:tcPr>
          <w:p>
            <w:r>
              <w:rPr>
                <w:sz w:val="18"/>
              </w:rPr>
              <w:t>Keep adversarial negatives paired with their positive case</w:t>
            </w:r>
          </w:p>
        </w:tc>
        <w:tc>
          <w:tcPr>
            <w:tcW w:type="dxa" w:w="7200"/>
            <w:vAlign w:val="top"/>
            <w:tcMar>
              <w:top w:w="100" w:type="dxa"/>
              <w:start w:w="120" w:type="dxa"/>
              <w:bottom w:w="100" w:type="dxa"/>
              <w:end w:w="120" w:type="dxa"/>
            </w:tcMar>
          </w:tcPr>
          <w:p>
            <w:r>
              <w:rPr>
                <w:sz w:val="18"/>
              </w:rPr>
              <w:t>Prevents leakage and permits paired evaluation.</w:t>
            </w:r>
          </w:p>
        </w:tc>
      </w:tr>
    </w:tbl>
    <w:p>
      <w:pPr>
        <w:spacing w:after="0"/>
      </w:pPr>
    </w:p>
    <w:p>
      <w:pPr>
        <w:pStyle w:val="Heading1"/>
        <w:keepNext/>
      </w:pPr>
      <w:r>
        <w:t>9. Recommended first build</w:t>
      </w:r>
    </w:p>
    <w:p>
      <w:r>
        <w:t>A first version should optimize for diagnostic value, not maximum size. The following is an experimental starting point, not a fixed requirement:</w:t>
      </w:r>
    </w:p>
    <w:tbl>
      <w:tblPr>
        <w:tblStyle w:val="TableGrid"/>
        <w:tblW w:type="auto" w:w="0"/>
        <w:jc w:val="center"/>
        <w:tblLook w:firstColumn="1" w:firstRow="1" w:lastColumn="0" w:lastRow="0" w:noHBand="0" w:noVBand="1" w:val="04A0"/>
      </w:tblPr>
      <w:tblGrid>
        <w:gridCol w:w="5083"/>
        <w:gridCol w:w="5083"/>
      </w:tblGrid>
      <w:tr>
        <w:tc>
          <w:tcPr>
            <w:tcW w:type="dxa" w:w="4320"/>
            <w:shd w:fill="D9EAF7"/>
            <w:vAlign w:val="center"/>
            <w:tcMar>
              <w:top w:w="100" w:type="dxa"/>
              <w:start w:w="120" w:type="dxa"/>
              <w:bottom w:w="100" w:type="dxa"/>
              <w:end w:w="120" w:type="dxa"/>
            </w:tcMar>
          </w:tcPr>
          <w:p>
            <w:r>
              <w:rPr>
                <w:b/>
                <w:sz w:val="18"/>
              </w:rPr>
              <w:t>Component</w:t>
            </w:r>
          </w:p>
        </w:tc>
        <w:tc>
          <w:tcPr>
            <w:tcW w:type="dxa" w:w="7200"/>
            <w:shd w:fill="D9EAF7"/>
            <w:vAlign w:val="center"/>
            <w:tcMar>
              <w:top w:w="100" w:type="dxa"/>
              <w:start w:w="120" w:type="dxa"/>
              <w:bottom w:w="100" w:type="dxa"/>
              <w:end w:w="120" w:type="dxa"/>
            </w:tcMar>
          </w:tcPr>
          <w:p>
            <w:r>
              <w:rPr>
                <w:b/>
                <w:sz w:val="18"/>
              </w:rPr>
              <w:t>Suggested first target</w:t>
            </w:r>
          </w:p>
        </w:tc>
      </w:tr>
      <w:tr>
        <w:tc>
          <w:tcPr>
            <w:tcW w:type="dxa" w:w="4320"/>
            <w:vAlign w:val="top"/>
            <w:tcMar>
              <w:top w:w="100" w:type="dxa"/>
              <w:start w:w="120" w:type="dxa"/>
              <w:bottom w:w="100" w:type="dxa"/>
              <w:end w:w="120" w:type="dxa"/>
            </w:tcMar>
          </w:tcPr>
          <w:p>
            <w:r>
              <w:rPr>
                <w:sz w:val="18"/>
              </w:rPr>
              <w:t>Distinct semantic cases</w:t>
            </w:r>
          </w:p>
        </w:tc>
        <w:tc>
          <w:tcPr>
            <w:tcW w:type="dxa" w:w="7200"/>
            <w:vAlign w:val="top"/>
            <w:tcMar>
              <w:top w:w="100" w:type="dxa"/>
              <w:start w:w="120" w:type="dxa"/>
              <w:bottom w:w="100" w:type="dxa"/>
              <w:end w:w="120" w:type="dxa"/>
            </w:tcMar>
          </w:tcPr>
          <w:p>
            <w:r>
              <w:rPr>
                <w:sz w:val="18"/>
              </w:rPr>
              <w:t>~20,000–50,000</w:t>
            </w:r>
          </w:p>
        </w:tc>
      </w:tr>
      <w:tr>
        <w:tc>
          <w:tcPr>
            <w:tcW w:type="dxa" w:w="4320"/>
            <w:vAlign w:val="top"/>
            <w:tcMar>
              <w:top w:w="100" w:type="dxa"/>
              <w:start w:w="120" w:type="dxa"/>
              <w:bottom w:w="100" w:type="dxa"/>
              <w:end w:w="120" w:type="dxa"/>
            </w:tcMar>
          </w:tcPr>
          <w:p>
            <w:r>
              <w:rPr>
                <w:sz w:val="18"/>
              </w:rPr>
              <w:t>English surfaces</w:t>
            </w:r>
          </w:p>
        </w:tc>
        <w:tc>
          <w:tcPr>
            <w:tcW w:type="dxa" w:w="7200"/>
            <w:vAlign w:val="top"/>
            <w:tcMar>
              <w:top w:w="100" w:type="dxa"/>
              <w:start w:w="120" w:type="dxa"/>
              <w:bottom w:w="100" w:type="dxa"/>
              <w:end w:w="120" w:type="dxa"/>
            </w:tcMar>
          </w:tcPr>
          <w:p>
            <w:r>
              <w:rPr>
                <w:sz w:val="18"/>
              </w:rPr>
              <w:t>~3–6 per case</w:t>
            </w:r>
          </w:p>
        </w:tc>
      </w:tr>
      <w:tr>
        <w:tc>
          <w:tcPr>
            <w:tcW w:type="dxa" w:w="4320"/>
            <w:vAlign w:val="top"/>
            <w:tcMar>
              <w:top w:w="100" w:type="dxa"/>
              <w:start w:w="120" w:type="dxa"/>
              <w:bottom w:w="100" w:type="dxa"/>
              <w:end w:w="120" w:type="dxa"/>
            </w:tcMar>
          </w:tcPr>
          <w:p>
            <w:r>
              <w:rPr>
                <w:sz w:val="18"/>
              </w:rPr>
              <w:t>Romanian anchors</w:t>
            </w:r>
          </w:p>
        </w:tc>
        <w:tc>
          <w:tcPr>
            <w:tcW w:type="dxa" w:w="7200"/>
            <w:vAlign w:val="top"/>
            <w:tcMar>
              <w:top w:w="100" w:type="dxa"/>
              <w:start w:w="120" w:type="dxa"/>
              <w:bottom w:w="100" w:type="dxa"/>
              <w:end w:w="120" w:type="dxa"/>
            </w:tcMar>
          </w:tcPr>
          <w:p>
            <w:r>
              <w:rPr>
                <w:sz w:val="18"/>
              </w:rPr>
              <w:t>~2,000–10,000 semantic cases, stratified across SOP constructs</w:t>
            </w:r>
          </w:p>
        </w:tc>
      </w:tr>
      <w:tr>
        <w:tc>
          <w:tcPr>
            <w:tcW w:type="dxa" w:w="4320"/>
            <w:vAlign w:val="top"/>
            <w:tcMar>
              <w:top w:w="100" w:type="dxa"/>
              <w:start w:w="120" w:type="dxa"/>
              <w:bottom w:w="100" w:type="dxa"/>
              <w:end w:w="120" w:type="dxa"/>
            </w:tcMar>
          </w:tcPr>
          <w:p>
            <w:r>
              <w:rPr>
                <w:sz w:val="18"/>
              </w:rPr>
              <w:t>Hard negatives</w:t>
            </w:r>
          </w:p>
        </w:tc>
        <w:tc>
          <w:tcPr>
            <w:tcW w:type="dxa" w:w="7200"/>
            <w:vAlign w:val="top"/>
            <w:tcMar>
              <w:top w:w="100" w:type="dxa"/>
              <w:start w:w="120" w:type="dxa"/>
              <w:bottom w:w="100" w:type="dxa"/>
              <w:end w:w="120" w:type="dxa"/>
            </w:tcMar>
          </w:tcPr>
          <w:p>
            <w:r>
              <w:rPr>
                <w:sz w:val="18"/>
              </w:rPr>
              <w:t>At least one for a substantial subset of logical/relational cases</w:t>
            </w:r>
          </w:p>
        </w:tc>
      </w:tr>
      <w:tr>
        <w:tc>
          <w:tcPr>
            <w:tcW w:type="dxa" w:w="4320"/>
            <w:vAlign w:val="top"/>
            <w:tcMar>
              <w:top w:w="100" w:type="dxa"/>
              <w:start w:w="120" w:type="dxa"/>
              <w:bottom w:w="100" w:type="dxa"/>
              <w:end w:w="120" w:type="dxa"/>
            </w:tcMar>
          </w:tcPr>
          <w:p>
            <w:r>
              <w:rPr>
                <w:sz w:val="18"/>
              </w:rPr>
              <w:t>Ambiguity cases</w:t>
            </w:r>
          </w:p>
        </w:tc>
        <w:tc>
          <w:tcPr>
            <w:tcW w:type="dxa" w:w="7200"/>
            <w:vAlign w:val="top"/>
            <w:tcMar>
              <w:top w:w="100" w:type="dxa"/>
              <w:start w:w="120" w:type="dxa"/>
              <w:bottom w:w="100" w:type="dxa"/>
              <w:end w:w="120" w:type="dxa"/>
            </w:tcMar>
          </w:tcPr>
          <w:p>
            <w:r>
              <w:rPr>
                <w:sz w:val="18"/>
              </w:rPr>
              <w:t>A dedicated smaller subset, sufficient for a separate metric</w:t>
            </w:r>
          </w:p>
        </w:tc>
      </w:tr>
      <w:tr>
        <w:tc>
          <w:tcPr>
            <w:tcW w:type="dxa" w:w="4320"/>
            <w:vAlign w:val="top"/>
            <w:tcMar>
              <w:top w:w="100" w:type="dxa"/>
              <w:start w:w="120" w:type="dxa"/>
              <w:bottom w:w="100" w:type="dxa"/>
              <w:end w:w="120" w:type="dxa"/>
            </w:tcMar>
          </w:tcPr>
          <w:p>
            <w:r>
              <w:rPr>
                <w:sz w:val="18"/>
              </w:rPr>
              <w:t>Total rows</w:t>
            </w:r>
          </w:p>
        </w:tc>
        <w:tc>
          <w:tcPr>
            <w:tcW w:type="dxa" w:w="7200"/>
            <w:vAlign w:val="top"/>
            <w:tcMar>
              <w:top w:w="100" w:type="dxa"/>
              <w:start w:w="120" w:type="dxa"/>
              <w:bottom w:w="100" w:type="dxa"/>
              <w:end w:w="120" w:type="dxa"/>
            </w:tcMar>
          </w:tcPr>
          <w:p>
            <w:r>
              <w:rPr>
                <w:sz w:val="18"/>
              </w:rPr>
              <w:t>Likely 100k–300k after augmentation, depending on paraphrase multiplicity</w:t>
            </w:r>
          </w:p>
        </w:tc>
      </w:tr>
    </w:tbl>
    <w:p>
      <w:pPr>
        <w:spacing w:after="0"/>
      </w:pPr>
    </w:p>
    <w:p>
      <w:r>
        <w:t>Start with QA2D + ProofWriter as the semantic core. Use QQP to increase natural question diversity, PAWS for adversarial contrasts, and AmbigQA for ambiguity behavior. Add Romanian only after the English pipeline and SOP validation are stable; otherwise translation errors become difficult to distinguish from SOP-conversion errors.</w:t>
      </w:r>
    </w:p>
    <w:p>
      <w:pPr>
        <w:pStyle w:val="Heading1"/>
        <w:keepNext/>
      </w:pPr>
      <w:r>
        <w:t>10. Expected outputs from the coding agent</w:t>
      </w:r>
    </w:p>
    <w:tbl>
      <w:tblPr>
        <w:tblStyle w:val="TableGrid"/>
        <w:tblW w:type="auto" w:w="0"/>
        <w:jc w:val="center"/>
        <w:tblLook w:firstColumn="1" w:firstRow="1" w:lastColumn="0" w:lastRow="0" w:noHBand="0" w:noVBand="1" w:val="04A0"/>
      </w:tblPr>
      <w:tblGrid>
        <w:gridCol w:w="5083"/>
        <w:gridCol w:w="5083"/>
      </w:tblGrid>
      <w:tr>
        <w:tc>
          <w:tcPr>
            <w:tcW w:type="dxa" w:w="3024"/>
            <w:shd w:fill="D9EAF7"/>
            <w:vAlign w:val="center"/>
            <w:tcMar>
              <w:top w:w="100" w:type="dxa"/>
              <w:start w:w="120" w:type="dxa"/>
              <w:bottom w:w="100" w:type="dxa"/>
              <w:end w:w="120" w:type="dxa"/>
            </w:tcMar>
          </w:tcPr>
          <w:p>
            <w:r>
              <w:rPr>
                <w:b/>
                <w:sz w:val="18"/>
              </w:rPr>
              <w:t>Artifact</w:t>
            </w:r>
          </w:p>
        </w:tc>
        <w:tc>
          <w:tcPr>
            <w:tcW w:type="dxa" w:w="8496"/>
            <w:shd w:fill="D9EAF7"/>
            <w:vAlign w:val="center"/>
            <w:tcMar>
              <w:top w:w="100" w:type="dxa"/>
              <w:start w:w="120" w:type="dxa"/>
              <w:bottom w:w="100" w:type="dxa"/>
              <w:end w:w="120" w:type="dxa"/>
            </w:tcMar>
          </w:tcPr>
          <w:p>
            <w:r>
              <w:rPr>
                <w:b/>
                <w:sz w:val="18"/>
              </w:rPr>
              <w:t>Purpose</w:t>
            </w:r>
          </w:p>
        </w:tc>
      </w:tr>
      <w:tr>
        <w:tc>
          <w:tcPr>
            <w:tcW w:type="dxa" w:w="3024"/>
            <w:vAlign w:val="top"/>
            <w:tcMar>
              <w:top w:w="100" w:type="dxa"/>
              <w:start w:w="120" w:type="dxa"/>
              <w:bottom w:w="100" w:type="dxa"/>
              <w:end w:w="120" w:type="dxa"/>
            </w:tcMar>
          </w:tcPr>
          <w:p>
            <w:r>
              <w:rPr>
                <w:sz w:val="18"/>
              </w:rPr>
              <w:t>sources/</w:t>
            </w:r>
          </w:p>
        </w:tc>
        <w:tc>
          <w:tcPr>
            <w:tcW w:type="dxa" w:w="8496"/>
            <w:vAlign w:val="top"/>
            <w:tcMar>
              <w:top w:w="100" w:type="dxa"/>
              <w:start w:w="120" w:type="dxa"/>
              <w:bottom w:w="100" w:type="dxa"/>
              <w:end w:w="120" w:type="dxa"/>
            </w:tcMar>
          </w:tcPr>
          <w:p>
            <w:r>
              <w:rPr>
                <w:sz w:val="18"/>
              </w:rPr>
              <w:t>Immutable downloaded source data, license/provenance metadata and checksums/revisions.</w:t>
            </w:r>
          </w:p>
        </w:tc>
      </w:tr>
      <w:tr>
        <w:tc>
          <w:tcPr>
            <w:tcW w:type="dxa" w:w="3024"/>
            <w:vAlign w:val="top"/>
            <w:tcMar>
              <w:top w:w="100" w:type="dxa"/>
              <w:start w:w="120" w:type="dxa"/>
              <w:bottom w:w="100" w:type="dxa"/>
              <w:end w:w="120" w:type="dxa"/>
            </w:tcMar>
          </w:tcPr>
          <w:p>
            <w:r>
              <w:rPr>
                <w:sz w:val="18"/>
              </w:rPr>
              <w:t>normalized/</w:t>
            </w:r>
          </w:p>
        </w:tc>
        <w:tc>
          <w:tcPr>
            <w:tcW w:type="dxa" w:w="8496"/>
            <w:vAlign w:val="top"/>
            <w:tcMar>
              <w:top w:w="100" w:type="dxa"/>
              <w:start w:w="120" w:type="dxa"/>
              <w:bottom w:w="100" w:type="dxa"/>
              <w:end w:w="120" w:type="dxa"/>
            </w:tcMar>
          </w:tcPr>
          <w:p>
            <w:r>
              <w:rPr>
                <w:sz w:val="18"/>
              </w:rPr>
              <w:t>One normalized representation per upstream dataset.</w:t>
            </w:r>
          </w:p>
        </w:tc>
      </w:tr>
      <w:tr>
        <w:tc>
          <w:tcPr>
            <w:tcW w:type="dxa" w:w="3024"/>
            <w:vAlign w:val="top"/>
            <w:tcMar>
              <w:top w:w="100" w:type="dxa"/>
              <w:start w:w="120" w:type="dxa"/>
              <w:bottom w:w="100" w:type="dxa"/>
              <w:end w:w="120" w:type="dxa"/>
            </w:tcMar>
          </w:tcPr>
          <w:p>
            <w:r>
              <w:rPr>
                <w:sz w:val="18"/>
              </w:rPr>
              <w:t>semantic_cases/</w:t>
            </w:r>
          </w:p>
        </w:tc>
        <w:tc>
          <w:tcPr>
            <w:tcW w:type="dxa" w:w="8496"/>
            <w:vAlign w:val="top"/>
            <w:tcMar>
              <w:top w:w="100" w:type="dxa"/>
              <w:start w:w="120" w:type="dxa"/>
              <w:bottom w:w="100" w:type="dxa"/>
              <w:end w:w="120" w:type="dxa"/>
            </w:tcMar>
          </w:tcPr>
          <w:p>
            <w:r>
              <w:rPr>
                <w:sz w:val="18"/>
              </w:rPr>
              <w:t>Canonical semantic cases independent of language.</w:t>
            </w:r>
          </w:p>
        </w:tc>
      </w:tr>
      <w:tr>
        <w:tc>
          <w:tcPr>
            <w:tcW w:type="dxa" w:w="3024"/>
            <w:vAlign w:val="top"/>
            <w:tcMar>
              <w:top w:w="100" w:type="dxa"/>
              <w:start w:w="120" w:type="dxa"/>
              <w:bottom w:w="100" w:type="dxa"/>
              <w:end w:w="120" w:type="dxa"/>
            </w:tcMar>
          </w:tcPr>
          <w:p>
            <w:r>
              <w:rPr>
                <w:sz w:val="18"/>
              </w:rPr>
              <w:t>surfaces/en/</w:t>
            </w:r>
          </w:p>
        </w:tc>
        <w:tc>
          <w:tcPr>
            <w:tcW w:type="dxa" w:w="8496"/>
            <w:vAlign w:val="top"/>
            <w:tcMar>
              <w:top w:w="100" w:type="dxa"/>
              <w:start w:w="120" w:type="dxa"/>
              <w:bottom w:w="100" w:type="dxa"/>
              <w:end w:w="120" w:type="dxa"/>
            </w:tcMar>
          </w:tcPr>
          <w:p>
            <w:r>
              <w:rPr>
                <w:sz w:val="18"/>
              </w:rPr>
              <w:t>Original and generated English formulations.</w:t>
            </w:r>
          </w:p>
        </w:tc>
      </w:tr>
      <w:tr>
        <w:tc>
          <w:tcPr>
            <w:tcW w:type="dxa" w:w="3024"/>
            <w:vAlign w:val="top"/>
            <w:tcMar>
              <w:top w:w="100" w:type="dxa"/>
              <w:start w:w="120" w:type="dxa"/>
              <w:bottom w:w="100" w:type="dxa"/>
              <w:end w:w="120" w:type="dxa"/>
            </w:tcMar>
          </w:tcPr>
          <w:p>
            <w:r>
              <w:rPr>
                <w:sz w:val="18"/>
              </w:rPr>
              <w:t>surfaces/ro/</w:t>
            </w:r>
          </w:p>
        </w:tc>
        <w:tc>
          <w:tcPr>
            <w:tcW w:type="dxa" w:w="8496"/>
            <w:vAlign w:val="top"/>
            <w:tcMar>
              <w:top w:w="100" w:type="dxa"/>
              <w:start w:w="120" w:type="dxa"/>
              <w:bottom w:w="100" w:type="dxa"/>
              <w:end w:w="120" w:type="dxa"/>
            </w:tcMar>
          </w:tcPr>
          <w:p>
            <w:r>
              <w:rPr>
                <w:sz w:val="18"/>
              </w:rPr>
              <w:t>Romanian anchor formulations and provenance.</w:t>
            </w:r>
          </w:p>
        </w:tc>
      </w:tr>
      <w:tr>
        <w:tc>
          <w:tcPr>
            <w:tcW w:type="dxa" w:w="3024"/>
            <w:vAlign w:val="top"/>
            <w:tcMar>
              <w:top w:w="100" w:type="dxa"/>
              <w:start w:w="120" w:type="dxa"/>
              <w:bottom w:w="100" w:type="dxa"/>
              <w:end w:w="120" w:type="dxa"/>
            </w:tcMar>
          </w:tcPr>
          <w:p>
            <w:r>
              <w:rPr>
                <w:sz w:val="18"/>
              </w:rPr>
              <w:t>negatives/</w:t>
            </w:r>
          </w:p>
        </w:tc>
        <w:tc>
          <w:tcPr>
            <w:tcW w:type="dxa" w:w="8496"/>
            <w:vAlign w:val="top"/>
            <w:tcMar>
              <w:top w:w="100" w:type="dxa"/>
              <w:start w:w="120" w:type="dxa"/>
              <w:bottom w:w="100" w:type="dxa"/>
              <w:end w:w="120" w:type="dxa"/>
            </w:tcMar>
          </w:tcPr>
          <w:p>
            <w:r>
              <w:rPr>
                <w:sz w:val="18"/>
              </w:rPr>
              <w:t>Adversarial semantic contrasts and transformation labels.</w:t>
            </w:r>
          </w:p>
        </w:tc>
      </w:tr>
      <w:tr>
        <w:tc>
          <w:tcPr>
            <w:tcW w:type="dxa" w:w="3024"/>
            <w:vAlign w:val="top"/>
            <w:tcMar>
              <w:top w:w="100" w:type="dxa"/>
              <w:start w:w="120" w:type="dxa"/>
              <w:bottom w:w="100" w:type="dxa"/>
              <w:end w:w="120" w:type="dxa"/>
            </w:tcMar>
          </w:tcPr>
          <w:p>
            <w:r>
              <w:rPr>
                <w:sz w:val="18"/>
              </w:rPr>
              <w:t>splits/</w:t>
            </w:r>
          </w:p>
        </w:tc>
        <w:tc>
          <w:tcPr>
            <w:tcW w:type="dxa" w:w="8496"/>
            <w:vAlign w:val="top"/>
            <w:tcMar>
              <w:top w:w="100" w:type="dxa"/>
              <w:start w:w="120" w:type="dxa"/>
              <w:bottom w:w="100" w:type="dxa"/>
              <w:end w:w="120" w:type="dxa"/>
            </w:tcMar>
          </w:tcPr>
          <w:p>
            <w:r>
              <w:rPr>
                <w:sz w:val="18"/>
              </w:rPr>
              <w:t>Leakage-safe train/dev/test case IDs and exported rows.</w:t>
            </w:r>
          </w:p>
        </w:tc>
      </w:tr>
      <w:tr>
        <w:tc>
          <w:tcPr>
            <w:tcW w:type="dxa" w:w="3024"/>
            <w:vAlign w:val="top"/>
            <w:tcMar>
              <w:top w:w="100" w:type="dxa"/>
              <w:start w:w="120" w:type="dxa"/>
              <w:bottom w:w="100" w:type="dxa"/>
              <w:end w:w="120" w:type="dxa"/>
            </w:tcMar>
          </w:tcPr>
          <w:p>
            <w:r>
              <w:rPr>
                <w:sz w:val="18"/>
              </w:rPr>
              <w:t>validation/</w:t>
            </w:r>
          </w:p>
        </w:tc>
        <w:tc>
          <w:tcPr>
            <w:tcW w:type="dxa" w:w="8496"/>
            <w:vAlign w:val="top"/>
            <w:tcMar>
              <w:top w:w="100" w:type="dxa"/>
              <w:start w:w="120" w:type="dxa"/>
              <w:bottom w:w="100" w:type="dxa"/>
              <w:end w:w="120" w:type="dxa"/>
            </w:tcMar>
          </w:tcPr>
          <w:p>
            <w:r>
              <w:rPr>
                <w:sz w:val="18"/>
              </w:rPr>
              <w:t>Parser/execution results, duplicate reports and rejected examples.</w:t>
            </w:r>
          </w:p>
        </w:tc>
      </w:tr>
      <w:tr>
        <w:tc>
          <w:tcPr>
            <w:tcW w:type="dxa" w:w="3024"/>
            <w:vAlign w:val="top"/>
            <w:tcMar>
              <w:top w:w="100" w:type="dxa"/>
              <w:start w:w="120" w:type="dxa"/>
              <w:bottom w:w="100" w:type="dxa"/>
              <w:end w:w="120" w:type="dxa"/>
            </w:tcMar>
          </w:tcPr>
          <w:p>
            <w:r>
              <w:rPr>
                <w:sz w:val="18"/>
              </w:rPr>
              <w:t>reports/</w:t>
            </w:r>
          </w:p>
        </w:tc>
        <w:tc>
          <w:tcPr>
            <w:tcW w:type="dxa" w:w="8496"/>
            <w:vAlign w:val="top"/>
            <w:tcMar>
              <w:top w:w="100" w:type="dxa"/>
              <w:start w:w="120" w:type="dxa"/>
              <w:bottom w:w="100" w:type="dxa"/>
              <w:end w:w="120" w:type="dxa"/>
            </w:tcMar>
          </w:tcPr>
          <w:p>
            <w:r>
              <w:rPr>
                <w:sz w:val="18"/>
              </w:rPr>
              <w:t>Coverage by SOP construct, source, language, question form and error category.</w:t>
            </w:r>
          </w:p>
        </w:tc>
      </w:tr>
    </w:tbl>
    <w:p>
      <w:pPr>
        <w:spacing w:after="0"/>
      </w:pPr>
    </w:p>
    <w:p>
      <w:r>
        <w:t>The pipeline should be reproducible: every generated row must be traceable to a semantic case, a source item or synthetic template, the model/prompt used for generation, and the SOP validation result. Failed or ambiguous transformations should be quarantined rather than silently included.</w:t>
      </w:r>
    </w:p>
    <w:p>
      <w:pPr>
        <w:pStyle w:val="Heading1"/>
        <w:keepNext/>
      </w:pPr>
      <w:r>
        <w:t>11. Metrics for the eventual NL → SOP model</w:t>
      </w:r>
    </w:p>
    <w:tbl>
      <w:tblPr>
        <w:tblStyle w:val="TableGrid"/>
        <w:tblW w:type="auto" w:w="0"/>
        <w:jc w:val="center"/>
        <w:tblLook w:firstColumn="1" w:firstRow="1" w:lastColumn="0" w:lastRow="0" w:noHBand="0" w:noVBand="1" w:val="04A0"/>
      </w:tblPr>
      <w:tblGrid>
        <w:gridCol w:w="5083"/>
        <w:gridCol w:w="5083"/>
      </w:tblGrid>
      <w:tr>
        <w:tc>
          <w:tcPr>
            <w:tcW w:type="dxa" w:w="3456"/>
            <w:shd w:fill="D9EAF7"/>
            <w:vAlign w:val="center"/>
            <w:tcMar>
              <w:top w:w="100" w:type="dxa"/>
              <w:start w:w="120" w:type="dxa"/>
              <w:bottom w:w="100" w:type="dxa"/>
              <w:end w:w="120" w:type="dxa"/>
            </w:tcMar>
          </w:tcPr>
          <w:p>
            <w:r>
              <w:rPr>
                <w:b/>
                <w:sz w:val="18"/>
              </w:rPr>
              <w:t>Metric</w:t>
            </w:r>
          </w:p>
        </w:tc>
        <w:tc>
          <w:tcPr>
            <w:tcW w:type="dxa" w:w="8064"/>
            <w:shd w:fill="D9EAF7"/>
            <w:vAlign w:val="center"/>
            <w:tcMar>
              <w:top w:w="100" w:type="dxa"/>
              <w:start w:w="120" w:type="dxa"/>
              <w:bottom w:w="100" w:type="dxa"/>
              <w:end w:w="120" w:type="dxa"/>
            </w:tcMar>
          </w:tcPr>
          <w:p>
            <w:r>
              <w:rPr>
                <w:b/>
                <w:sz w:val="18"/>
              </w:rPr>
              <w:t>What it measures</w:t>
            </w:r>
          </w:p>
        </w:tc>
      </w:tr>
      <w:tr>
        <w:tc>
          <w:tcPr>
            <w:tcW w:type="dxa" w:w="3456"/>
            <w:vAlign w:val="top"/>
            <w:tcMar>
              <w:top w:w="100" w:type="dxa"/>
              <w:start w:w="120" w:type="dxa"/>
              <w:bottom w:w="100" w:type="dxa"/>
              <w:end w:w="120" w:type="dxa"/>
            </w:tcMar>
          </w:tcPr>
          <w:p>
            <w:r>
              <w:rPr>
                <w:sz w:val="18"/>
              </w:rPr>
              <w:t>SOP parse rate</w:t>
            </w:r>
          </w:p>
        </w:tc>
        <w:tc>
          <w:tcPr>
            <w:tcW w:type="dxa" w:w="8064"/>
            <w:vAlign w:val="top"/>
            <w:tcMar>
              <w:top w:w="100" w:type="dxa"/>
              <w:start w:w="120" w:type="dxa"/>
              <w:bottom w:w="100" w:type="dxa"/>
              <w:end w:w="120" w:type="dxa"/>
            </w:tcMar>
          </w:tcPr>
          <w:p>
            <w:r>
              <w:rPr>
                <w:sz w:val="18"/>
              </w:rPr>
              <w:t>Can the model emit legal syntax?</w:t>
            </w:r>
          </w:p>
        </w:tc>
      </w:tr>
      <w:tr>
        <w:tc>
          <w:tcPr>
            <w:tcW w:type="dxa" w:w="3456"/>
            <w:vAlign w:val="top"/>
            <w:tcMar>
              <w:top w:w="100" w:type="dxa"/>
              <w:start w:w="120" w:type="dxa"/>
              <w:bottom w:w="100" w:type="dxa"/>
              <w:end w:w="120" w:type="dxa"/>
            </w:tcMar>
          </w:tcPr>
          <w:p>
            <w:r>
              <w:rPr>
                <w:sz w:val="18"/>
              </w:rPr>
              <w:t>Canonical/AST exact match</w:t>
            </w:r>
          </w:p>
        </w:tc>
        <w:tc>
          <w:tcPr>
            <w:tcW w:type="dxa" w:w="8064"/>
            <w:vAlign w:val="top"/>
            <w:tcMar>
              <w:top w:w="100" w:type="dxa"/>
              <w:start w:w="120" w:type="dxa"/>
              <w:bottom w:w="100" w:type="dxa"/>
              <w:end w:w="120" w:type="dxa"/>
            </w:tcMar>
          </w:tcPr>
          <w:p>
            <w:r>
              <w:rPr>
                <w:sz w:val="18"/>
              </w:rPr>
              <w:t>Does it recover the intended structure?</w:t>
            </w:r>
          </w:p>
        </w:tc>
      </w:tr>
      <w:tr>
        <w:tc>
          <w:tcPr>
            <w:tcW w:type="dxa" w:w="3456"/>
            <w:vAlign w:val="top"/>
            <w:tcMar>
              <w:top w:w="100" w:type="dxa"/>
              <w:start w:w="120" w:type="dxa"/>
              <w:bottom w:w="100" w:type="dxa"/>
              <w:end w:w="120" w:type="dxa"/>
            </w:tcMar>
          </w:tcPr>
          <w:p>
            <w:r>
              <w:rPr>
                <w:sz w:val="18"/>
              </w:rPr>
              <w:t>Execution equivalence</w:t>
            </w:r>
          </w:p>
        </w:tc>
        <w:tc>
          <w:tcPr>
            <w:tcW w:type="dxa" w:w="8064"/>
            <w:vAlign w:val="top"/>
            <w:tcMar>
              <w:top w:w="100" w:type="dxa"/>
              <w:start w:w="120" w:type="dxa"/>
              <w:bottom w:w="100" w:type="dxa"/>
              <w:end w:w="120" w:type="dxa"/>
            </w:tcMar>
          </w:tcPr>
          <w:p>
            <w:r>
              <w:rPr>
                <w:sz w:val="18"/>
              </w:rPr>
              <w:t>Does the generated circuit behave like the reference circuit?</w:t>
            </w:r>
          </w:p>
        </w:tc>
      </w:tr>
      <w:tr>
        <w:tc>
          <w:tcPr>
            <w:tcW w:type="dxa" w:w="3456"/>
            <w:vAlign w:val="top"/>
            <w:tcMar>
              <w:top w:w="100" w:type="dxa"/>
              <w:start w:w="120" w:type="dxa"/>
              <w:bottom w:w="100" w:type="dxa"/>
              <w:end w:w="120" w:type="dxa"/>
            </w:tcMar>
          </w:tcPr>
          <w:p>
            <w:r>
              <w:rPr>
                <w:sz w:val="18"/>
              </w:rPr>
              <w:t>Paraphrase invariance</w:t>
            </w:r>
          </w:p>
        </w:tc>
        <w:tc>
          <w:tcPr>
            <w:tcW w:type="dxa" w:w="8064"/>
            <w:vAlign w:val="top"/>
            <w:tcMar>
              <w:top w:w="100" w:type="dxa"/>
              <w:start w:w="120" w:type="dxa"/>
              <w:bottom w:w="100" w:type="dxa"/>
              <w:end w:w="120" w:type="dxa"/>
            </w:tcMar>
          </w:tcPr>
          <w:p>
            <w:r>
              <w:rPr>
                <w:sz w:val="18"/>
              </w:rPr>
              <w:t>Do semantically equivalent questions produce equivalent SOP?</w:t>
            </w:r>
          </w:p>
        </w:tc>
      </w:tr>
      <w:tr>
        <w:tc>
          <w:tcPr>
            <w:tcW w:type="dxa" w:w="3456"/>
            <w:vAlign w:val="top"/>
            <w:tcMar>
              <w:top w:w="100" w:type="dxa"/>
              <w:start w:w="120" w:type="dxa"/>
              <w:bottom w:w="100" w:type="dxa"/>
              <w:end w:w="120" w:type="dxa"/>
            </w:tcMar>
          </w:tcPr>
          <w:p>
            <w:r>
              <w:rPr>
                <w:sz w:val="18"/>
              </w:rPr>
              <w:t>Hard-negative discrimination</w:t>
            </w:r>
          </w:p>
        </w:tc>
        <w:tc>
          <w:tcPr>
            <w:tcW w:type="dxa" w:w="8064"/>
            <w:vAlign w:val="top"/>
            <w:tcMar>
              <w:top w:w="100" w:type="dxa"/>
              <w:start w:w="120" w:type="dxa"/>
              <w:bottom w:w="100" w:type="dxa"/>
              <w:end w:w="120" w:type="dxa"/>
            </w:tcMar>
          </w:tcPr>
          <w:p>
            <w:r>
              <w:rPr>
                <w:sz w:val="18"/>
              </w:rPr>
              <w:t>Do small semantic changes produce the required different SOP?</w:t>
            </w:r>
          </w:p>
        </w:tc>
      </w:tr>
      <w:tr>
        <w:tc>
          <w:tcPr>
            <w:tcW w:type="dxa" w:w="3456"/>
            <w:vAlign w:val="top"/>
            <w:tcMar>
              <w:top w:w="100" w:type="dxa"/>
              <w:start w:w="120" w:type="dxa"/>
              <w:bottom w:w="100" w:type="dxa"/>
              <w:end w:w="120" w:type="dxa"/>
            </w:tcMar>
          </w:tcPr>
          <w:p>
            <w:r>
              <w:rPr>
                <w:sz w:val="18"/>
              </w:rPr>
              <w:t>Ambiguity handling</w:t>
            </w:r>
          </w:p>
        </w:tc>
        <w:tc>
          <w:tcPr>
            <w:tcW w:type="dxa" w:w="8064"/>
            <w:vAlign w:val="top"/>
            <w:tcMar>
              <w:top w:w="100" w:type="dxa"/>
              <w:start w:w="120" w:type="dxa"/>
              <w:bottom w:w="100" w:type="dxa"/>
              <w:end w:w="120" w:type="dxa"/>
            </w:tcMar>
          </w:tcPr>
          <w:p>
            <w:r>
              <w:rPr>
                <w:sz w:val="18"/>
              </w:rPr>
              <w:t>Does the model flag or represent underspecification according to policy?</w:t>
            </w:r>
          </w:p>
        </w:tc>
      </w:tr>
      <w:tr>
        <w:tc>
          <w:tcPr>
            <w:tcW w:type="dxa" w:w="3456"/>
            <w:vAlign w:val="top"/>
            <w:tcMar>
              <w:top w:w="100" w:type="dxa"/>
              <w:start w:w="120" w:type="dxa"/>
              <w:bottom w:w="100" w:type="dxa"/>
              <w:end w:w="120" w:type="dxa"/>
            </w:tcMar>
          </w:tcPr>
          <w:p>
            <w:r>
              <w:rPr>
                <w:sz w:val="18"/>
              </w:rPr>
              <w:t>Cross-lingual transfer</w:t>
            </w:r>
          </w:p>
        </w:tc>
        <w:tc>
          <w:tcPr>
            <w:tcW w:type="dxa" w:w="8064"/>
            <w:vAlign w:val="top"/>
            <w:tcMar>
              <w:top w:w="100" w:type="dxa"/>
              <w:start w:w="120" w:type="dxa"/>
              <w:bottom w:w="100" w:type="dxa"/>
              <w:end w:w="120" w:type="dxa"/>
            </w:tcMar>
          </w:tcPr>
          <w:p>
            <w:r>
              <w:rPr>
                <w:sz w:val="18"/>
              </w:rPr>
              <w:t>Accuracy on Romanian and other languages as anchor supervision is reduced.</w:t>
            </w:r>
          </w:p>
        </w:tc>
      </w:tr>
      <w:tr>
        <w:tc>
          <w:tcPr>
            <w:tcW w:type="dxa" w:w="3456"/>
            <w:vAlign w:val="top"/>
            <w:tcMar>
              <w:top w:w="100" w:type="dxa"/>
              <w:start w:w="120" w:type="dxa"/>
              <w:bottom w:w="100" w:type="dxa"/>
              <w:end w:w="120" w:type="dxa"/>
            </w:tcMar>
          </w:tcPr>
          <w:p>
            <w:r>
              <w:rPr>
                <w:sz w:val="18"/>
              </w:rPr>
              <w:t>Latency / memory / energy</w:t>
            </w:r>
          </w:p>
        </w:tc>
        <w:tc>
          <w:tcPr>
            <w:tcW w:type="dxa" w:w="8064"/>
            <w:vAlign w:val="top"/>
            <w:tcMar>
              <w:top w:w="100" w:type="dxa"/>
              <w:start w:w="120" w:type="dxa"/>
              <w:bottom w:w="100" w:type="dxa"/>
              <w:end w:w="120" w:type="dxa"/>
            </w:tcMar>
          </w:tcPr>
          <w:p>
            <w:r>
              <w:rPr>
                <w:sz w:val="18"/>
              </w:rPr>
              <w:t>Whether the chosen small model is practical on mobile hardware.</w:t>
            </w:r>
          </w:p>
        </w:tc>
      </w:tr>
    </w:tbl>
    <w:p>
      <w:pPr>
        <w:spacing w:after="0"/>
      </w:pPr>
    </w:p>
    <w:p>
      <w:pPr>
        <w:pStyle w:val="Heading1"/>
        <w:keepNext/>
      </w:pPr>
      <w:r>
        <w:t>Source references</w:t>
      </w:r>
    </w:p>
    <w:p>
      <w:pPr>
        <w:pStyle w:val="ListBullet"/>
        <w:spacing w:after="40"/>
      </w:pPr>
      <w:r>
        <w:t xml:space="preserve">QA2D dataset card: </w:t>
      </w:r>
      <w:hyperlink r:id="rId9">
        <w:r>
          <w:rPr>
            <w:color w:val="0563C1"/>
            <w:u w:val="single"/>
          </w:rPr>
          <w:t>https://huggingface.co/datasets/domenicrosati/QA2D</w:t>
        </w:r>
      </w:hyperlink>
    </w:p>
    <w:p>
      <w:pPr>
        <w:pStyle w:val="ListBullet"/>
        <w:spacing w:after="40"/>
      </w:pPr>
      <w:r>
        <w:t xml:space="preserve">ProofWriter structured dataset / upstream citation information: </w:t>
      </w:r>
      <w:hyperlink r:id="rId10">
        <w:r>
          <w:rPr>
            <w:color w:val="0563C1"/>
            <w:u w:val="single"/>
          </w:rPr>
          <w:t>https://huggingface.co/datasets/rlhf-and-friends/proofwriter</w:t>
        </w:r>
      </w:hyperlink>
    </w:p>
    <w:p>
      <w:pPr>
        <w:pStyle w:val="ListBullet"/>
        <w:spacing w:after="40"/>
      </w:pPr>
      <w:r>
        <w:t xml:space="preserve">Quora Question Pairs in GLUE / TensorFlow Datasets: </w:t>
      </w:r>
      <w:hyperlink r:id="rId11">
        <w:r>
          <w:rPr>
            <w:color w:val="0563C1"/>
            <w:u w:val="single"/>
          </w:rPr>
          <w:t>https://www.tensorflow.org/datasets/catalog/glue#glueqqp</w:t>
        </w:r>
      </w:hyperlink>
    </w:p>
    <w:p>
      <w:pPr>
        <w:pStyle w:val="ListBullet"/>
        <w:spacing w:after="40"/>
      </w:pPr>
      <w:r>
        <w:t xml:space="preserve">PAWS repository: </w:t>
      </w:r>
      <w:hyperlink r:id="rId12">
        <w:r>
          <w:rPr>
            <w:color w:val="0563C1"/>
            <w:u w:val="single"/>
          </w:rPr>
          <w:t>https://github.com/google-research-datasets/paws</w:t>
        </w:r>
      </w:hyperlink>
    </w:p>
    <w:p>
      <w:pPr>
        <w:pStyle w:val="ListBullet"/>
        <w:spacing w:after="40"/>
      </w:pPr>
      <w:r>
        <w:t xml:space="preserve">AmbigQA / AmbigNQ: </w:t>
      </w:r>
      <w:hyperlink r:id="rId13">
        <w:r>
          <w:rPr>
            <w:color w:val="0563C1"/>
            <w:u w:val="single"/>
          </w:rPr>
          <w:t>https://ambigqa.github.io/</w:t>
        </w:r>
      </w:hyperlink>
    </w:p>
    <w:p>
      <w:pPr>
        <w:pStyle w:val="ListBullet"/>
        <w:spacing w:after="40"/>
      </w:pPr>
      <w:r>
        <w:t xml:space="preserve">Romanian paraphrase dataset: </w:t>
      </w:r>
      <w:hyperlink r:id="rId14">
        <w:r>
          <w:rPr>
            <w:color w:val="0563C1"/>
            <w:u w:val="single"/>
          </w:rPr>
          <w:t>https://huggingface.co/datasets/BlackKakapo/paraphrase-ro</w:t>
        </w:r>
      </w:hyperlink>
    </w:p>
    <w:sectPr w:rsidR="00FC693F" w:rsidRPr="0006063C" w:rsidSect="00034616">
      <w:footerReference w:type="default" r:id="rId15"/>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NL → SOP Lang Dataset Construction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8344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74E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ggingface.co/datasets/domenicrosati/QA2D" TargetMode="External"/><Relationship Id="rId10" Type="http://schemas.openxmlformats.org/officeDocument/2006/relationships/hyperlink" Target="https://huggingface.co/datasets/rlhf-and-friends/proofwriter" TargetMode="External"/><Relationship Id="rId11" Type="http://schemas.openxmlformats.org/officeDocument/2006/relationships/hyperlink" Target="https://www.tensorflow.org/datasets/catalog/glue#glueqqp" TargetMode="External"/><Relationship Id="rId12" Type="http://schemas.openxmlformats.org/officeDocument/2006/relationships/hyperlink" Target="https://github.com/google-research-datasets/paws" TargetMode="External"/><Relationship Id="rId13" Type="http://schemas.openxmlformats.org/officeDocument/2006/relationships/hyperlink" Target="https://ambigqa.github.io/" TargetMode="External"/><Relationship Id="rId14" Type="http://schemas.openxmlformats.org/officeDocument/2006/relationships/hyperlink" Target="https://huggingface.co/datasets/BlackKakapo/paraphrase-ro"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 to SOP Lang Dataset Construction</dc:title>
  <dc:subject>Specification for building a multilingual NL-to-SOP fine-tuning dataset</dc:subject>
  <dc:creator>Axiologic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