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spacing w:before="760"/>
      </w:pPr>
      <w:r>
        <w:rPr>
          <w:b/>
        </w:rPr>
        <w:t>PROTOCOL EXPERIMENTAL  2</w:t>
      </w:r>
    </w:p>
    <w:p>
      <w:pPr>
        <w:spacing w:before="280" w:after="260"/>
      </w:pPr>
      <w:r>
        <w:rPr>
          <w:rFonts w:ascii="Calibri" w:hAnsi="Calibri"/>
          <w:b/>
          <w:color w:val="17364D"/>
          <w:sz w:val="66"/>
        </w:rPr>
        <w:t>Construcția etapizată</w:t>
        <w:br/>
        <w:t>a programelor</w:t>
      </w:r>
    </w:p>
    <w:p>
      <w:pPr>
        <w:spacing w:after="400"/>
      </w:pPr>
      <w:r>
        <w:rPr>
          <w:color w:val="276A70"/>
          <w:sz w:val="30"/>
        </w:rPr>
        <w:t>Fine-tuning LLM • Metaprogramare • Circuite adaptive SOP Lang</w:t>
      </w:r>
    </w:p>
    <w:p>
      <w:pPr>
        <w:spacing w:after="200"/>
      </w:pPr>
      <w:r>
        <w:rPr>
          <w:b/>
          <w:color w:val="17364D"/>
          <w:sz w:val="26"/>
        </w:rPr>
        <w:t>Învățarea construirii unui program produce strategii mai bune decât generarea directă sau repararea incrementală?</w:t>
      </w:r>
    </w:p>
    <w:p>
      <w:r>
        <w:t>Protocolul separă programul final, generatorul de programe și politica adaptivă de construcție. Comparațiile identifică rolul descompunerii, feedbackului, recursivității și disciplinei SSA.</w:t>
      </w:r>
    </w:p>
    <w:p>
      <w:pPr>
        <w:spacing w:after="340"/>
      </w:pPr>
      <w:r>
        <w:rPr>
          <w:sz w:val="21"/>
        </w:rPr>
        <w:t>Design principal: 4 regimuri × 2 reprezentări, cu 5 semințe în confirmare. Extensiile testează stări greșite, dependențe globale, containere, epoci de execuție, costul expansiunii și transferul strategiilor.</w:t>
      </w:r>
    </w:p>
    <w:p>
      <w:pPr>
        <w:pStyle w:val="CoverKicker"/>
      </w:pPr>
      <w:r>
        <w:rPr>
          <w:b/>
        </w:rPr>
        <w:t>PARCURSUL PROTOCOLULUI</w:t>
      </w:r>
    </w:p>
    <w:p>
      <w:pPr>
        <w:spacing w:after="60"/>
      </w:pPr>
      <w:r>
        <w:rPr>
          <w:b/>
          <w:color w:val="276A70"/>
        </w:rPr>
        <w:t xml:space="preserve">01   </w:t>
      </w:r>
      <w:r>
        <w:rPr>
          <w:sz w:val="21"/>
        </w:rPr>
        <w:t>Ipoteza și mecanismele distincte</w:t>
      </w:r>
    </w:p>
    <w:p>
      <w:pPr>
        <w:spacing w:after="60"/>
      </w:pPr>
      <w:r>
        <w:rPr>
          <w:b/>
          <w:color w:val="276A70"/>
        </w:rPr>
        <w:t xml:space="preserve">02   </w:t>
      </w:r>
      <w:r>
        <w:rPr>
          <w:sz w:val="21"/>
        </w:rPr>
        <w:t>Regimurile și mediul experimental</w:t>
      </w:r>
    </w:p>
    <w:p>
      <w:pPr>
        <w:spacing w:after="60"/>
      </w:pPr>
      <w:r>
        <w:rPr>
          <w:b/>
          <w:color w:val="276A70"/>
        </w:rPr>
        <w:t xml:space="preserve">03   </w:t>
      </w:r>
      <w:r>
        <w:rPr>
          <w:sz w:val="21"/>
        </w:rPr>
        <w:t>Datele și fine-tuningul politicii de construcție</w:t>
      </w:r>
    </w:p>
    <w:p>
      <w:pPr>
        <w:spacing w:after="60"/>
      </w:pPr>
      <w:r>
        <w:rPr>
          <w:b/>
          <w:color w:val="276A70"/>
        </w:rPr>
        <w:t xml:space="preserve">04   </w:t>
      </w:r>
      <w:r>
        <w:rPr>
          <w:sz w:val="21"/>
        </w:rPr>
        <w:t>Experimente și ablații cauzale</w:t>
      </w:r>
    </w:p>
    <w:p>
      <w:pPr>
        <w:spacing w:after="60"/>
      </w:pPr>
      <w:r>
        <w:rPr>
          <w:b/>
          <w:color w:val="276A70"/>
        </w:rPr>
        <w:t xml:space="preserve">05   </w:t>
      </w:r>
      <w:r>
        <w:rPr>
          <w:sz w:val="21"/>
        </w:rPr>
        <w:t>Analiza și deciziile de cercetare</w:t>
      </w:r>
    </w:p>
    <w:p>
      <w:pPr>
        <w:pStyle w:val="SmallNote"/>
        <w:spacing w:before="400"/>
      </w:pPr>
      <w:r>
        <w:t>25 septembrie 2026  •  Protocol prospectiv</w:t>
      </w:r>
    </w:p>
    <w:p>
      <w:pPr>
        <w:pStyle w:val="SmallNote"/>
      </w:pPr>
      <w:r>
        <w:t>Hiperparametrii, dimensiunile și pragurile sunt propuneri de pornire. Documentul nu raportează antrenări sau rezultate experimentale efectuate.</w:t>
      </w:r>
    </w:p>
    <w:p>
      <w:pPr>
        <w:pStyle w:val="Heading1"/>
        <w:pageBreakBefore/>
        <w:spacing w:before="0"/>
      </w:pPr>
      <w:r>
        <w:t>1. Ipoteza și mecanismele distincte</w:t>
      </w:r>
    </w:p>
    <w:p>
      <w:pPr>
        <w:pStyle w:val="Heading2"/>
      </w:pPr>
      <w:r>
        <w:t>1.1. Ce învață modelul</w:t>
      </w:r>
    </w:p>
    <w:p>
      <w:pPr/>
      <w:r>
        <w:t>Acest protocol investighează dacă un LLM rezolvă mai bine probleme atunci când este antrenat să construiască programe prin pași executabili, eventual generând cod care produce sau extinde alte programe. Întrebarea nu este numai dacă un sistem iterativ depășește generarea dintr-o singură încercare, ci dacă metaprogramarea contribuie cu ceva peste modularitate, feedback și calcul suplimentar.</w:t>
      </w:r>
    </w:p>
    <w:p>
      <w:pPr/>
      <w:r>
        <w:t>Se disting trei obiecte: programul final P, care calculează rezultatul; constructorul G, care produce sau modifică P; politica neurală, care decide ce program sau ce acțiune de construcție să emită în starea curentă. Recursivitatea lui G, recursivitatea programului P și reapelarea LLM-ului sunt mecanisme diferite. Unul poate exista fără celelalte.</w:t>
      </w:r>
    </w:p>
    <w:p>
      <w:pPr/>
      <w:r>
        <w:t>Un generator emis integral de la început poate fi doar o reprezentare compactă a unui program mare. Un constructor adaptiv poate amâna decizii până după observarea unor rezultate. O dezvoltare incrementală obișnuită poate face însă și ea inspecții, teste și reparări. Protocolul păstrează această alternativă puternică, pentru a evita un succes obținut prin slăbirea artificială a controlului.</w:t>
      </w:r>
    </w:p>
    <w:p>
      <w:pPr/>
      <w:r>
        <w:t>PAL demonstrează utilitatea delegării calculului către programe, iar Code as Policies include definirea ierarhică a funcțiilor. Lucrările despre scratchpads și least-to-most sunt relevante pentru pași intermediari și descompunere, fără a demonstra în sine avantajul codului care generează cod. Cercetarea privind self-debuggingul justifică existența unui control incremental cu feedback. [1–5]</w:t>
      </w:r>
    </w:p>
    <w:p>
      <w:pPr/>
      <w:r>
        <w:t>Recursive Language Models tratează contextul ca mediu accesibil programatic și permite apeluri recursive. Versiunea din 11 mai 2026 include și un model post-antrenat pentru acest regim. Este un precedent apropiat pentru învățarea unei proceduri de lucru, nu o demonstrație specifică pentru constructori SOP sau pentru SSA. [6]</w:t>
      </w:r>
    </w:p>
    <w:p>
      <w:pPr>
        <w:pStyle w:val="Heading2"/>
      </w:pPr>
      <w:r>
        <w:t>1.2. Afirmații care pot primi verdicte diferite</w:t>
      </w:r>
    </w:p>
    <w:tbl>
      <w:tblPr>
        <w:tblW w:type="auto" w:w="0"/>
        <w:jc w:val="center"/>
        <w:tblLayout w:type="fixed"/>
        <w:tblLook w:firstColumn="1" w:firstRow="1" w:lastColumn="0" w:lastRow="0" w:noHBand="0" w:noVBand="1" w:val="04A0"/>
        <w:tblBorders>
          <w:top w:val="single" w:sz="4" w:color="DCE3E8"/>
          <w:left w:val="single" w:sz="4" w:color="DCE3E8"/>
          <w:bottom w:val="single" w:sz="4" w:color="DCE3E8"/>
          <w:right w:val="single" w:sz="4" w:color="DCE3E8"/>
          <w:insideH w:val="single" w:sz="4" w:color="DCE3E8"/>
          <w:insideV w:val="single" w:sz="4" w:color="DCE3E8"/>
        </w:tblBorders>
      </w:tblPr>
      <w:tblGrid>
        <w:gridCol w:w="2551"/>
        <w:gridCol w:w="7030"/>
      </w:tblGrid>
      <w:tr>
        <w:trPr>
          <w:cantSplit/>
          <w:tblHeader/>
        </w:trPr>
        <w:tc>
          <w:tcPr>
            <w:tcW w:type="dxa" w:w="2551"/>
            <w:vAlign w:val="center"/>
            <w:shd w:fill="17364D"/>
            <w:tcMar>
              <w:top w:w="90" w:type="dxa"/>
              <w:bottom w:w="90" w:type="dxa"/>
              <w:left w:w="105" w:type="dxa"/>
              <w:right w:w="105" w:type="dxa"/>
            </w:tcMar>
          </w:tcPr>
          <w:p>
            <w:pPr>
              <w:pStyle w:val="TableText"/>
              <w:keepNext/>
            </w:pPr>
            <w:r>
              <w:rPr>
                <w:b/>
                <w:color w:val="FFFFFF"/>
                <w:sz w:val="20"/>
              </w:rPr>
              <w:t>Ipoteză</w:t>
            </w:r>
          </w:p>
        </w:tc>
        <w:tc>
          <w:tcPr>
            <w:tcW w:type="dxa" w:w="7030"/>
            <w:vAlign w:val="center"/>
            <w:shd w:fill="17364D"/>
            <w:tcMar>
              <w:top w:w="90" w:type="dxa"/>
              <w:bottom w:w="90" w:type="dxa"/>
              <w:left w:w="105" w:type="dxa"/>
              <w:right w:w="105" w:type="dxa"/>
            </w:tcMar>
          </w:tcPr>
          <w:p>
            <w:pPr>
              <w:pStyle w:val="TableText"/>
              <w:keepNext/>
            </w:pPr>
            <w:r>
              <w:rPr>
                <w:b/>
                <w:color w:val="FFFFFF"/>
                <w:sz w:val="20"/>
              </w:rPr>
              <w:t>Predicție care trebuie testată separat</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H2-G: reprezentare generativă</w:t>
            </w:r>
          </w:p>
        </w:tc>
        <w:tc>
          <w:tcPr>
            <w:tcW w:type="dxa" w:w="7030"/>
            <w:vAlign w:val="center"/>
            <w:shd w:fill="F1F5F7"/>
            <w:tcMar>
              <w:top w:w="90" w:type="dxa"/>
              <w:bottom w:w="90" w:type="dxa"/>
              <w:left w:w="105" w:type="dxa"/>
              <w:right w:w="105" w:type="dxa"/>
            </w:tcMar>
          </w:tcPr>
          <w:p>
            <w:pPr>
              <w:pStyle w:val="TableText"/>
            </w:pPr>
            <w:r>
              <w:rPr>
                <w:sz w:val="20"/>
              </w:rPr>
              <w:t>Un constructor închis, generat într-un singur apel, depășește un program final generat direct, cu aceleași informații și un buget total comparabil.</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H2-I: construcție etapizată</w:t>
            </w:r>
          </w:p>
        </w:tc>
        <w:tc>
          <w:tcPr>
            <w:tcW w:type="dxa" w:w="7030"/>
            <w:vAlign w:val="center"/>
            <w:shd w:fill="FFFFFF"/>
            <w:tcMar>
              <w:top w:w="90" w:type="dxa"/>
              <w:bottom w:w="90" w:type="dxa"/>
              <w:left w:w="105" w:type="dxa"/>
              <w:right w:w="105" w:type="dxa"/>
            </w:tcMar>
          </w:tcPr>
          <w:p>
            <w:pPr>
              <w:pStyle w:val="TableText"/>
            </w:pPr>
            <w:r>
              <w:rPr>
                <w:sz w:val="20"/>
              </w:rPr>
              <w:t>Antrenarea pe tranziții reale între stări produce descompuneri și reparări mai utile decât supravegherea exclusiv pe programul final. Acest efect poate exista fără metaprogramare.</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H2-A: adaptivitate structurală</w:t>
            </w:r>
          </w:p>
        </w:tc>
        <w:tc>
          <w:tcPr>
            <w:tcW w:type="dxa" w:w="7030"/>
            <w:vAlign w:val="center"/>
            <w:shd w:fill="F1F5F7"/>
            <w:tcMar>
              <w:top w:w="90" w:type="dxa"/>
              <w:bottom w:w="90" w:type="dxa"/>
              <w:left w:w="105" w:type="dxa"/>
              <w:right w:w="105" w:type="dxa"/>
            </w:tcMar>
          </w:tcPr>
          <w:p>
            <w:pPr>
              <w:pStyle w:val="TableText"/>
            </w:pPr>
            <w:r>
              <w:rPr>
                <w:sz w:val="20"/>
              </w:rPr>
              <w:t>Constructorul adaptiv depășește programarea incrementală obișnuită atunci când ambele au acces la aceleași observații, verificări și resurse.</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H2-T: strategie transferabilă</w:t>
            </w:r>
          </w:p>
        </w:tc>
        <w:tc>
          <w:tcPr>
            <w:tcW w:type="dxa" w:w="7030"/>
            <w:vAlign w:val="center"/>
            <w:shd w:fill="FFFFFF"/>
            <w:tcMar>
              <w:top w:w="90" w:type="dxa"/>
              <w:bottom w:w="90" w:type="dxa"/>
              <w:left w:w="105" w:type="dxa"/>
              <w:right w:w="105" w:type="dxa"/>
            </w:tcMar>
          </w:tcPr>
          <w:p>
            <w:pPr>
              <w:pStyle w:val="TableText"/>
            </w:pPr>
            <w:r>
              <w:rPr>
                <w:sz w:val="20"/>
              </w:rPr>
              <w:t>Antrenarea pe construcție produce un avantaj și într-un mediu comun, în care toate modelele emit programe obișnuite sau folosesc același editor incremental.</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H2-S: rolul circuitelor</w:t>
            </w:r>
          </w:p>
        </w:tc>
        <w:tc>
          <w:tcPr>
            <w:tcW w:type="dxa" w:w="7030"/>
            <w:vAlign w:val="center"/>
            <w:shd w:fill="F1F5F7"/>
            <w:tcMar>
              <w:top w:w="90" w:type="dxa"/>
              <w:bottom w:w="90" w:type="dxa"/>
              <w:left w:w="105" w:type="dxa"/>
              <w:right w:w="105" w:type="dxa"/>
            </w:tcMar>
          </w:tcPr>
          <w:p>
            <w:pPr>
              <w:pStyle w:val="TableText"/>
            </w:pPr>
            <w:r>
              <w:rPr>
                <w:sz w:val="20"/>
              </w:rPr>
              <w:t>SSA și SOP pot facilita dependențele, invalidarea și revizuirea locală, dar pot îngreuna numirea valorilor, editarea structurii și expansiunea. Se testează ambele direcții.</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H2-R: recursivitate utilă</w:t>
            </w:r>
          </w:p>
        </w:tc>
        <w:tc>
          <w:tcPr>
            <w:tcW w:type="dxa" w:w="7030"/>
            <w:vAlign w:val="center"/>
            <w:shd w:fill="FFFFFF"/>
            <w:tcMar>
              <w:top w:w="90" w:type="dxa"/>
              <w:bottom w:w="90" w:type="dxa"/>
              <w:left w:w="105" w:type="dxa"/>
              <w:right w:w="105" w:type="dxa"/>
            </w:tcMar>
          </w:tcPr>
          <w:p>
            <w:pPr>
              <w:pStyle w:val="TableText"/>
            </w:pPr>
            <w:r>
              <w:rPr>
                <w:sz w:val="20"/>
              </w:rPr>
              <w:t>Descompunerea recursivă are un domeniu de adâncime și granularitate în care câștigul depășește costul coordonării. Mai multă recursivitate nu este presupusă benefică.</w:t>
            </w:r>
          </w:p>
        </w:tc>
      </w:tr>
    </w:tbl>
    <w:p>
      <w:pPr>
        <w:spacing w:after="40" w:before="0" w:line="40" w:lineRule="exact"/>
      </w:pPr>
      <w:r>
        <w:rPr>
          <w:sz w:val="4"/>
        </w:rPr>
      </w:r>
    </w:p>
    <w:p>
      <w:pPr/>
      <w:r>
        <w:t>O „descompunere bună” este definită operațional: produce subprobleme cu informație suficientă, ale căror rezultate pot fi combinate într-o soluție corectă, cu cost total acceptabil. Numărul de subprobleme, numărul firelor sau asemănarea cu traseul profesorului nu sunt obiective în sine.</w:t>
      </w:r>
    </w:p>
    <w:p>
      <w:pPr>
        <w:pStyle w:val="Heading2"/>
      </w:pPr>
      <w:r>
        <w:t>1.3. Limita teoretică a comparației</w:t>
      </w:r>
    </w:p>
    <w:p>
      <w:pPr/>
      <w:r>
        <w:t>Un program obișnuit poate conține bucle, funcții, recursivitate, ramificare și un interpretor. Prin urmare, metaprogramarea nu trebuie justificată prin afirmația că ar permite în mod automat calcule imposibile în alternativa de bază. Ipoteza privește accesibilitatea soluției pentru un model finit, învățarea, costul și controlul erorilor.</w:t>
      </w:r>
    </w:p>
    <w:p>
      <w:pPr/>
      <w:r>
        <w:t>SSA generală nu implică aciclicitate: instrucțiunile phi și buclele sunt compatibile cu SSA. Profilul SOP utilizat aici impune un DAG în interiorul unei epoci de execuție, iar extinderea sau rescrierea relevantă a structurii creează o nouă epocă. Epoca de execuție a circuitului nu trebuie confundată cu o trecere prin dataset în antrenarea neurală. [7]</w:t>
      </w:r>
    </w:p>
    <w:p>
      <w:pPr/>
      <w:r>
        <w:t>Protocolul poate produce un rezultat mixt: circuitele să fie excelente pentru execuție și audit, dar prea costisitoare ca țintă textuală a modelului. Controlul cu compilare automată și controlul cu identificatori generați de runtime permit transformarea acestui rezultat într-o direcție concretă de design.</w:t>
      </w:r>
    </w:p>
    <w:p>
      <w:pPr>
        <w:pStyle w:val="Heading1"/>
      </w:pPr>
      <w:r>
        <w:t>2. Regimurile și mediul experimental</w:t>
      </w:r>
    </w:p>
    <w:p>
      <w:pPr>
        <w:pStyle w:val="Heading2"/>
      </w:pPr>
      <w:r>
        <w:t>2.1. Matricea principală: patru regimuri și două reprezentări</w:t>
      </w:r>
    </w:p>
    <w:p>
      <w:pPr/>
      <w:r>
        <w:t>Biblioteca semantică este fixă pentru toate condițiile. Ea poate fi biblioteca validată în primul protocol sau una preregistrată independent, cu operații suficiente pentru toate problemele. Nu se selectează după testul final o bibliotecă avantajoasă numai pentru constructorul adaptiv.</w:t>
      </w:r>
    </w:p>
    <w:tbl>
      <w:tblPr>
        <w:tblW w:type="auto" w:w="0"/>
        <w:jc w:val="center"/>
        <w:tblLayout w:type="fixed"/>
        <w:tblLook w:firstColumn="1" w:firstRow="1" w:lastColumn="0" w:lastRow="0" w:noHBand="0" w:noVBand="1" w:val="04A0"/>
        <w:tblBorders>
          <w:top w:val="single" w:sz="4" w:color="DCE3E8"/>
          <w:left w:val="single" w:sz="4" w:color="DCE3E8"/>
          <w:bottom w:val="single" w:sz="4" w:color="DCE3E8"/>
          <w:right w:val="single" w:sz="4" w:color="DCE3E8"/>
          <w:insideH w:val="single" w:sz="4" w:color="DCE3E8"/>
          <w:insideV w:val="single" w:sz="4" w:color="DCE3E8"/>
        </w:tblBorders>
      </w:tblPr>
      <w:tblGrid>
        <w:gridCol w:w="2551"/>
        <w:gridCol w:w="7030"/>
      </w:tblGrid>
      <w:tr>
        <w:trPr>
          <w:cantSplit/>
          <w:tblHeader/>
        </w:trPr>
        <w:tc>
          <w:tcPr>
            <w:tcW w:type="dxa" w:w="2551"/>
            <w:vAlign w:val="center"/>
            <w:shd w:fill="17364D"/>
            <w:tcMar>
              <w:top w:w="90" w:type="dxa"/>
              <w:bottom w:w="90" w:type="dxa"/>
              <w:left w:w="105" w:type="dxa"/>
              <w:right w:w="105" w:type="dxa"/>
            </w:tcMar>
          </w:tcPr>
          <w:p>
            <w:pPr>
              <w:pStyle w:val="TableText"/>
              <w:keepNext/>
            </w:pPr>
            <w:r>
              <w:rPr>
                <w:b/>
                <w:color w:val="FFFFFF"/>
                <w:sz w:val="20"/>
              </w:rPr>
              <w:t>Regim</w:t>
            </w:r>
          </w:p>
        </w:tc>
        <w:tc>
          <w:tcPr>
            <w:tcW w:type="dxa" w:w="7030"/>
            <w:vAlign w:val="center"/>
            <w:shd w:fill="17364D"/>
            <w:tcMar>
              <w:top w:w="90" w:type="dxa"/>
              <w:bottom w:w="90" w:type="dxa"/>
              <w:left w:w="105" w:type="dxa"/>
              <w:right w:w="105" w:type="dxa"/>
            </w:tcMar>
          </w:tcPr>
          <w:p>
            <w:pPr>
              <w:pStyle w:val="TableText"/>
              <w:keepNext/>
            </w:pPr>
            <w:r>
              <w:rPr>
                <w:b/>
                <w:color w:val="FFFFFF"/>
                <w:sz w:val="20"/>
              </w:rPr>
              <w:t>Ce produce modelul și ce are voie să observe</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D: program final direct</w:t>
            </w:r>
          </w:p>
        </w:tc>
        <w:tc>
          <w:tcPr>
            <w:tcW w:type="dxa" w:w="7030"/>
            <w:vAlign w:val="center"/>
            <w:shd w:fill="F1F5F7"/>
            <w:tcMar>
              <w:top w:w="90" w:type="dxa"/>
              <w:bottom w:w="90" w:type="dxa"/>
              <w:left w:w="105" w:type="dxa"/>
              <w:right w:w="105" w:type="dxa"/>
            </w:tcMar>
          </w:tcPr>
          <w:p>
            <w:pPr>
              <w:pStyle w:val="TableText"/>
            </w:pPr>
            <w:r>
              <w:rPr>
                <w:sz w:val="20"/>
              </w:rPr>
              <w:t>Un singur apel produce P. Sunt permise funcții, bucle, condiții și modularitate normală. P poate citi date la execuție prin API-ul comun, dar nu poate reapela LLM-ul în cohorta de bază.</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I: programare incrementală</w:t>
            </w:r>
          </w:p>
        </w:tc>
        <w:tc>
          <w:tcPr>
            <w:tcW w:type="dxa" w:w="7030"/>
            <w:vAlign w:val="center"/>
            <w:shd w:fill="FFFFFF"/>
            <w:tcMar>
              <w:top w:w="90" w:type="dxa"/>
              <w:bottom w:w="90" w:type="dxa"/>
              <w:left w:w="105" w:type="dxa"/>
              <w:right w:w="105" w:type="dxa"/>
            </w:tcMar>
          </w:tcPr>
          <w:p>
            <w:pPr>
              <w:pStyle w:val="TableText"/>
            </w:pPr>
            <w:r>
              <w:rPr>
                <w:sz w:val="20"/>
              </w:rPr>
              <w:t>Modelul adaugă sau înlocuiește fragmente de cod obișnuit, rulează părți și observă rezultate. Nu este obligat să scrie un generator de programe. Are același acces la inspecții și verificări ca A.</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G: constructor închis</w:t>
            </w:r>
          </w:p>
        </w:tc>
        <w:tc>
          <w:tcPr>
            <w:tcW w:type="dxa" w:w="7030"/>
            <w:vAlign w:val="center"/>
            <w:shd w:fill="F1F5F7"/>
            <w:tcMar>
              <w:top w:w="90" w:type="dxa"/>
              <w:bottom w:w="90" w:type="dxa"/>
              <w:left w:w="105" w:type="dxa"/>
              <w:right w:w="105" w:type="dxa"/>
            </w:tcMar>
          </w:tcPr>
          <w:p>
            <w:pPr>
              <w:pStyle w:val="TableText"/>
            </w:pPr>
            <w:r>
              <w:rPr>
                <w:sz w:val="20"/>
              </w:rPr>
              <w:t>Un singur apel produce G. Execuția deterministă a lui G produce P, fără alte apeluri ale LLM-ului. Se contorizează atât construcția, cât și execuția programului rezultat.</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A: constructor adaptiv</w:t>
            </w:r>
          </w:p>
        </w:tc>
        <w:tc>
          <w:tcPr>
            <w:tcW w:type="dxa" w:w="7030"/>
            <w:vAlign w:val="center"/>
            <w:shd w:fill="FFFFFF"/>
            <w:tcMar>
              <w:top w:w="90" w:type="dxa"/>
              <w:bottom w:w="90" w:type="dxa"/>
              <w:left w:w="105" w:type="dxa"/>
              <w:right w:w="105" w:type="dxa"/>
            </w:tcMar>
          </w:tcPr>
          <w:p>
            <w:pPr>
              <w:pStyle w:val="TableText"/>
            </w:pPr>
            <w:r>
              <w:rPr>
                <w:sz w:val="20"/>
              </w:rPr>
              <w:t>Modelul construiește sau modifică un program pe baza stării observate. Poate produce reguli de expansiune, poate rula părți și poate continua după rezultate. Toate apelurile neurale și expansiunile consumă buget.</w:t>
            </w:r>
          </w:p>
        </w:tc>
      </w:tr>
    </w:tbl>
    <w:p>
      <w:pPr>
        <w:spacing w:after="40" w:before="0" w:line="40" w:lineRule="exact"/>
      </w:pPr>
      <w:r>
        <w:rPr>
          <w:sz w:val="4"/>
        </w:rPr>
      </w:r>
    </w:p>
    <w:p>
      <w:pPr/>
      <w:r>
        <w:t>Fiecare regim este implementat în două reprezentări: JavaScript modular, notat J, și SOP Lang, notat S. Rezultă opt condiții principale de fine-tuning. În D-S, modelul generează un circuit static cu interpretoare și jseval locale; în I-S, adaugă fragmente SOP explicite fără un constructor programatic reutilizabil. G-S și A-S generează cod de construcție care produce sau modifică fire SOP.</w:t>
      </w:r>
    </w:p>
    <w:p>
      <w:pPr/>
      <w:r>
        <w:t>Diferența dintre I-S și A-S trebuie păstrată verificabilă. În I-S, modelul emite direct fragmentele concrete. În A-S poate emite un constructor parametrizat care instanțiază fragmente în funcție de date sau de rezultate. Dacă A-S emite numai aceleași fragmente ca I-S, succesul său nu demonstrează folosirea metaprogramării, chiar dacă infrastructura ar fi permis-o.</w:t>
      </w:r>
    </w:p>
    <w:p>
      <w:pPr/>
      <w:r>
        <w:t>Pentru identificarea efectului SSA se adaugă, în extensia confirmatorie, un control J-SSA cu valori atribuite o singură dată și aceeași granularitate ca S. Acesta se testează prioritar pe A versus I și G versus D. Matricea J/S singură măsoară pachetul SOP, nu poate izola toate componentele lui.</w:t>
      </w:r>
    </w:p>
    <w:p>
      <w:pPr>
        <w:pStyle w:val="Heading2"/>
      </w:pPr>
      <w:r>
        <w:t>2.2. Ce înseamnă o stare și un pas</w:t>
      </w:r>
    </w:p>
    <w:p>
      <w:pPr/>
      <w:r>
        <w:t>Starea observabilă include cerința, intrările accesibile, programul parțial, definițiile și versiunile vizibile, rezultatele deja produse, erorile detectate, dependențele încă nesatisfăcute și bugetul rămas. Nu include soluția de referință, structura viitoare a traseului profesorului sau rezultatele testelor ascunse.</w:t>
      </w:r>
    </w:p>
    <w:p>
      <w:pPr/>
      <w:r>
        <w:t>Un pas este o acțiune asupra acestei stări, urmată de o tranziție reală a executorului. Acțiunile necesare sunt introducerea unui fragment, înlocuirea explicită a unui fragment, executarea părților pregătite, inspectarea unei valori și finalizarea. Numele și reprezentarea exactă a API-ului se fixează în implementare; ele nu sunt prezentate drept comenzi deja existente ale SOP Lang.</w:t>
      </w:r>
    </w:p>
    <w:p>
      <w:pPr/>
      <w:r>
        <w:t>În regimul A, codul .mjs al constructorului poate descrie instanțieri, condiții și repetări limitate. În profilul SOP, aceste mecanisme pot fi realizate prin jseval sau prin interpretoare de construcție înregistrate. Nu este necesară introducerea unor instrucțiuni suplimentare de tip choose sau force. Modificările structurale sunt validate și aplicate tranzacțional de executor.</w:t>
      </w:r>
    </w:p>
    <w:p>
      <w:pPr/>
      <w:r>
        <w:t>Bucla de orchestrare este identică pentru I și A: prezintă starea, aplică acțiunea, execută operațiile permise și revine cu observația. Ea nu alege subproblemele corecte și nu selectează automat fragmentele care conduc spre soluție. Când un asemenea ajutor este oferit într-un experiment de diagnostic, este etichetat drept intervenție de profesor, nu parte a sistemului autonom.</w:t>
      </w:r>
    </w:p>
    <w:p>
      <w:pPr/>
      <w:r>
        <w:t>Un fragment concret și un constructor sunt deosebite prin contractul de ieșire. În I, ținta acceptată este textul sau arborele unui fragment final, fără acces la API-ul de construcție în codul executat. În G și A, ținta poate fi un program care primește parametri și emite declarații printr-un API de builder. Un parser și un control de capabilități verifică această diferență. Eticheta regimului nu este dedusă din formulări precum „voi construi programul pas cu pas”.</w:t>
      </w:r>
    </w:p>
    <w:p>
      <w:pPr/>
      <w:r>
        <w:t>Biblioteca builderului este minimală: poate adăuga definiții, lega referințe și înregistra un rezultat; nu cunoaște algoritmul problemei. Emiterea de text este comparată cu emiterea prin builder, pentru a separa metaprogramarea de erorile de quoting și escaping. Într-o probă, codul constructorului are aceeași sintaxă .mjs atât pentru J, cât și pentru S; astfel, schimbarea sintaxei constructorului nu este confundată cu schimbarea programului rezultat.</w:t>
      </w:r>
    </w:p>
    <w:p>
      <w:pPr>
        <w:pStyle w:val="Heading3"/>
      </w:pPr>
      <w:r>
        <w:t>Exemplu de episod observabil</w:t>
      </w:r>
    </w:p>
    <w:p>
      <w:pPr/>
      <w:r>
        <w:t>Cerința este să identifice contradicțiile dintre documente care vor fi furnizate în loturi. Entitățile și numărul de comparații nu sunt cunoscute inițial. Exemplul de mai jos descrie un traseu posibil, nu o descompunere obligatorie sau o soluție prezentată modelului la evaluare.</w:t>
      </w:r>
    </w:p>
    <w:tbl>
      <w:tblPr>
        <w:tblW w:type="auto" w:w="0"/>
        <w:jc w:val="center"/>
        <w:tblLayout w:type="fixed"/>
        <w:tblLook w:firstColumn="1" w:firstRow="1" w:lastColumn="0" w:lastRow="0" w:noHBand="0" w:noVBand="1" w:val="04A0"/>
        <w:tblBorders>
          <w:top w:val="single" w:sz="4" w:color="DCE3E8"/>
          <w:left w:val="single" w:sz="4" w:color="DCE3E8"/>
          <w:bottom w:val="single" w:sz="4" w:color="DCE3E8"/>
          <w:right w:val="single" w:sz="4" w:color="DCE3E8"/>
          <w:insideH w:val="single" w:sz="4" w:color="DCE3E8"/>
          <w:insideV w:val="single" w:sz="4" w:color="DCE3E8"/>
        </w:tblBorders>
      </w:tblPr>
      <w:tblGrid>
        <w:gridCol w:w="2551"/>
        <w:gridCol w:w="7030"/>
      </w:tblGrid>
      <w:tr>
        <w:trPr>
          <w:cantSplit/>
          <w:tblHeader/>
        </w:trPr>
        <w:tc>
          <w:tcPr>
            <w:tcW w:type="dxa" w:w="2551"/>
            <w:vAlign w:val="center"/>
            <w:shd w:fill="17364D"/>
            <w:tcMar>
              <w:top w:w="90" w:type="dxa"/>
              <w:bottom w:w="90" w:type="dxa"/>
              <w:left w:w="105" w:type="dxa"/>
              <w:right w:w="105" w:type="dxa"/>
            </w:tcMar>
          </w:tcPr>
          <w:p>
            <w:pPr>
              <w:pStyle w:val="TableText"/>
              <w:keepNext/>
            </w:pPr>
            <w:r>
              <w:rPr>
                <w:b/>
                <w:color w:val="FFFFFF"/>
                <w:sz w:val="20"/>
              </w:rPr>
              <w:t>Moment</w:t>
            </w:r>
          </w:p>
        </w:tc>
        <w:tc>
          <w:tcPr>
            <w:tcW w:type="dxa" w:w="7030"/>
            <w:vAlign w:val="center"/>
            <w:shd w:fill="17364D"/>
            <w:tcMar>
              <w:top w:w="90" w:type="dxa"/>
              <w:bottom w:w="90" w:type="dxa"/>
              <w:left w:w="105" w:type="dxa"/>
              <w:right w:w="105" w:type="dxa"/>
            </w:tcMar>
          </w:tcPr>
          <w:p>
            <w:pPr>
              <w:pStyle w:val="TableText"/>
              <w:keepNext/>
            </w:pPr>
            <w:r>
              <w:rPr>
                <w:b/>
                <w:color w:val="FFFFFF"/>
                <w:sz w:val="20"/>
              </w:rPr>
              <w:t>Observație și decizie verificabilă</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Starea inițială</w:t>
            </w:r>
          </w:p>
        </w:tc>
        <w:tc>
          <w:tcPr>
            <w:tcW w:type="dxa" w:w="7030"/>
            <w:vAlign w:val="center"/>
            <w:shd w:fill="F1F5F7"/>
            <w:tcMar>
              <w:top w:w="90" w:type="dxa"/>
              <w:bottom w:w="90" w:type="dxa"/>
              <w:left w:w="105" w:type="dxa"/>
              <w:right w:w="105" w:type="dxa"/>
            </w:tcMar>
          </w:tcPr>
          <w:p>
            <w:pPr>
              <w:pStyle w:val="TableText"/>
            </w:pPr>
            <w:r>
              <w:rPr>
                <w:sz w:val="20"/>
              </w:rPr>
              <w:t>Modelul vede obiectivul, regulile de incompatibilitate și interfața de citire, dar nu entitățile din loturile viitoare. Poate pregăti extracția și registrul de evidențe.</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După primul lot</w:t>
            </w:r>
          </w:p>
        </w:tc>
        <w:tc>
          <w:tcPr>
            <w:tcW w:type="dxa" w:w="7030"/>
            <w:vAlign w:val="center"/>
            <w:shd w:fill="FFFFFF"/>
            <w:tcMar>
              <w:top w:w="90" w:type="dxa"/>
              <w:bottom w:w="90" w:type="dxa"/>
              <w:left w:w="105" w:type="dxa"/>
              <w:right w:w="105" w:type="dxa"/>
            </w:tcMar>
          </w:tcPr>
          <w:p>
            <w:pPr>
              <w:pStyle w:val="TableText"/>
            </w:pPr>
            <w:r>
              <w:rPr>
                <w:sz w:val="20"/>
              </w:rPr>
              <w:t>Executorul returnează afirmațiile despre entitățile E1 și E2. I poate scrie două verificări concrete; A poate emite o regulă care instanțiază verificări pentru entitățile observate.</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După lotul următor</w:t>
            </w:r>
          </w:p>
        </w:tc>
        <w:tc>
          <w:tcPr>
            <w:tcW w:type="dxa" w:w="7030"/>
            <w:vAlign w:val="center"/>
            <w:shd w:fill="F1F5F7"/>
            <w:tcMar>
              <w:top w:w="90" w:type="dxa"/>
              <w:bottom w:w="90" w:type="dxa"/>
              <w:left w:w="105" w:type="dxa"/>
              <w:right w:w="105" w:type="dxa"/>
            </w:tcMar>
          </w:tcPr>
          <w:p>
            <w:pPr>
              <w:pStyle w:val="TableText"/>
            </w:pPr>
            <w:r>
              <w:rPr>
                <w:sz w:val="20"/>
              </w:rPr>
              <w:t>Apare o afirmație despre E1 și o entitate nouă E3. Se execută comparațiile suplimentare necesare, păstrând sau recalculând justificat rezultatele neafectate.</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Închiderea episodului</w:t>
            </w:r>
          </w:p>
        </w:tc>
        <w:tc>
          <w:tcPr>
            <w:tcW w:type="dxa" w:w="7030"/>
            <w:vAlign w:val="center"/>
            <w:shd w:fill="FFFFFF"/>
            <w:tcMar>
              <w:top w:w="90" w:type="dxa"/>
              <w:bottom w:w="90" w:type="dxa"/>
              <w:left w:w="105" w:type="dxa"/>
              <w:right w:w="105" w:type="dxa"/>
            </w:tcMar>
          </w:tcPr>
          <w:p>
            <w:pPr>
              <w:pStyle w:val="TableText"/>
            </w:pPr>
            <w:r>
              <w:rPr>
                <w:sz w:val="20"/>
              </w:rPr>
              <w:t>Rezultatul cuprinde perechile incompatibile și evidențele. Evaluatorul verifică și faptul că o contradicție între două loturi nu a fost pierdută prin descompunere locală.</w:t>
            </w:r>
          </w:p>
        </w:tc>
      </w:tr>
    </w:tbl>
    <w:p>
      <w:pPr>
        <w:spacing w:after="40" w:before="0" w:line="40" w:lineRule="exact"/>
      </w:pPr>
      <w:r>
        <w:rPr>
          <w:sz w:val="4"/>
        </w:rPr>
      </w:r>
    </w:p>
    <w:p>
      <w:pPr/>
      <w:r>
        <w:t>Un program D corect poate realiza aceeași sarcină printr-o buclă și un registru. Avantajul lui A, dacă apare, trebuie să provină din ce poate învăța și construi mai fiabil modelul, nu din declararea abuzivă a lui D drept incapabil să proceseze loturi.</w:t>
      </w:r>
    </w:p>
    <w:p>
      <w:pPr>
        <w:pStyle w:val="Heading2"/>
      </w:pPr>
      <w:r>
        <w:t>2.3. Două cohorte care nu trebuie confundate</w:t>
      </w:r>
    </w:p>
    <w:p>
      <w:pPr/>
      <w:r>
        <w:t>În cohorta de sinteză reutilizabilă, D produce P din specificație, iar G produce un constructor care generează P fără acces la intrările ascunse de test. P este apoi executat pe mai multe intrări. Acesta este controlul cel mai curat pentru avantajul reprezentării prin generator.</w:t>
      </w:r>
    </w:p>
    <w:p>
      <w:pPr/>
      <w:r>
        <w:t>În cohorta adaptivă, sistemul poate observa date pe parcurs, iar structura soluției poate depinde de ele. Se evaluează întreaga politică pe mai multe medii și intrări noi. Un P specializat pentru intrarea curentă nu este obligat artificial să fie reutilizabil pe orice altă intrare; în schimb, politica sau constructorul care îl produce trebuie să funcționeze pe instanțe noi.</w:t>
      </w:r>
    </w:p>
    <w:p>
      <w:pPr/>
      <w:r>
        <w:t>Un constructor poate calcula el însuși răspunsul și apoi emite un program care returnează o constantă. Aceasta poate fi o soluție end-to-end corectă, dar nu este dovada că învățarea construcției structurale a ajutat. Se măsoară separat unde este efectuat calculul și se raportează asemenea cazuri. Testul reutilizabil, în care intrarea ascunsă nu este disponibilă la construcție, limitează această explicație alternativă.</w:t>
      </w:r>
    </w:p>
    <w:p>
      <w:pPr>
        <w:pStyle w:val="Heading2"/>
      </w:pPr>
      <w:r>
        <w:t>2.4. Profilul SOP pentru expansiune și revizuire</w:t>
      </w:r>
    </w:p>
    <w:p>
      <w:pPr/>
      <w:r>
        <w:t>Un fir este declarat prin @, referințele $ reprezintă dependențe de valori, iar ~ referă definiții sau context versionat, conform profilului experimental înghețat. Tipurile de fire desemnează interpretoare; ele pot procesa texte și instrucțiuni locale fără a impune tuturor intrărilor scheme rigide. Orice citire de valoare ascunsă într-un interpret trebuie urmărită pentru ca invalidarea să fie corectă.</w:t>
      </w:r>
    </w:p>
    <w:p>
      <w:pPr/>
      <w:r>
        <w:t>Într-o epocă de execuție, numele active au definiții unice, dependențele sunt evaluate topologic, iar rezultatele sunt snapshoturi. O rescriere nu modifică retrospectiv valoarea unei execuții deja înregistrate. Ea produce o versiune nouă, actualizează dependențele și invalidează rezultatele afectate.</w:t>
      </w:r>
    </w:p>
    <w:p>
      <w:pPr/>
      <w:r>
        <w:t>Operațiile de construcție independente, ale căror intrări sunt deja disponibile, pot fi colectate într-un singur lot. Lotul este validat, apoi este comis ca o singură revizie. Dacă aceeași definiție este modificată contradictoriu, lotul este respins sau conflictul este expus modelului; nu se rezolvă tacit prin ordinea accidentală a firelor.</w:t>
      </w:r>
    </w:p>
    <w:p>
      <w:pPr/>
      <w:r>
        <w:t>Adăugările în containere sunt reprezentate prin contribuții cu identificatori distincți și o regulă explicită de agregare. Pentru seturi, ordinea poate fi irelevantă; pentru secvențe, poziția trebuie specificată. O variantă cu snapshot nou și o variantă cu contribuții reunite la sfârșitul lotului sunt testate separat. Un obiect mutabil partajat nu trebuie să ocolească aparent disciplina SSA.</w:t>
      </w:r>
    </w:p>
    <w:p>
      <w:pPr/>
      <w:r>
        <w:t>Cache-ul utilizează versiunea definiției, identitatea interpretului, valorile de intrare și contextul relevant. Dacă un interpret este stochastic, seedul sau rezultatul înghețat intră în identitatea execuției. Invalidarea incompletă este o eroare de sistem, nu o greșeală de raționament a modelului. Un replay determinist al traseului trebuie să reproducă rezultatul în cohorta deterministă.</w:t>
      </w:r>
    </w:p>
    <w:p>
      <w:pPr>
        <w:pStyle w:val="Heading2"/>
      </w:pPr>
      <w:r>
        <w:t>2.5. Egalitatea informației și a resurselor</w:t>
      </w:r>
    </w:p>
    <w:p>
      <w:pPr/>
      <w:r>
        <w:t>D, I, G și A folosesc același API pentru citirea datelor și aceleași verificări publice. În probleme cu informație progresivă, și un program D poate executa bucle și ramificații care citesc această informație. Avantajul lui A nu trebuie să provină dintr-o permisiune pe care alternativa nu o are.</w:t>
      </w:r>
    </w:p>
    <w:p>
      <w:pPr/>
      <w:r>
        <w:t>I și A primesc aceeași politică de observare: aceleași snapshoturi disponibile, aceeași limită de text și aceeași funcție de inspectare. Dacă SOP oferă o proiecție locală a dependențelor, se furnizează un index echivalent și codului obișnuit. O comparație separată testează avantajul inginereasc al proiecției native SOP.</w:t>
      </w:r>
    </w:p>
    <w:p>
      <w:pPr/>
      <w:r>
        <w:t>Pentru studiul principal se pornește de la maximum 16 apeluri LLM, 8.192 tokeni generați în total și 32 de comenzi de inspecție sau execuție pentru I și A. D și G au câte un apel prin definiție, dar același plafon total de generare. Fiecare apel are un context maxim propus de 16.384 tokeni. Se păstrează un contor separat pentru prefillul repetat, care poate domina costul regimurilor iterative.</w:t>
      </w:r>
    </w:p>
    <w:p>
      <w:pPr/>
      <w:r>
        <w:t>Expansiunea are limite inițiale de 256 de fire active, 64 de revizii structurale și 100.000 de operații elementare. Sunt valori de pilot, nu limite teoretice. Ele se ajustează pe validare și se îngheață înaintea confirmării. Se evaluează apoi trei bugete, de 0,5×, 1× și 2× față de profilul înghețat, cu plafonul de context menținut explicit.</w:t>
      </w:r>
    </w:p>
    <w:p>
      <w:pPr/>
      <w:r>
        <w:t>Egalitatea acestor plafoane nu înseamnă egalitate perfectă de FLOP sau latență. Concluzia de eficiență se bazează și pe curbe la calcul măsurat comparabil. Pentru D și G se adaugă un control de eșantionare multiplă cu selecție după teste publice, în același buget total; nu se selectează candidatul pe baza testelor finale ascunse.</w:t>
      </w:r>
    </w:p>
    <w:p>
      <w:pPr>
        <w:pStyle w:val="Heading1"/>
      </w:pPr>
      <w:r>
        <w:t>3. Datele și fine-tuningul politicii de construcție</w:t>
      </w:r>
    </w:p>
    <w:p>
      <w:pPr>
        <w:pStyle w:val="Heading2"/>
      </w:pPr>
      <w:r>
        <w:t>3.1. Familiile de probleme</w:t>
      </w:r>
    </w:p>
    <w:p>
      <w:pPr/>
      <w:r>
        <w:t>Setul principal conține patru familii, câte 25%: transformări de colecții și date cu substructuri variabile; grafuri și reguli cu informație descoperită progresiv; analiză de documente controlate cu evidențe distribuite; probleme cu constrângeri globale și excepții care cer revizuirea descompunerii. Ultima familie previne favorizarea unei strategii care separă totul în subprobleme independente.</w:t>
      </w:r>
    </w:p>
    <w:p>
      <w:pPr/>
      <w:r>
        <w:t>În fiecare familie se păstrează minimum 20% cazuri simple, unde un program scurt este suficient, și minimum 20% cazuri cu interacțiuni puternice între subprobleme. Aceste procente sunt obiective de stratificare; categoriile se definesc din proprietăți ale generatorului înainte de observarea performanței.</w:t>
      </w:r>
    </w:p>
    <w:p>
      <w:pPr/>
      <w:r>
        <w:t>Dimensiunea datelor, adâncimea dependențelor, numărul subproblemelor și numărul reviziilor necesare se variază independent pe cât posibil. O problemă care cere numai mai multe iterații ale aceleiași bucle nu reprezintă singură o probă de generalizare structurală. Se rezervă combinații noi de descompunere, agregare și condiții de oprire.</w:t>
      </w:r>
    </w:p>
    <w:p>
      <w:pPr>
        <w:pStyle w:val="Heading2"/>
      </w:pPr>
      <w:r>
        <w:t>3.2. Trasee reale, nu explicații retrospective</w:t>
      </w:r>
    </w:p>
    <w:p>
      <w:pPr/>
      <w:r>
        <w:t>Profesorul produce o acțiune folosind numai starea disponibilă. Acțiunea este executată, observația este salvată și abia apoi se produce următoarea acțiune. Astfel, datele antrenează o politică de tranziție între stări, nu imitarea unui comentariu retrospectiv despre un program deja cunoscut.</w:t>
      </w:r>
    </w:p>
    <w:p>
      <w:pPr/>
      <w:r>
        <w:t>Pentru o problemă se păstrează până la trei trasee distincte și corecte, cu descompuneri diferite. Traseele pot proveni din algoritmi de referință, căutare controlată sau un profesor neural mai puternic. Validarea lor este independentă de profesor. Un traseu mai scurt nu este considerat automat mai bun dacă omite verificări necesare.</w:t>
      </w:r>
    </w:p>
    <w:p>
      <w:pPr/>
      <w:r>
        <w:t>Se efectuează un audit de cauzalitate prin perechi de lumi: două instanțe au exact aceeași observație inițială, dar diferă în informația încă neobservată. Acțiunea profesorului trebuie să fie aceeași sau să provină din aceeași distribuție condiționată de prefix. Apariția în ținte a unor nume sau decizii explicabile numai prin viitor indică o scurgere de informație.</w:t>
      </w:r>
    </w:p>
    <w:p>
      <w:pPr/>
      <w:r>
        <w:t>Nici rolul de profesor, nici generatorul de date nu este disponibil în evaluarea autonomă. Interpretoarele nu implementează întreaga soluție de referință sub forma unei primitive aparent generice. Când se folosesc interpretoare neurale, greutățile, prompturile și costurile lor sunt identice între condiții.</w:t>
      </w:r>
    </w:p>
    <w:p>
      <w:pPr>
        <w:pStyle w:val="Heading2"/>
      </w:pPr>
      <w:r>
        <w:t>3.3. Stări greșite și recuperare</w:t>
      </w:r>
    </w:p>
    <w:p>
      <w:pPr/>
      <w:r>
        <w:t>Corpusul inițial include trasee corecte și stări parțiale alterate controlat. Exemplele de recuperare cuprind o dependență greșită, un subobiectiv omis, un criteriu de oprire prematur și rezultate incompatibile între subprobleme. Ținta este o continuare executabilă care repară starea, nu simpla propoziție că există o eroare.</w:t>
      </w:r>
    </w:p>
    <w:p>
      <w:pPr/>
      <w:r>
        <w:t>După SFT inițial, I și A sunt rulate pe probleme din antrenare pentru a colecta stările produse de propriile erori. Un profesor propune continuări numai pentru aceste stări accesibile. Acest pas este inspirat de agregarea datelor în imitation learning, care urmărește distribuția de stări întâlnită de politica învățată. Garanțiile teoretice ale DAgger nu sunt presupuse automat pentru profesorul și mediul de aici. [8]</w:t>
      </w:r>
    </w:p>
    <w:p>
      <w:pPr/>
      <w:r>
        <w:t>Se efectuează cel mult două runde de agregare în extensia inițială. În fiecare rundă, jumătate din minibatchuri păstrează exemplele de referință, iar jumătate folosesc stări colectate, cu deduplicare și ponderare pe problemă. Proporția este un hiperparametru de validare, nu o constantă privilegiată.</w:t>
      </w:r>
    </w:p>
    <w:p>
      <w:pPr/>
      <w:r>
        <w:t>Agregarea este o intervenție separată: A cu date suplimentare nu este comparat numai cu I fără această oportunitate. D și G pot primi probleme de regenerare condiționate de aceleași stări deteriorate, dar acestea schimbă sarcina lor; rezultatele se raportează ca o cohortă de recuperare, nu se amestecă cu sinteza inițială într-un singur apel.</w:t>
      </w:r>
    </w:p>
    <w:p>
      <w:pPr>
        <w:pStyle w:val="Heading2"/>
      </w:pPr>
      <w:r>
        <w:t>3.4. Structura unui exemplu și obiectivul</w:t>
      </w:r>
    </w:p>
    <w:p>
      <w:pPr/>
      <w:r>
        <w:t>O înregistrare de traseu conține problema, familia, grupul structural, identitatea mediului, observația înainte de pas, acțiunea modelului, rezultatul real al executorului, bugetele consumate și verdictul local disponibil. Soluția ascunsă și testele finale rămân în metadatele evaluatorului, în afara intrării modelului.</w:t>
      </w:r>
    </w:p>
    <w:p>
      <w:pPr/>
      <w:r>
        <w:t>Pentru D și G, ținta este un program sau un constructor complet. Pentru I și A, țintele sunt acțiunile succesive. Promptul separă instrucțiunile stabile și catalogul de interpretoare de cerința curentă, starea parțială și rezultatele observate. Traseele includ programul și acțiunile externe, fără a necesita explicații verbale despre un raționament intern presupus.</w:t>
      </w:r>
    </w:p>
    <w:p>
      <w:pPr/>
      <w:r>
        <w:t>Lossul principal este normalizat mai întâi pe tokenii acțiunii, apoi pe pașii traseului, apoi pe probleme. În notație compactă: L = media_problemelor(media_pașilor(media_tokenilor(NLL)))). Astfel, o problemă împărțită în 20 de pași nu primește de 20 de ori mai multă greutate decât una rezolvată într-un singur pas. Pentru D și G numărul pașilor supravegheați este unu.</w:t>
      </w:r>
    </w:p>
    <w:p>
      <w:pPr/>
      <w:r>
        <w:t>Lossul se aplică numai acțiunilor sau codului emise de model. Observațiile executorului sunt context, nu ținte de predicție în studiul principal. Pentru date conversaționale se poate folosi o mască assistant-only verificată; pentru format propriu se construiește masca explicit. Documentația TRL descrie aceste diferențe de mască, dar normalizarea pe problemă și pe pas trebuie verificată în implementare. [9]</w:t>
      </w:r>
    </w:p>
    <w:p>
      <w:pPr/>
      <w:r>
        <w:t>Nici lossul mic, nici predicția corectă a următorului token nu reprezintă indicatorul final. Se evaluează succesul întregului episod. Dacă un traseu conține o eroare urmată de recuperare, alegerea de a supraveghea și acțiunea eronată este explicită: în condiția principală, acțiunea eronată este context al recuperării, nu o țintă pozitivă.</w:t>
      </w:r>
    </w:p>
    <w:p>
      <w:pPr>
        <w:pStyle w:val="Heading2"/>
      </w:pPr>
      <w:r>
        <w:t>3.5. Seturile de date și checkpointurile</w:t>
      </w:r>
    </w:p>
    <w:tbl>
      <w:tblPr>
        <w:tblW w:type="auto" w:w="0"/>
        <w:jc w:val="center"/>
        <w:tblLayout w:type="fixed"/>
        <w:tblLook w:firstColumn="1" w:firstRow="1" w:lastColumn="0" w:lastRow="0" w:noHBand="0" w:noVBand="1" w:val="04A0"/>
        <w:tblBorders>
          <w:top w:val="single" w:sz="4" w:color="DCE3E8"/>
          <w:left w:val="single" w:sz="4" w:color="DCE3E8"/>
          <w:bottom w:val="single" w:sz="4" w:color="DCE3E8"/>
          <w:right w:val="single" w:sz="4" w:color="DCE3E8"/>
          <w:insideH w:val="single" w:sz="4" w:color="DCE3E8"/>
          <w:insideV w:val="single" w:sz="4" w:color="DCE3E8"/>
        </w:tblBorders>
      </w:tblPr>
      <w:tblGrid>
        <w:gridCol w:w="2551"/>
        <w:gridCol w:w="7030"/>
      </w:tblGrid>
      <w:tr>
        <w:trPr>
          <w:cantSplit/>
          <w:tblHeader/>
        </w:trPr>
        <w:tc>
          <w:tcPr>
            <w:tcW w:type="dxa" w:w="2551"/>
            <w:vAlign w:val="center"/>
            <w:shd w:fill="17364D"/>
            <w:tcMar>
              <w:top w:w="90" w:type="dxa"/>
              <w:bottom w:w="90" w:type="dxa"/>
              <w:left w:w="105" w:type="dxa"/>
              <w:right w:w="105" w:type="dxa"/>
            </w:tcMar>
          </w:tcPr>
          <w:p>
            <w:pPr>
              <w:pStyle w:val="TableText"/>
              <w:keepNext/>
            </w:pPr>
            <w:r>
              <w:rPr>
                <w:b/>
                <w:color w:val="FFFFFF"/>
                <w:sz w:val="20"/>
              </w:rPr>
              <w:t>Componentă</w:t>
            </w:r>
          </w:p>
        </w:tc>
        <w:tc>
          <w:tcPr>
            <w:tcW w:type="dxa" w:w="7030"/>
            <w:vAlign w:val="center"/>
            <w:shd w:fill="17364D"/>
            <w:tcMar>
              <w:top w:w="90" w:type="dxa"/>
              <w:bottom w:w="90" w:type="dxa"/>
              <w:left w:w="105" w:type="dxa"/>
              <w:right w:w="105" w:type="dxa"/>
            </w:tcMar>
          </w:tcPr>
          <w:p>
            <w:pPr>
              <w:pStyle w:val="TableText"/>
              <w:keepNext/>
            </w:pPr>
            <w:r>
              <w:rPr>
                <w:b/>
                <w:color w:val="FFFFFF"/>
                <w:sz w:val="20"/>
              </w:rPr>
              <w:t>Propunere inițială</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Familiarizare comună</w:t>
            </w:r>
          </w:p>
        </w:tc>
        <w:tc>
          <w:tcPr>
            <w:tcW w:type="dxa" w:w="7030"/>
            <w:vAlign w:val="center"/>
            <w:shd w:fill="F1F5F7"/>
            <w:tcMar>
              <w:top w:w="90" w:type="dxa"/>
              <w:bottom w:w="90" w:type="dxa"/>
              <w:left w:w="105" w:type="dxa"/>
              <w:right w:w="105" w:type="dxa"/>
            </w:tcMar>
          </w:tcPr>
          <w:p>
            <w:pPr>
              <w:pStyle w:val="TableText"/>
            </w:pPr>
            <w:r>
              <w:rPr>
                <w:sz w:val="20"/>
              </w:rPr>
              <w:t>2.000 de microprobleme fără structurile țintă, prezentate echilibrat în J, S, forma de constructor și forma de acțiune. Toate condițiile pornesc din același checkpoint rezultat.</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Pilot</w:t>
            </w:r>
          </w:p>
        </w:tc>
        <w:tc>
          <w:tcPr>
            <w:tcW w:type="dxa" w:w="7030"/>
            <w:vAlign w:val="center"/>
            <w:shd w:fill="FFFFFF"/>
            <w:tcMar>
              <w:top w:w="90" w:type="dxa"/>
              <w:bottom w:w="90" w:type="dxa"/>
              <w:left w:w="105" w:type="dxa"/>
              <w:right w:w="105" w:type="dxa"/>
            </w:tcMar>
          </w:tcPr>
          <w:p>
            <w:pPr>
              <w:pStyle w:val="TableText"/>
            </w:pPr>
            <w:r>
              <w:rPr>
                <w:sz w:val="20"/>
              </w:rPr>
              <w:t>8.000 de probleme, cu soluții pentru toate cele opt condiții și până la trei trasee verificate pentru fiecare regim etapizat. Un singur traseu per problemă este selectat la fiecare trecere.</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Antrenare principală</w:t>
            </w:r>
          </w:p>
        </w:tc>
        <w:tc>
          <w:tcPr>
            <w:tcW w:type="dxa" w:w="7030"/>
            <w:vAlign w:val="center"/>
            <w:shd w:fill="F1F5F7"/>
            <w:tcMar>
              <w:top w:w="90" w:type="dxa"/>
              <w:bottom w:w="90" w:type="dxa"/>
              <w:left w:w="105" w:type="dxa"/>
              <w:right w:w="105" w:type="dxa"/>
            </w:tcMar>
          </w:tcPr>
          <w:p>
            <w:pPr>
              <w:pStyle w:val="TableText"/>
            </w:pPr>
            <w:r>
              <w:rPr>
                <w:sz w:val="20"/>
              </w:rPr>
              <w:t>32.000 de probleme, câte 8.000 pe familie. Identitățile problemelor și ordinea prezentării sunt împerecheate între condiții.</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Validare</w:t>
            </w:r>
          </w:p>
        </w:tc>
        <w:tc>
          <w:tcPr>
            <w:tcW w:type="dxa" w:w="7030"/>
            <w:vAlign w:val="center"/>
            <w:shd w:fill="FFFFFF"/>
            <w:tcMar>
              <w:top w:w="90" w:type="dxa"/>
              <w:bottom w:w="90" w:type="dxa"/>
              <w:left w:w="105" w:type="dxa"/>
              <w:right w:w="105" w:type="dxa"/>
            </w:tcMar>
          </w:tcPr>
          <w:p>
            <w:pPr>
              <w:pStyle w:val="TableText"/>
            </w:pPr>
            <w:r>
              <w:rPr>
                <w:sz w:val="20"/>
              </w:rPr>
              <w:t>1.200 de probleme din grupuri structurale disjuncte, folosite pentru hiperparametri, bugete și selecția checkpointului.</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Test principal</w:t>
            </w:r>
          </w:p>
        </w:tc>
        <w:tc>
          <w:tcPr>
            <w:tcW w:type="dxa" w:w="7030"/>
            <w:vAlign w:val="center"/>
            <w:shd w:fill="F1F5F7"/>
            <w:tcMar>
              <w:top w:w="90" w:type="dxa"/>
              <w:bottom w:w="90" w:type="dxa"/>
              <w:left w:w="105" w:type="dxa"/>
              <w:right w:w="105" w:type="dxa"/>
            </w:tcMar>
          </w:tcPr>
          <w:p>
            <w:pPr>
              <w:pStyle w:val="TableText"/>
            </w:pPr>
            <w:r>
              <w:rPr>
                <w:sz w:val="20"/>
              </w:rPr>
              <w:t>2.400 de probleme din 1.200 de structuri noi, câte două instanțieri, cu ponderi egale între familii. Puterea se verifică prin simulare după pilot.</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Probe secundare</w:t>
            </w:r>
          </w:p>
        </w:tc>
        <w:tc>
          <w:tcPr>
            <w:tcW w:type="dxa" w:w="7030"/>
            <w:vAlign w:val="center"/>
            <w:shd w:fill="FFFFFF"/>
            <w:tcMar>
              <w:top w:w="90" w:type="dxa"/>
              <w:bottom w:w="90" w:type="dxa"/>
              <w:left w:w="105" w:type="dxa"/>
              <w:right w:w="105" w:type="dxa"/>
            </w:tcMar>
          </w:tcPr>
          <w:p>
            <w:pPr>
              <w:pStyle w:val="TableText"/>
            </w:pPr>
            <w:r>
              <w:rPr>
                <w:sz w:val="20"/>
              </w:rPr>
              <w:t>Câte 800 pentru informație progresivă, dimensiune/adâncime și recuperare; 400 pentru transfer de domeniu. Un set distinct de 800 de probleme reutilizabile testează G versus D fără acces la intrările ascunse.</w:t>
            </w:r>
          </w:p>
        </w:tc>
      </w:tr>
    </w:tbl>
    <w:p>
      <w:pPr>
        <w:spacing w:after="40" w:before="0" w:line="40" w:lineRule="exact"/>
      </w:pPr>
      <w:r>
        <w:rPr>
          <w:sz w:val="4"/>
        </w:rPr>
      </w:r>
    </w:p>
    <w:p>
      <w:pPr/>
      <w:r>
        <w:t>Partițiile sunt separate pe structură semantică, nu pe traseu. Toate traseele, reprezentările, parafrazele și coruperile aceleiași probleme rămân împreună. Profesorul de recuperare nu vede stări din test. Familiarizarea comună nu conține exemple de descompunere din familiile rezervate generalizării.</w:t>
      </w:r>
    </w:p>
    <w:p>
      <w:pPr/>
      <w:r>
        <w:t>Modelele de pornire propuse sunt Qwen/Qwen3-1.7B-Base și, pentru replicare de capacitate, Qwen/Qwen3-4B-Base. Se fixează revizia exactă a greutăților și tokenizerului. Pentru estimarea costului real al introducerii reprezentării se păstrează și un control fără familiarizare comună. [10,11]</w:t>
      </w:r>
    </w:p>
    <w:p>
      <w:pPr>
        <w:pStyle w:val="Heading2"/>
      </w:pPr>
      <w:r>
        <w:t>3.6. Rețeta de fine-tuning și controlul calculului</w:t>
      </w:r>
    </w:p>
    <w:p>
      <w:pPr/>
      <w:r>
        <w:t>Rețeta inițială folosește LoRA cu rang 32, alpha 64 și dropout 0,05 pe aceleași proiecții de atenție și MLP, fără tokeni noi. Se pornește cu BF16; QLoRA este un înlocuitor comun tuturor condițiilor sau o ablație separată. Embeddingurile înghețate previn introducerea unei diferențe ascunse prin tokenizare specială numai pentru SOP. [12,13]</w:t>
      </w:r>
    </w:p>
    <w:p>
      <w:pPr/>
      <w:r>
        <w:t>Optimizatorul propus este AdamW, cu rată 0,0001, beta1 0,9, beta2 0,95, epsilon 10⁻⁸, weight decay 0,01 și normă de gradient limitată la 1. Batchul efectiv cuprinde 32 de probleme sau trasee, nu 32 de pași independenți. Se fac trei treceri prin dataset, cu aproximativ 3.000 de actualizări, warmup 3% și descreștere cosine la 10% din rata inițială.</w:t>
      </w:r>
    </w:p>
    <w:p>
      <w:pPr/>
      <w:r>
        <w:t>Un traseu lung poate fi procesat în ferestre locale, dar gradientele sunt agregate astfel încât problema să păstreze greutatea stabilită. Limita inițială de antrenare este 8.192 tokeni pe exemplu local. Observațiile care depășesc limita sunt proiectate prin aceeași politică pentru I și A sau sunt marcate drept depășiri; țintele executabile nu sunt trunchiate tacit.</w:t>
      </w:r>
    </w:p>
    <w:p>
      <w:pPr/>
      <w:r>
        <w:t>În pilot se caută simetric ratele 0,00005 și 0,0001 și rangurile 16 și 32. Numărul încercărilor și bugetul de selecție sunt aceleași. Analiza principală compară checkpointuri la expunere egală în probleme; o a doua analiză oprește condițiile la calcul de antrenare comparabil. Lungimea mai mare a traseelor este parte din costul metodei și nu este ascunsă prin raportarea numai a numărului de exemple.</w:t>
      </w:r>
    </w:p>
    <w:p>
      <w:pPr/>
      <w:r>
        <w:t>Se folosește inițial SFT, fără recompense pentru numărul de pași, numărul firelor sau adâncimea recursivității. O etapă ulterioară de preferințe sau reinforcement learning poate optimiza corectitudinea și costul, dar se aplică simetric controalelor și se raportează separat. O recompensă pentru „mai multă descompunere” ar putea produce fragmentare inutilă.</w:t>
      </w:r>
    </w:p>
    <w:p>
      <w:pPr/>
      <w:r>
        <w:t>Înaintea experimentului principal se verifică supraînvățarea a 128 de probleme, validitatea măștilor, reproducerea traseelor și compatibilitatea runtime-ului. Cinci semințe independente sunt folosite în confirmare; semnificația unei diferențe nu se deduce dintr-o singură antrenare favorabilă.</w:t>
      </w:r>
    </w:p>
    <w:p>
      <w:pPr>
        <w:pStyle w:val="Heading1"/>
      </w:pPr>
      <w:r>
        <w:t>4. Experimente și ablații cauzale</w:t>
      </w:r>
    </w:p>
    <w:p>
      <w:pPr>
        <w:pStyle w:val="Heading2"/>
      </w:pPr>
      <w:r>
        <w:t>4.1. E0 — Corectitudinea constructorului și a executorului</w:t>
      </w:r>
    </w:p>
    <w:p>
      <w:pPr/>
      <w:r>
        <w:t>Un set de minimum 10.000 de cazuri generate verifică aplicația fragmentelor, referințele, commitul, invalidarea și replayul. Se injectează revizii care afectează un singur subgraf și se verifică dacă sunt invalidate exact rezultatele dependente. Pentru controlul J, operațiile de editare sunt versionate și jurnalizate echivalent.</w:t>
      </w:r>
    </w:p>
    <w:p>
      <w:pPr/>
      <w:r>
        <w:t>Se testează explicit ciclurile accidentale, referințele la versiuni vechi, conflictele dintre adăugări, containerele incomplete și buclele de expansiune fără progres. Depășirea unui plafon produce un eșec explicit. Executorul nu remediază automat dependența intenționată de model folosind informație din soluția de referință.</w:t>
      </w:r>
    </w:p>
    <w:p>
      <w:pPr/>
      <w:r>
        <w:t>Un test suplimentar compară programul final cu traseul care a construit-o. Într-un regim adaptiv, programul final singur poate să nu conțină întregul proces de rezolvare; rezultatul trebuie reprodus din jurnal, constructor și observații. Un artifact final corect fără traseu reproductibil este un succes funcțional, dar nu un succes complet de reproductibilitate.</w:t>
      </w:r>
    </w:p>
    <w:p>
      <w:pPr>
        <w:pStyle w:val="Heading2"/>
      </w:pPr>
      <w:r>
        <w:t>4.2. E1 — Generator închis versus program final</w:t>
      </w:r>
    </w:p>
    <w:p>
      <w:pPr/>
      <w:r>
        <w:t>Se compară G-J cu D-J și G-S cu D-S în cohorta reutilizabilă. Constructorul nu vede intrările ascunse și nu poate apela un alt model. Se includ atât familii cu structură repetitivă, unde un generator poate comprima soluția, cât și familii fără repetiție utilă.</w:t>
      </w:r>
    </w:p>
    <w:p>
      <w:pPr/>
      <w:r>
        <w:t>Se măsoară lungimea lui G, lungimea lui P, timpul de construcție, operațiile totale și succesul pe intrări noi. O creștere a succesului numai pentru programe cu multe fragmente similare susține o explicație prin compresie și reutilizare. Nu demonstrează automat că modelul a învățat să facă descompuneri semantice generale.</w:t>
      </w:r>
    </w:p>
    <w:p>
      <w:pPr/>
      <w:r>
        <w:t>Un control suplimentar permite programului D aceleași funcții auxiliare și bucle. Dacă G câștigă numai față de o variantă D în care repetițiile au fost desfășurate textual, rezultatul este un artefact al alternativei slabe. Se păstrează și programe D idiomatice produse de un profesor independent.</w:t>
      </w:r>
    </w:p>
    <w:p>
      <w:pPr>
        <w:pStyle w:val="Heading2"/>
      </w:pPr>
      <w:r>
        <w:t>4.3. E2 — Constructor adaptiv versus dezvoltare incrementală</w:t>
      </w:r>
    </w:p>
    <w:p>
      <w:pPr/>
      <w:r>
        <w:t>Comparația principală este A versus I, în ambele reprezentări. Ambele pot executa, inspecta, repara și folosi același context. Diferența este posibilitatea și antrenarea de a emite proceduri de construcție parametrizate, în locul fragmentelor concrete.</w:t>
      </w:r>
    </w:p>
    <w:p>
      <w:pPr/>
      <w:r>
        <w:t>Se raportează succesul pe probleme statice, pe informație progresivă și pe probleme cu constrângeri globale. A este susținut specific numai dacă depășește I la informație și cost comparabile. Dacă ambele depășesc D, dar A nu depășește I, concluzia este utilitatea dezvoltării iterative, nu necesitatea metaprogramării.</w:t>
      </w:r>
    </w:p>
    <w:p>
      <w:pPr/>
      <w:r>
        <w:t>Se verifică utilizarea efectivă a constructorilor: câte sunt parametrizate, pe câte instanțe funcționează și câtă logică repetitivă înlocuiesc. Un raport mai mare de expansiune nu este o recompensă; poate semnala inclusiv generarea inutilă a unui graf foarte mare.</w:t>
      </w:r>
    </w:p>
    <w:p>
      <w:pPr>
        <w:pStyle w:val="Heading2"/>
      </w:pPr>
      <w:r>
        <w:t>4.4. E3 — Separarea descompunerii, feedbackului și stării externe</w:t>
      </w:r>
    </w:p>
    <w:p>
      <w:pPr/>
      <w:r>
        <w:t>Se introduc trei controale: generare ierarhică a unor funcții încă neimplementate; construcție incrementală fără rezultate numerice, numai cu validare structurală; construcție cu rezultate complete ale execuției. Toate primesc același buget de calcul sau curbe comparabile de cost.</w:t>
      </w:r>
    </w:p>
    <w:p>
      <w:pPr/>
      <w:r>
        <w:t>Validarea structurală poate include parse, referințe definite și aciclicitate, dar nu corectitudinea rezultatului. Feedbackul funcțional poate include numai teste publice sau proprietăți accesibile. Diferența dintre cele două indică dacă beneficiul vine din disciplina construcției sau din informația furnizată de execuție.</w:t>
      </w:r>
    </w:p>
    <w:p>
      <w:pPr/>
      <w:r>
        <w:t>Ablația fără feedback se antrenează în acel regim; simpla ascundere a observațiilor la test ar introduce o schimbare de distribuție. Intervențiile la test asupra observațiilor sunt păstrate ca probe de dependență cauzală, nu ca singurul estimator al valorii feedbackului.</w:t>
      </w:r>
    </w:p>
    <w:p>
      <w:pPr/>
      <w:r>
        <w:t>O altă comparație oferă tuturor metodelor o memorie externă identică, fără posibilitatea de a modifica programul. Astfel se verifică dacă avantajul atribuit construcției provine de fapt din stocarea și recuperarea informației. Costul scrierii, citirii și contextului este inclus.</w:t>
      </w:r>
    </w:p>
    <w:p>
      <w:pPr>
        <w:pStyle w:val="Heading2"/>
      </w:pPr>
      <w:r>
        <w:t>4.5. E4 — Ce ajută și ce încurcă în SSA/SOP</w:t>
      </w:r>
    </w:p>
    <w:p>
      <w:pPr/>
      <w:r>
        <w:t>Controlul J-SSA separă atribuirea unică de sintaxa SOP. Controlul J compilat într-un executor cu dependențe separă disciplina runtime-ului de forma emisă de model. Se compară și identificatori generați automat versus identificatori emiși neural, în ambele reprezentări când este posibil.</w:t>
      </w:r>
    </w:p>
    <w:p>
      <w:pPr/>
      <w:r>
        <w:t>Se variază stabilitatea numelor, numărul valorilor active și distanța dintre definiție și utilizare. În testele de reparare, se injectează aceeași modificare semantică în programe echivalente. Se măsoară timpul până la reparare, dimensiunea zonei modificate și proporția rezultatelor neafectate păstrate corect.</w:t>
      </w:r>
    </w:p>
    <w:p>
      <w:pPr/>
      <w:r>
        <w:t>Avantajul cache-ului este măsurat în două regimuri: cache dezactivat pentru izolarea calității politicii și cache activat pentru utilitatea sistemului complet. Programarea incrementală obișnuită primește memoizare și diagnostic comparabile. Altfel, o funcționalitate matură a executorului SOP ar fi confundată cu o capacitate învățată.</w:t>
      </w:r>
    </w:p>
    <w:p>
      <w:pPr>
        <w:pStyle w:val="Heading2"/>
      </w:pPr>
      <w:r>
        <w:t>4.6. E5 — Granularitatea, containerele și epocile de execuție</w:t>
      </w:r>
    </w:p>
    <w:p>
      <w:pPr/>
      <w:r>
        <w:t>Se compară fire foarte mici, subcircuite de dimensiune intermediară și operații locale mai ample. Granularitatea este descrisă prin numărul operațiilor elementare, dependențele externe și reutilizarea observată. Numărul redus de fire poate ascunde un jseval monolitic; numărul mare poate reprezenta numai contabilitate inutilă.</w:t>
      </w:r>
    </w:p>
    <w:p>
      <w:pPr/>
      <w:r>
        <w:t>Pentru colecții, un control folosește bucle sau combinatori peste date, altul expansiune în câte un subcircuit pentru elementele descoperite, iar un al treilea folosește loturi de subcircuite. Acestea au aceleași reguli semantice de agregare. Se urmărește pragul de cardinalitate la care expansiunea devine mai scumpă sau mai predispusă la erori decât procesarea compactă.</w:t>
      </w:r>
    </w:p>
    <w:p>
      <w:pPr/>
      <w:r>
        <w:t>Se compară commitul după fiecare modificare cu aplicarea într-un singur lot a modificărilor independente. Numărul mai mic de epoci poate reduce overheadul, dar poate întârzia feedbackul sau face erorile mai greu de localizat. Se măsoară ambele efecte; optimizarea nu devine o condiție obligatorie a întregului limbaj.</w:t>
      </w:r>
    </w:p>
    <w:p>
      <w:pPr>
        <w:pStyle w:val="Heading2"/>
      </w:pPr>
      <w:r>
        <w:t>4.7. E6 — Recursivitate și condiții de oprire</w:t>
      </w:r>
    </w:p>
    <w:p>
      <w:pPr/>
      <w:r>
        <w:t>Adâncimea maximă este variată între 0, 1, 2 și 4 niveluri de delegare neurală, cu buget total constant. În această extensie, și controlul incremental poate delega subprobleme prin același API. Se compară apeluri ale aceluiași model cu o variantă de control care rezolvă subproblemele local, fără a presupune că recursivitatea neurală este indispensabilă.</w:t>
      </w:r>
    </w:p>
    <w:p>
      <w:pPr/>
      <w:r>
        <w:t>Politica trebuie să învețe când să descompună, când să execute direct și când să se oprească. Se includ exemple în care un pas direct este optim și exemple în care o subproblemă aparent independentă trebuie reunificată. Criteriul de oprire este satisfacerea obiectivului și a verificărilor disponibile, nu atingerea unui număr dorit de fire.</w:t>
      </w:r>
    </w:p>
    <w:p>
      <w:pPr/>
      <w:r>
        <w:t>Se loghează subproblemele repetate, ciclurile de delegare, expansiunile fără progres și pierderile de informație la agregare. Un plafon care oprește o buclă previne consumul nelimitat, dar nu transformă episodul într-un succes. Curba performanță–adâncime este un rezultat central, inclusiv când este nemonotonă.</w:t>
      </w:r>
    </w:p>
    <w:p>
      <w:pPr>
        <w:pStyle w:val="Heading2"/>
      </w:pPr>
      <w:r>
        <w:t>4.8. E7 — SFT pe trasee, curriculum și recuperare</w:t>
      </w:r>
    </w:p>
    <w:p>
      <w:pPr/>
      <w:r>
        <w:t>Se compară antrenarea numai pe programe finale cu antrenarea pe trasee curate, apoi cu trasee plus recuperări controlate și cu agregare de stări produse de model. Numărul problemelor și calculul total sunt raportate separat. I primește aceleași tipuri de supraveghere ca A.</w:t>
      </w:r>
    </w:p>
    <w:p>
      <w:pPr/>
      <w:r>
        <w:t>Curriculumul de pornire trece de la construcții fără ramificare la compoziții, apoi la revizuiri și excepții. Un control amestecă aceleași exemple din prima zi, la același buget. Diferența arată dacă ordinea învățării contribuie la rezultat sau dacă dificultatea era mai degrabă lipsa datelor potrivite.</w:t>
      </w:r>
    </w:p>
    <w:p>
      <w:pPr/>
      <w:r>
        <w:t>Se include o ablație cu trasee segmentate mecanic dintr-un program final. Dacă aceasta funcționează la fel de bine ca traseele construite pe observații reale, beneficiul poate proveni din expunerea la fragmente, nu din învățarea unei politici adaptive. Dacă pierde mai ales în problemele cu informație progresivă, avem o explicație mai specifică.</w:t>
      </w:r>
    </w:p>
    <w:p>
      <w:pPr>
        <w:pStyle w:val="Heading2"/>
      </w:pPr>
      <w:r>
        <w:t>4.9. E8 — Probele cauzale ale descompunerii</w:t>
      </w:r>
    </w:p>
    <w:p>
      <w:pPr/>
      <w:r>
        <w:t>În medii sintetice se păstrează prefixul observațiilor și se modifică numai o informație care devine vizibilă ulterior. O politică adaptivă utilă trebuie să modifice ramura relevantă după observație, fără a modifica arbitrar părțile neafectate. Se verifică intervențional această relație, nu numai corelația dintre un traseu lung și succes.</w:t>
      </w:r>
    </w:p>
    <w:p>
      <w:pPr/>
      <w:r>
        <w:t>Pentru diagnostic se folosesc trei intervenții de profesor: subobiective corecte cu rezolvarea lăsată modelului; rezultate corecte ale subproblemelor cu agregarea lăsată modelului; subobiective perturbate cu posibilitatea de reparare. Aceste probe localizează blocajul în planificare, rezolvare locală sau combinare. Nu sunt incluse în scorul autonom principal.</w:t>
      </w:r>
    </w:p>
    <w:p>
      <w:pPr/>
      <w:r>
        <w:t>Testele locale nu sunt suficiente pentru corectitudinea globală. De exemplu, două subprobleme pot respecta separat un buget, dar împreună să îl depășească, sau pot produce concluzii reciproc incompatibile. Cohorta cu dependențe globale cere explicit verificarea compoziției finale.</w:t>
      </w:r>
    </w:p>
    <w:p>
      <w:pPr>
        <w:pStyle w:val="Heading2"/>
      </w:pPr>
      <w:r>
        <w:t>4.10. E9 — Transfer și aplicație pe documente</w:t>
      </w:r>
    </w:p>
    <w:p>
      <w:pPr/>
      <w:r>
        <w:t>Toate modelele sunt aduse într-un mediu comun de JavaScript modular sau într-un editor incremental comun, fără constructori SOP. Se măsoară transferul imediat și readaptarea după 256, 1.024 și 4.096 de exemple identice pentru toate condițiile. Checkpointul familiarizat, fără antrenarea experimentală, constituie un control suplimentar.</w:t>
      </w:r>
    </w:p>
    <w:p>
      <w:pPr/>
      <w:r>
        <w:t>Transferul persistent ar susține învățarea unei proceduri de rezolvare, nu numai folosirea unui runtime convenabil. Lipsa transferului imediat poate fi un cost de schimbare a interfeței; curba de readaptare este necesară înaintea unei concluzii mai puternice.</w:t>
      </w:r>
    </w:p>
    <w:p>
      <w:pPr/>
      <w:r>
        <w:t>Aplicația inițială pentru cercetarea pe documente pornește de la extragerea unor fapte, identificarea referințelor, verificarea unor incompatibilități și raportarea evidențelor. Unele entități sau dependențe sunt descoperite abia după analiza unui fragment, ceea ce permite testarea expansiunii adaptive. Controlul incremental și cel cu bucle primesc exact aceleași fragmente și operații de analiză.</w:t>
      </w:r>
    </w:p>
    <w:p>
      <w:pPr/>
      <w:r>
        <w:t>Pentru text natural se raportează separat erorile extractorului, ale descompunerii și ale agregării. În evaluări privind anti-smoothingul sau relevanța pentru o persoană, obiectivul și evaluatorul trebuie stabilite independent. Un circuit inspectabil poate ajuta auditul, dar nu garantează fidelitatea semantică a fiecărui interpret.</w:t>
      </w:r>
    </w:p>
    <w:p>
      <w:pPr>
        <w:pStyle w:val="Heading1"/>
      </w:pPr>
      <w:r>
        <w:t>5. Analiza și deciziile de cercetare</w:t>
      </w:r>
    </w:p>
    <w:p>
      <w:pPr>
        <w:pStyle w:val="Heading2"/>
      </w:pPr>
      <w:r>
        <w:t>5.1. Ce constituie un succes</w:t>
      </w:r>
    </w:p>
    <w:p>
      <w:pPr/>
      <w:r>
        <w:t>Succesul principal este rezolvarea completă în buget, verificată de un evaluator ascuns. Pentru programele reutilizabile se cer minimum 64 de intrări ascunse și cazurile-limită prescrise, sau verificare exhaustivă pe domenii mici. Pentru politici adaptive se folosesc medii noi, cu reset complet între episoade, iar succesul se calculează pe episod.</w:t>
      </w:r>
    </w:p>
    <w:p>
      <w:pPr/>
      <w:r>
        <w:t>Se raportează distinct succesul funcțional, validitatea structurii, reproducibilitatea traseului și respectarea limitelor. O eroare de parser, o expansiune fără oprire sau o depășire de context rămâne în numitor ca eșec. Testele ascunse nu sunt folosite pentru alegerea pașilor, oprire sau selectarea candidatului.</w:t>
      </w:r>
    </w:p>
    <w:p>
      <w:pPr/>
      <w:r>
        <w:t>Indicatorii de mecanism includ subprobleme redundante, dependențe omise, contradicții între rezultate locale, proporția lucrului reutilizat după revizie și recuperarea după perturbări. Nu există o „rată de descompunere corectă” bazată exclusiv pe coincidența cu traseul profesorului, deoarece pot exista mai multe descompuneri valide.</w:t>
      </w:r>
    </w:p>
    <w:p>
      <w:pPr>
        <w:pStyle w:val="Heading2"/>
      </w:pPr>
      <w:r>
        <w:t>5.2. Contrastele confirmatorii</w:t>
      </w:r>
    </w:p>
    <w:p>
      <w:pPr/>
      <w:r>
        <w:t>Cele șase contraste preregistrate sunt: G–D în cohorta reutilizabilă, mediat peste J și S; A–I pe testul principal, mediat peste J și S; interacțiunea dintre A–I și reprezentarea SOP; interacțiunea dintre A–I și informația progresivă; transferul A–I după 1.024 de exemple în mediul comun; diferența A–I la rata de recuperare după coruperi controlate.</w:t>
      </w:r>
    </w:p>
    <w:p>
      <w:pPr/>
      <w:r>
        <w:t>I–D, formele J-SSA și ablațiile de granularitate sunt raportate ca mecanisme secundare, dacă nu sunt promovate într-un nou studiu confirmatoriu cu propriile teste înghețate. Un contrast nu devine „principal” după observarea rezultatului favorabil.</w:t>
      </w:r>
    </w:p>
    <w:p>
      <w:pPr/>
      <w:r>
        <w:t>Efectele sunt diferențe absolute ale ratelor de succes. Se păstrează împerecherea pe problemă, structură, condițiile mediului și sămânța antrenării. Evaluarea stochastică suplimentară folosește aceleași seeduri de mediu, iar repetările de sampling nu sunt tratate ca antrenări independente.</w:t>
      </w:r>
    </w:p>
    <w:p>
      <w:pPr>
        <w:pStyle w:val="Heading2"/>
      </w:pPr>
      <w:r>
        <w:t>5.3. Putere și incertitudine</w:t>
      </w:r>
    </w:p>
    <w:p>
      <w:pPr/>
      <w:r>
        <w:t>Se folosesc cinci semințe în confirmare și intervale prin bootstrap pe blocuri structurale și semințe, păstrând împerecherea condițiilor. Familia este un strat cu pondere fixă; nu se tratează cele patru familii drept o estimare suficientă a tuturor domeniilor posibile. Se raportează și variația efectelor între semințe și familii. [14]</w:t>
      </w:r>
    </w:p>
    <w:p>
      <w:pPr/>
      <w:r>
        <w:t>Pentru cele șase contraste, eroarea familială este limitată la 0,05. Se folosesc intervale Bonferroni la nivel individual 1 − 0,05/6 sau o procedură simultană preregistrată. Celelalte analize sunt exploratorii. Raportarea numai a unei valori p nu este suficientă pentru susținerea sau infirmarea mecanismului.</w:t>
      </w:r>
    </w:p>
    <w:p>
      <w:pPr/>
      <w:r>
        <w:t>Diferența de interes inițială este +0,05 în rata de succes, iar marja de echivalență practică este ±0,03. Pentru o singură comparație împerecheată fără clustering, aproximația n ≈ (1,96 + 0,84)²q/δ² dă aproximativ 941 de unități independente când q = 0,30 și δ = 0,05. Calculul este orientativ și nu include corecția multiplă sau variația antrenării.</w:t>
      </w:r>
    </w:p>
    <w:p>
      <w:pPr/>
      <w:r>
        <w:t>Pilotul furnizează ratele de dezacord și corelațiile necesare simulării analizei complete. Numărul final de structuri este înghețat înainte de confirmare. Cele 1.200 de structuri propuse nu garantează automat puterea dorită; duplicarea instanțelor aceleiași structuri nu rezolvă o lipsă de diversitate independentă.</w:t>
      </w:r>
    </w:p>
    <w:p>
      <w:pPr>
        <w:pStyle w:val="Heading2"/>
      </w:pPr>
      <w:r>
        <w:t>5.4. Verdictul pentru ipoteze</w:t>
      </w:r>
    </w:p>
    <w:tbl>
      <w:tblPr>
        <w:tblW w:type="auto" w:w="0"/>
        <w:jc w:val="center"/>
        <w:tblLayout w:type="fixed"/>
        <w:tblLook w:firstColumn="1" w:firstRow="1" w:lastColumn="0" w:lastRow="0" w:noHBand="0" w:noVBand="1" w:val="04A0"/>
        <w:tblBorders>
          <w:top w:val="single" w:sz="4" w:color="DCE3E8"/>
          <w:left w:val="single" w:sz="4" w:color="DCE3E8"/>
          <w:bottom w:val="single" w:sz="4" w:color="DCE3E8"/>
          <w:right w:val="single" w:sz="4" w:color="DCE3E8"/>
          <w:insideH w:val="single" w:sz="4" w:color="DCE3E8"/>
          <w:insideV w:val="single" w:sz="4" w:color="DCE3E8"/>
        </w:tblBorders>
      </w:tblPr>
      <w:tblGrid>
        <w:gridCol w:w="2551"/>
        <w:gridCol w:w="7030"/>
      </w:tblGrid>
      <w:tr>
        <w:trPr>
          <w:cantSplit/>
          <w:tblHeader/>
        </w:trPr>
        <w:tc>
          <w:tcPr>
            <w:tcW w:type="dxa" w:w="2551"/>
            <w:vAlign w:val="center"/>
            <w:shd w:fill="17364D"/>
            <w:tcMar>
              <w:top w:w="90" w:type="dxa"/>
              <w:bottom w:w="90" w:type="dxa"/>
              <w:left w:w="105" w:type="dxa"/>
              <w:right w:w="105" w:type="dxa"/>
            </w:tcMar>
          </w:tcPr>
          <w:p>
            <w:pPr>
              <w:pStyle w:val="TableText"/>
              <w:keepNext/>
            </w:pPr>
            <w:r>
              <w:rPr>
                <w:b/>
                <w:color w:val="FFFFFF"/>
                <w:sz w:val="20"/>
              </w:rPr>
              <w:t>Rezultat observat</w:t>
            </w:r>
          </w:p>
        </w:tc>
        <w:tc>
          <w:tcPr>
            <w:tcW w:type="dxa" w:w="7030"/>
            <w:vAlign w:val="center"/>
            <w:shd w:fill="17364D"/>
            <w:tcMar>
              <w:top w:w="90" w:type="dxa"/>
              <w:bottom w:w="90" w:type="dxa"/>
              <w:left w:w="105" w:type="dxa"/>
              <w:right w:w="105" w:type="dxa"/>
            </w:tcMar>
          </w:tcPr>
          <w:p>
            <w:pPr>
              <w:pStyle w:val="TableText"/>
              <w:keepNext/>
            </w:pPr>
            <w:r>
              <w:rPr>
                <w:b/>
                <w:color w:val="FFFFFF"/>
                <w:sz w:val="20"/>
              </w:rPr>
              <w:t>Interpretare justificată</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G depășește D, inclusiv cu bucle și funcții normale permise</w:t>
            </w:r>
          </w:p>
        </w:tc>
        <w:tc>
          <w:tcPr>
            <w:tcW w:type="dxa" w:w="7030"/>
            <w:vAlign w:val="center"/>
            <w:shd w:fill="F1F5F7"/>
            <w:tcMar>
              <w:top w:w="90" w:type="dxa"/>
              <w:bottom w:w="90" w:type="dxa"/>
              <w:left w:w="105" w:type="dxa"/>
              <w:right w:w="105" w:type="dxa"/>
            </w:tcMar>
          </w:tcPr>
          <w:p>
            <w:pPr>
              <w:pStyle w:val="TableText"/>
            </w:pPr>
            <w:r>
              <w:rPr>
                <w:sz w:val="20"/>
              </w:rPr>
              <w:t>Susținere pentru reprezentarea prin constructor în cohorta testată. Se verifică dacă efectul este limitat la repetiții și compresie.</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I și A depășesc D, dar A este echivalent practic cu I</w:t>
            </w:r>
          </w:p>
        </w:tc>
        <w:tc>
          <w:tcPr>
            <w:tcW w:type="dxa" w:w="7030"/>
            <w:vAlign w:val="center"/>
            <w:shd w:fill="FFFFFF"/>
            <w:tcMar>
              <w:top w:w="90" w:type="dxa"/>
              <w:bottom w:w="90" w:type="dxa"/>
              <w:left w:w="105" w:type="dxa"/>
              <w:right w:w="105" w:type="dxa"/>
            </w:tcMar>
          </w:tcPr>
          <w:p>
            <w:pPr>
              <w:pStyle w:val="TableText"/>
            </w:pPr>
            <w:r>
              <w:rPr>
                <w:sz w:val="20"/>
              </w:rPr>
              <w:t>Beneficiul aparține dezvoltării etapizate sau feedbackului. Necesitatea metaprogramării nu este susținută.</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A depășește I la observații și calcul comparabile</w:t>
            </w:r>
          </w:p>
        </w:tc>
        <w:tc>
          <w:tcPr>
            <w:tcW w:type="dxa" w:w="7030"/>
            <w:vAlign w:val="center"/>
            <w:shd w:fill="F1F5F7"/>
            <w:tcMar>
              <w:top w:w="90" w:type="dxa"/>
              <w:bottom w:w="90" w:type="dxa"/>
              <w:left w:w="105" w:type="dxa"/>
              <w:right w:w="105" w:type="dxa"/>
            </w:tcMar>
          </w:tcPr>
          <w:p>
            <w:pPr>
              <w:pStyle w:val="TableText"/>
            </w:pPr>
            <w:r>
              <w:rPr>
                <w:sz w:val="20"/>
              </w:rPr>
              <w:t>Susținere specifică pentru construcția adaptivă, cu analiza utilizării reale a constructorilor și a transferului.</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A câștigă numai când primește mai mult context, mai multe apeluri sau verificări superioare</w:t>
            </w:r>
          </w:p>
        </w:tc>
        <w:tc>
          <w:tcPr>
            <w:tcW w:type="dxa" w:w="7030"/>
            <w:vAlign w:val="center"/>
            <w:shd w:fill="FFFFFF"/>
            <w:tcMar>
              <w:top w:w="90" w:type="dxa"/>
              <w:bottom w:w="90" w:type="dxa"/>
              <w:left w:w="105" w:type="dxa"/>
              <w:right w:w="105" w:type="dxa"/>
            </w:tcMar>
          </w:tcPr>
          <w:p>
            <w:pPr>
              <w:pStyle w:val="TableText"/>
            </w:pPr>
            <w:r>
              <w:rPr>
                <w:sz w:val="20"/>
              </w:rPr>
              <w:t>Rezultat de sistem, nu dovadă izolată pentru mecanismul de metaprogramare.</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SSA ajută în J-SSA, dar SOP pierde</w:t>
            </w:r>
          </w:p>
        </w:tc>
        <w:tc>
          <w:tcPr>
            <w:tcW w:type="dxa" w:w="7030"/>
            <w:vAlign w:val="center"/>
            <w:shd w:fill="F1F5F7"/>
            <w:tcMar>
              <w:top w:w="90" w:type="dxa"/>
              <w:bottom w:w="90" w:type="dxa"/>
              <w:left w:w="105" w:type="dxa"/>
              <w:right w:w="105" w:type="dxa"/>
            </w:tcMar>
          </w:tcPr>
          <w:p>
            <w:pPr>
              <w:pStyle w:val="TableText"/>
            </w:pPr>
            <w:r>
              <w:rPr>
                <w:sz w:val="20"/>
              </w:rPr>
              <w:t>Disciplina valorilor poate fi utilă; sintaxa, gestionarea referințelor sau expansiunea SOP trebuie simplificate.</w:t>
            </w:r>
          </w:p>
        </w:tc>
      </w:tr>
      <w:tr>
        <w:trPr>
          <w:cantSplit/>
        </w:trPr>
        <w:tc>
          <w:tcPr>
            <w:tcW w:type="dxa" w:w="2551"/>
            <w:vAlign w:val="center"/>
            <w:shd w:fill="FFFFFF"/>
            <w:tcMar>
              <w:top w:w="90" w:type="dxa"/>
              <w:bottom w:w="90" w:type="dxa"/>
              <w:left w:w="105" w:type="dxa"/>
              <w:right w:w="105" w:type="dxa"/>
            </w:tcMar>
          </w:tcPr>
          <w:p>
            <w:pPr>
              <w:pStyle w:val="TableText"/>
            </w:pPr>
            <w:r>
              <w:rPr>
                <w:b/>
                <w:color w:val="17364D"/>
                <w:sz w:val="20"/>
              </w:rPr>
              <w:t>SOP ajută la reparare, dar nu la generarea inițială</w:t>
            </w:r>
          </w:p>
        </w:tc>
        <w:tc>
          <w:tcPr>
            <w:tcW w:type="dxa" w:w="7030"/>
            <w:vAlign w:val="center"/>
            <w:shd w:fill="FFFFFF"/>
            <w:tcMar>
              <w:top w:w="90" w:type="dxa"/>
              <w:bottom w:w="90" w:type="dxa"/>
              <w:left w:w="105" w:type="dxa"/>
              <w:right w:w="105" w:type="dxa"/>
            </w:tcMar>
          </w:tcPr>
          <w:p>
            <w:pPr>
              <w:pStyle w:val="TableText"/>
            </w:pPr>
            <w:r>
              <w:rPr>
                <w:sz w:val="20"/>
              </w:rPr>
              <w:t>Poate fi preferabil un sistem hibrid: program inițial familiar, compilare în circuit și revizuire structurată.</w:t>
            </w:r>
          </w:p>
        </w:tc>
      </w:tr>
      <w:tr>
        <w:trPr>
          <w:cantSplit/>
        </w:trPr>
        <w:tc>
          <w:tcPr>
            <w:tcW w:type="dxa" w:w="2551"/>
            <w:vAlign w:val="center"/>
            <w:shd w:fill="F1F5F7"/>
            <w:tcMar>
              <w:top w:w="90" w:type="dxa"/>
              <w:bottom w:w="90" w:type="dxa"/>
              <w:left w:w="105" w:type="dxa"/>
              <w:right w:w="105" w:type="dxa"/>
            </w:tcMar>
          </w:tcPr>
          <w:p>
            <w:pPr>
              <w:pStyle w:val="TableText"/>
            </w:pPr>
            <w:r>
              <w:rPr>
                <w:b/>
                <w:color w:val="17364D"/>
                <w:sz w:val="20"/>
              </w:rPr>
              <w:t>Recursivitatea mai adâncă reduce succesul</w:t>
            </w:r>
          </w:p>
        </w:tc>
        <w:tc>
          <w:tcPr>
            <w:tcW w:type="dxa" w:w="7030"/>
            <w:vAlign w:val="center"/>
            <w:shd w:fill="F1F5F7"/>
            <w:tcMar>
              <w:top w:w="90" w:type="dxa"/>
              <w:bottom w:w="90" w:type="dxa"/>
              <w:left w:w="105" w:type="dxa"/>
              <w:right w:w="105" w:type="dxa"/>
            </w:tcMar>
          </w:tcPr>
          <w:p>
            <w:pPr>
              <w:pStyle w:val="TableText"/>
            </w:pPr>
            <w:r>
              <w:rPr>
                <w:sz w:val="20"/>
              </w:rPr>
              <w:t>Se învață o politică de oprire și se limitează delegarea; nu se extinde adâncimea doar pentru că mecanismul o permite.</w:t>
            </w:r>
          </w:p>
        </w:tc>
      </w:tr>
    </w:tbl>
    <w:p>
      <w:pPr>
        <w:spacing w:after="40" w:before="0" w:line="40" w:lineRule="exact"/>
      </w:pPr>
      <w:r>
        <w:rPr>
          <w:sz w:val="4"/>
        </w:rPr>
      </w:r>
    </w:p>
    <w:p>
      <w:pPr/>
      <w:r>
        <w:t>Susținerea puternică pentru un avantaj de cinci puncte procentuale cere ca limita inferioară a intervalului relevant să depășească +0,05. Un interval aflat peste zero, dar nu garantează această mărime, indică efect pozitiv cu utilitate practică încă incertă. Dacă limita superioară este sub +0,05, avantajul minim urmărit este exclus pentru configurația testată.</w:t>
      </w:r>
    </w:p>
    <w:p>
      <w:pPr/>
      <w:r>
        <w:t>Echivalența practică cere un interval integral în [−0,03; +0,03] sau testul de echivalență preregistrat. O limită superioară sub zero susține un efect negativ. Intervalele largi care includ beneficii utile și absența beneficiului sunt neconcludente, nu infirmări.</w:t>
      </w:r>
    </w:p>
    <w:p>
      <w:pPr/>
      <w:r>
        <w:t>Pentru eficiență, criteriul alternativ propus este reducerea cu minimum 20% a costului mediu pe toate episoadele, cu limita inferioară a diferenței de succes peste −0,03. Costul include generarea constructorului, toate reapelările și execuția programului construit. Timpul economisit prin paralelism se raportează alături de lucrul total; cele două nu sunt echivalente.</w:t>
      </w:r>
    </w:p>
    <w:p>
      <w:pPr>
        <w:pStyle w:val="Heading2"/>
      </w:pPr>
      <w:r>
        <w:t>5.5. Direcțiile de continuare după diagnostic</w:t>
      </w:r>
    </w:p>
    <w:p>
      <w:pPr/>
      <w:r>
        <w:t>Dacă modelul alege bine subproblemele, dar eșuează la legarea rezultatelor, se antrenează explicit agregarea și verificarea globală. Dacă structura este bună, dar referințele sunt fragile, se automatizează identificatorii și se reduce distanța textuală dintre producător și consumator. Aceste intervenții sunt mai informative decât creșterea nediferențiată a dimensiunii modelului.</w:t>
      </w:r>
    </w:p>
    <w:p>
      <w:pPr/>
      <w:r>
        <w:t>Dacă traseele curate funcționează, iar propriile erori provoacă degradare rapidă, prioritatea este distribuția de stări de antrenare: recuperare, agregare de date și continuări din stări imperfecte. Dacă un constructor rezolvă toate sarcinile printr-un jseval monolitic, se păstrează succesul funcțional, dar se investighează separat dacă reprezentarea pe fire are vreo contribuție măsurabilă.</w:t>
      </w:r>
    </w:p>
    <w:p>
      <w:pPr/>
      <w:r>
        <w:t>Dacă expansiunea per element devine costisitoare, se testează subcircuite pe loturi și combinatori peste colecții. Dacă noile epoci produc invalidări excesive, se revizuiește granularitatea și semantica dependențelor. Dacă A și I sunt echivalente, sistemul mai simplu poate fi preferabil, iar metaprogramarea se rezervă familiilor unde comprimă sau specializează util programul.</w:t>
      </w:r>
    </w:p>
    <w:p>
      <w:pPr/>
      <w:r>
        <w:t>Dacă transferul este pozitiv și robust, continuarea justificată este o a doua familie de modele, domenii noi și învățarea unor constructori reutilizabili între proiecte. Reutilizarea este evaluată pe probleme și date noi, nu numai prin demonstrarea faptului că un șablon poate fi copiat într-un alt folder.</w:t>
      </w:r>
    </w:p>
    <w:p>
      <w:pPr>
        <w:pStyle w:val="Heading2"/>
      </w:pPr>
      <w:r>
        <w:t>5.6. Succesiunea practică și reproducerea</w:t>
      </w:r>
    </w:p>
    <w:p>
      <w:pPr/>
      <w:r>
        <w:t>Etapa inițială validează executorul și traseele, apoi rulează pilotul pentru cele opt condiții. O primă triere cu o sămânță este permisă pentru detectarea defectelor, nu pentru eliminarea unei metode doar fiindcă a avut un scor slab. Trei semințe sunt recomandate înainte de înghețarea concluziilor urmărite și a bugetelor confirmatorii.</w:t>
      </w:r>
    </w:p>
    <w:p>
      <w:pPr/>
      <w:r>
        <w:t>Confirmarea completă presupune 40 de antrenări pe modelul de 1,7B, fără pilot și fără ablații. Un program redus poate începe cu I-J, A-J, I-S și A-S, câte trei semințe, adică 12 antrenări. Acesta testează adaptivitatea față de dezvoltarea incrementală, dar nu poate valida H2-G fără condițiile G și D.</w:t>
      </w:r>
    </w:p>
    <w:p>
      <w:pPr/>
      <w:r>
        <w:t>Replicarea pe modelul de 4B se concentrează inițial pe contrastele A–I și G–D. Pe DGX Spark sau alt hardware disponibil se profilează minimum 100 de actualizări și episoade reprezentative înainte de estimarea resurselor. Se verifică implementarea kernels, memoria reală și costul secvențelor lungi; nu se promit timpi din specificațiile nominale ale dispozitivului.</w:t>
      </w:r>
    </w:p>
    <w:p>
      <w:pPr/>
      <w:r>
        <w:t>Pachetul reproductibil conține profilul SOP versionat, API-ul de acțiuni, biblioteca comună, problemele și partițiile, traseele complete, observațiile, bugetele, seedurile, checkpointurile, masca de antrenare și scripturile de analiză. Jurnalul separă acțiunile modelului de acțiunile deterministe ale orchestratorului, pentru a putea atribui corect deciziile.</w:t>
      </w:r>
    </w:p>
    <w:p>
      <w:pPr/>
      <w:r>
        <w:t>Experimentele rulează izolat, fără acces la fișierele evaluatorului ascuns, fără stare comună între probleme și fără efecte externe reale. Rezultatele cu interpretoare neurale includ identitatea lor exactă și costul integral. Nicio rulare reușită nu este omisă sau selectată în funcție de cât de convingător arată traseul.</w:t>
      </w:r>
    </w:p>
    <w:p>
      <w:pPr/>
      <w:r>
        <w:t>Acesta este un protocol prospectiv, nu raportul unor antrenări efectuate. Scopul său este să stabilească dacă modelul învață proceduri reutilizabile de construcție a soluțiilor și, mai precis, ce parte a beneficiului provine din descompunere, feedback, metaprogramare sau disciplina circuitelor.</w:t>
      </w:r>
    </w:p>
    <w:p>
      <w:pPr>
        <w:pStyle w:val="Heading1"/>
      </w:pPr>
      <w:r>
        <w:t>Referințe</w:t>
      </w:r>
    </w:p>
    <w:p>
      <w:pPr>
        <w:pStyle w:val="ReferenceText"/>
      </w:pPr>
      <w:r>
        <w:t xml:space="preserve">[1] Gao, L. și colab. (2022). PAL: Program-aided Language Models. arXiv:2211.10435. </w:t>
      </w:r>
      <w:hyperlink r:id="rId11">
        <w:r>
          <w:rPr>
            <w:color w:val="276A70"/>
            <w:u w:val="single"/>
          </w:rPr>
          <w:t>https://arxiv.org/abs/2211.10435</w:t>
        </w:r>
      </w:hyperlink>
    </w:p>
    <w:p>
      <w:pPr>
        <w:pStyle w:val="ReferenceText"/>
      </w:pPr>
      <w:r>
        <w:t xml:space="preserve">[2] Liang, J. și colab. (2023). Code as Policies: Language Model Programs for Embodied Control. ICRA 2023; arXiv:2209.07753v4. </w:t>
      </w:r>
      <w:hyperlink r:id="rId12">
        <w:r>
          <w:rPr>
            <w:color w:val="276A70"/>
            <w:u w:val="single"/>
          </w:rPr>
          <w:t>https://arxiv.org/html/2209.07753</w:t>
        </w:r>
      </w:hyperlink>
    </w:p>
    <w:p>
      <w:pPr>
        <w:pStyle w:val="ReferenceText"/>
      </w:pPr>
      <w:r>
        <w:t xml:space="preserve">[3] Nye, M. și colab. (2021). Show Your Work: Scratchpads for Intermediate Computation with Language Models. arXiv:2112.00114. </w:t>
      </w:r>
      <w:hyperlink r:id="rId13">
        <w:r>
          <w:rPr>
            <w:color w:val="276A70"/>
            <w:u w:val="single"/>
          </w:rPr>
          <w:t>https://arxiv.org/abs/2112.00114</w:t>
        </w:r>
      </w:hyperlink>
    </w:p>
    <w:p>
      <w:pPr>
        <w:pStyle w:val="ReferenceText"/>
      </w:pPr>
      <w:r>
        <w:t xml:space="preserve">[4] Zhou, D. și colab. (2022). Least-to-Most Prompting Enables Complex Reasoning in Large Language Models. arXiv:2205.10625. </w:t>
      </w:r>
      <w:hyperlink r:id="rId14">
        <w:r>
          <w:rPr>
            <w:color w:val="276A70"/>
            <w:u w:val="single"/>
          </w:rPr>
          <w:t>https://arxiv.org/abs/2205.10625</w:t>
        </w:r>
      </w:hyperlink>
    </w:p>
    <w:p>
      <w:pPr>
        <w:pStyle w:val="ReferenceText"/>
      </w:pPr>
      <w:r>
        <w:t xml:space="preserve">[5] Chen, X. și colab. (2023). Teaching Large Language Models to Self-Debug. arXiv:2304.05128. </w:t>
      </w:r>
      <w:hyperlink r:id="rId15">
        <w:r>
          <w:rPr>
            <w:color w:val="276A70"/>
            <w:u w:val="single"/>
          </w:rPr>
          <w:t>https://arxiv.org/abs/2304.05128</w:t>
        </w:r>
      </w:hyperlink>
    </w:p>
    <w:p>
      <w:pPr>
        <w:pStyle w:val="ReferenceText"/>
      </w:pPr>
      <w:r>
        <w:t xml:space="preserve">[6] Zhang, A. L., Kraska, T. și Khattab, O. (2026). Recursive Language Models. arXiv:2512.24601v3, 11 mai 2026. </w:t>
      </w:r>
      <w:hyperlink r:id="rId16">
        <w:r>
          <w:rPr>
            <w:color w:val="276A70"/>
            <w:u w:val="single"/>
          </w:rPr>
          <w:t>https://arxiv.org/html/2512.24601v3</w:t>
        </w:r>
      </w:hyperlink>
    </w:p>
    <w:p>
      <w:pPr>
        <w:pStyle w:val="ReferenceText"/>
      </w:pPr>
      <w:r>
        <w:t xml:space="preserve">[7] LLVM Project. LLVM Language Reference Manual, secțiunile despre SSA și instrucțiunea phi. Documentație consultată la 25 septembrie 2026. </w:t>
      </w:r>
      <w:hyperlink r:id="rId17">
        <w:r>
          <w:rPr>
            <w:color w:val="276A70"/>
            <w:u w:val="single"/>
          </w:rPr>
          <w:t>https://llvm.org/docs/LangRef.html</w:t>
        </w:r>
      </w:hyperlink>
    </w:p>
    <w:p>
      <w:pPr>
        <w:pStyle w:val="ReferenceText"/>
      </w:pPr>
      <w:r>
        <w:t xml:space="preserve">[8] Ross, S., Gordon, G. J. și Bagnell, J. A. (2011). A Reduction of Imitation Learning and Structured Prediction to No-Regret Online Learning. AISTATS 2011; arXiv:1011.0686. </w:t>
      </w:r>
      <w:hyperlink r:id="rId18">
        <w:r>
          <w:rPr>
            <w:color w:val="276A70"/>
            <w:u w:val="single"/>
          </w:rPr>
          <w:t>https://arxiv.org/abs/1011.0686</w:t>
        </w:r>
      </w:hyperlink>
    </w:p>
    <w:p>
      <w:pPr>
        <w:pStyle w:val="ReferenceText"/>
      </w:pPr>
      <w:r>
        <w:t xml:space="preserve">[9] Hugging Face. TRL SFTTrainer: loss, măști și date conversaționale. Documentație consultată la 25 septembrie 2026. </w:t>
      </w:r>
      <w:hyperlink r:id="rId19">
        <w:r>
          <w:rPr>
            <w:color w:val="276A70"/>
            <w:u w:val="single"/>
          </w:rPr>
          <w:t>https://huggingface.co/docs/trl/en/sft_trainer</w:t>
        </w:r>
      </w:hyperlink>
    </w:p>
    <w:p>
      <w:pPr>
        <w:pStyle w:val="ReferenceText"/>
      </w:pPr>
      <w:r>
        <w:t xml:space="preserve">[10] Qwen Team. Qwen3-1.7B-Base, fișa oficială a modelului. Consultată la 25 septembrie 2026. </w:t>
      </w:r>
      <w:hyperlink r:id="rId20">
        <w:r>
          <w:rPr>
            <w:color w:val="276A70"/>
            <w:u w:val="single"/>
          </w:rPr>
          <w:t>https://huggingface.co/Qwen/Qwen3-1.7B-Base</w:t>
        </w:r>
      </w:hyperlink>
    </w:p>
    <w:p>
      <w:pPr>
        <w:pStyle w:val="ReferenceText"/>
      </w:pPr>
      <w:r>
        <w:t xml:space="preserve">[11] Qwen Team. Qwen3-4B-Base, fișa oficială a modelului. Consultată la 25 septembrie 2026. </w:t>
      </w:r>
      <w:hyperlink r:id="rId21">
        <w:r>
          <w:rPr>
            <w:color w:val="276A70"/>
            <w:u w:val="single"/>
          </w:rPr>
          <w:t>https://huggingface.co/Qwen/Qwen3-4B-Base</w:t>
        </w:r>
      </w:hyperlink>
    </w:p>
    <w:p>
      <w:pPr>
        <w:pStyle w:val="ReferenceText"/>
      </w:pPr>
      <w:r>
        <w:t xml:space="preserve">[12] Hu, E. J. și colab. (2021). LoRA: Low-Rank Adaptation of Large Language Models. arXiv:2106.09685. </w:t>
      </w:r>
      <w:hyperlink r:id="rId22">
        <w:r>
          <w:rPr>
            <w:color w:val="276A70"/>
            <w:u w:val="single"/>
          </w:rPr>
          <w:t>https://arxiv.org/abs/2106.09685</w:t>
        </w:r>
      </w:hyperlink>
    </w:p>
    <w:p>
      <w:pPr>
        <w:pStyle w:val="ReferenceText"/>
      </w:pPr>
      <w:r>
        <w:t xml:space="preserve">[13] Dettmers, T. și colab. (2023). QLoRA: Efficient Finetuning of Quantized LLMs. arXiv:2305.14314. </w:t>
      </w:r>
      <w:hyperlink r:id="rId23">
        <w:r>
          <w:rPr>
            <w:color w:val="276A70"/>
            <w:u w:val="single"/>
          </w:rPr>
          <w:t>https://arxiv.org/abs/2305.14314</w:t>
        </w:r>
      </w:hyperlink>
    </w:p>
    <w:p>
      <w:pPr>
        <w:pStyle w:val="ReferenceText"/>
      </w:pPr>
      <w:r>
        <w:t xml:space="preserve">[14] Bouthillier, X. și colab. (2021). Accounting for Variance in Machine Learning Benchmarks. arXiv:2103.03098. </w:t>
      </w:r>
      <w:hyperlink r:id="rId24">
        <w:r>
          <w:rPr>
            <w:color w:val="276A70"/>
            <w:u w:val="single"/>
          </w:rPr>
          <w:t>https://arxiv.org/abs/2103.03098</w:t>
        </w:r>
      </w:hyperlink>
    </w:p>
    <w:sectPr w:rsidR="00FC693F" w:rsidRPr="0006063C" w:rsidSect="00034616">
      <w:headerReference w:type="default" r:id="rId9"/>
      <w:footerReference w:type="default" r:id="rId10"/>
      <w:pgSz w:w="11906" w:h="16838"/>
      <w:pgMar w:top="1134" w:right="1162" w:bottom="1077" w:left="1162"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17B"/>
        <w:sz w:val="16"/>
      </w:rPr>
      <w:t xml:space="preserve">Protocol de cercetare  •  </w:t>
    </w:r>
    <w:r>
      <w:rPr>
        <w:color w:val="66717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color="CBD6DE"/>
      </w:pBdr>
    </w:pPr>
    <w:r>
      <w:rPr>
        <w:rFonts w:ascii="Calibri" w:hAnsi="Calibri"/>
        <w:color w:val="66717B"/>
        <w:sz w:val="16"/>
      </w:rPr>
      <w:t>AXIOLOGIC RESEARCH  /  PROTOCOL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10"/>
    </w:pPr>
    <w:rPr>
      <w:rFonts w:ascii="Calibri" w:hAnsi="Calibri" w:cs="Calibri" w:eastAsia="Calibri"/>
      <w:b w:val="0"/>
      <w:color w:val="222831"/>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40"/>
      <w:outlineLvl w:val="0"/>
    </w:pPr>
    <w:rPr>
      <w:rFonts w:asciiTheme="majorHAnsi" w:eastAsiaTheme="majorEastAsia" w:hAnsiTheme="majorHAnsi" w:cstheme="majorBidi" w:ascii="Calibri" w:hAnsi="Calibri" w:cs="Calibri" w:eastAsia="Calibri"/>
      <w:b/>
      <w:bCs/>
      <w:color w:val="17364D"/>
      <w:sz w:val="40"/>
      <w:szCs w:val="28"/>
      <w:lang w:val="ro-RO"/>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cs="Calibri" w:eastAsia="Calibri"/>
      <w:b/>
      <w:bCs/>
      <w:color w:val="17364D"/>
      <w:sz w:val="26"/>
      <w:szCs w:val="26"/>
      <w:lang w:val="ro-RO"/>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cs="Calibri" w:eastAsia="Calibri"/>
      <w:b/>
      <w:bCs/>
      <w:color w:val="17364D"/>
      <w:sz w:val="23"/>
      <w:lang w:val="ro-R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line="252" w:lineRule="auto" w:after="40"/>
    </w:pPr>
    <w:rPr>
      <w:rFonts w:ascii="Calibri" w:hAnsi="Calibri" w:cs="Calibri" w:eastAsia="Calibri"/>
      <w:b w:val="0"/>
      <w:color w:val="222831"/>
      <w:sz w:val="20"/>
      <w:lang w:val="ro-RO"/>
    </w:rPr>
  </w:style>
  <w:style w:type="paragraph" w:customStyle="1" w:styleId="ReferenceText">
    <w:name w:val="Reference Text"/>
    <w:pPr>
      <w:keepLines/>
      <w:widowControl/>
      <w:spacing w:line="269" w:lineRule="auto" w:after="120"/>
    </w:pPr>
    <w:rPr>
      <w:rFonts w:ascii="Calibri" w:hAnsi="Calibri" w:cs="Calibri" w:eastAsia="Calibri"/>
      <w:b w:val="0"/>
      <w:color w:val="222831"/>
      <w:sz w:val="19"/>
      <w:lang w:val="ro-RO"/>
    </w:rPr>
  </w:style>
  <w:style w:type="paragraph" w:customStyle="1" w:styleId="SmallNote">
    <w:name w:val="Small Note"/>
    <w:pPr>
      <w:widowControl/>
      <w:spacing w:line="269" w:lineRule="auto" w:after="120"/>
    </w:pPr>
    <w:rPr>
      <w:rFonts w:ascii="Calibri" w:hAnsi="Calibri" w:cs="Calibri" w:eastAsia="Calibri"/>
      <w:b w:val="0"/>
      <w:color w:val="66717B"/>
      <w:sz w:val="18"/>
      <w:lang w:val="ro-RO"/>
    </w:rPr>
  </w:style>
  <w:style w:type="paragraph" w:customStyle="1" w:styleId="CoverKicker">
    <w:name w:val="Cover Kicker"/>
    <w:pPr>
      <w:widowControl/>
      <w:spacing w:line="269" w:lineRule="auto" w:after="120"/>
    </w:pPr>
    <w:rPr>
      <w:rFonts w:ascii="Calibri" w:hAnsi="Calibri" w:cs="Calibri" w:eastAsia="Calibri"/>
      <w:b w:val="0"/>
      <w:color w:val="276A70"/>
      <w:sz w:val="20"/>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211.10435" TargetMode="External"/><Relationship Id="rId12" Type="http://schemas.openxmlformats.org/officeDocument/2006/relationships/hyperlink" Target="https://arxiv.org/html/2209.07753" TargetMode="External"/><Relationship Id="rId13" Type="http://schemas.openxmlformats.org/officeDocument/2006/relationships/hyperlink" Target="https://arxiv.org/abs/2112.00114" TargetMode="External"/><Relationship Id="rId14" Type="http://schemas.openxmlformats.org/officeDocument/2006/relationships/hyperlink" Target="https://arxiv.org/abs/2205.10625" TargetMode="External"/><Relationship Id="rId15" Type="http://schemas.openxmlformats.org/officeDocument/2006/relationships/hyperlink" Target="https://arxiv.org/abs/2304.05128" TargetMode="External"/><Relationship Id="rId16" Type="http://schemas.openxmlformats.org/officeDocument/2006/relationships/hyperlink" Target="https://arxiv.org/html/2512.24601v3" TargetMode="External"/><Relationship Id="rId17" Type="http://schemas.openxmlformats.org/officeDocument/2006/relationships/hyperlink" Target="https://llvm.org/docs/LangRef.html" TargetMode="External"/><Relationship Id="rId18" Type="http://schemas.openxmlformats.org/officeDocument/2006/relationships/hyperlink" Target="https://arxiv.org/abs/1011.0686" TargetMode="External"/><Relationship Id="rId19" Type="http://schemas.openxmlformats.org/officeDocument/2006/relationships/hyperlink" Target="https://huggingface.co/docs/trl/en/sft_trainer" TargetMode="External"/><Relationship Id="rId20" Type="http://schemas.openxmlformats.org/officeDocument/2006/relationships/hyperlink" Target="https://huggingface.co/Qwen/Qwen3-1.7B-Base" TargetMode="External"/><Relationship Id="rId21" Type="http://schemas.openxmlformats.org/officeDocument/2006/relationships/hyperlink" Target="https://huggingface.co/Qwen/Qwen3-4B-Base" TargetMode="External"/><Relationship Id="rId22" Type="http://schemas.openxmlformats.org/officeDocument/2006/relationships/hyperlink" Target="https://arxiv.org/abs/2106.09685" TargetMode="External"/><Relationship Id="rId23" Type="http://schemas.openxmlformats.org/officeDocument/2006/relationships/hyperlink" Target="https://arxiv.org/abs/2305.14314" TargetMode="External"/><Relationship Id="rId24" Type="http://schemas.openxmlformats.org/officeDocument/2006/relationships/hyperlink" Target="https://arxiv.org/abs/2103.03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Construcția etapizată
a programelor</dc:title>
  <dc:subject>Fine-tuning LLM • Metaprogramare • Circuite adaptive SOP Lang</dc:subject>
  <dc:creator>Axiologic Research</dc:creator>
  <cp:keywords>LLM, fine-tuning, SOP Lang, SSA, protocol experimental, neurosimbolic</cp:keywords>
  <dc:description>Protocol prospectiv de cercetare.</dc:description>
  <cp:lastModifiedBy/>
  <cp:revision>1</cp:revision>
  <dcterms:created xsi:type="dcterms:W3CDTF">2013-12-23T23:15:00Z</dcterms:created>
  <dcterms:modified xsi:type="dcterms:W3CDTF">2013-12-23T23:15:00Z</dcterms:modified>
  <cp:category/>
</cp:coreProperties>
</file>