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pBdr>
          <w:bottom w:val="single" w:color="2E75B6" w:sz="8" w:space="8"/>
        </w:pBdr>
        <w:spacing w:after="200"/>
        <w:jc w:val="center"/>
      </w:pPr>
      <w:r>
        <w:rPr>
          <w:rFonts w:ascii="Arial" w:cs="Arial" w:eastAsia="Arial" w:hAnsi="Arial"/>
          <w:b/>
          <w:bCs/>
          <w:color w:val="1F4E79"/>
          <w:sz w:val="40"/>
          <w:szCs w:val="40"/>
        </w:rPr>
        <w:t xml:space="preserve">Schema Database PostgreSQL</w:t>
      </w:r>
    </w:p>
    <w:p>
      <w:pPr>
        <w:spacing w:after="60"/>
      </w:pPr>
    </w:p>
    <w:p>
      <w:pPr>
        <w:spacing w:after="100"/>
        <w:jc w:val="center"/>
      </w:pPr>
      <w:r>
        <w:rPr>
          <w:rFonts w:ascii="Arial" w:cs="Arial" w:eastAsia="Arial" w:hAnsi="Arial"/>
          <w:color w:val="2E75B6"/>
          <w:sz w:val="32"/>
          <w:szCs w:val="32"/>
        </w:rPr>
        <w:t xml:space="preserve">Modulo News – Design Document</w:t>
      </w:r>
    </w:p>
    <w:p>
      <w:pPr>
        <w:spacing w:after="60"/>
      </w:pPr>
    </w:p>
    <w:p>
      <w:pPr>
        <w:jc w:val="center"/>
      </w:pPr>
      <w:r>
        <w:rPr>
          <w:rFonts w:ascii="Arial" w:cs="Arial" w:eastAsia="Arial" w:hAnsi="Arial"/>
          <w:i/>
          <w:iCs/>
          <w:color w:val="333333"/>
          <w:sz w:val="24"/>
          <w:szCs w:val="24"/>
        </w:rPr>
        <w:t xml:space="preserve">Risk Emergence Project</w:t>
      </w:r>
    </w:p>
    <w:p>
      <w:pPr>
        <w:spacing w:after="60"/>
      </w:pPr>
    </w:p>
    <w:p>
      <w:pPr>
        <w:spacing w:after="60"/>
      </w:pPr>
    </w:p>
    <w:p>
      <w:pPr>
        <w:spacing w:after="60"/>
      </w:pPr>
    </w:p>
    <w:p>
      <w:pPr>
        <w:jc w:val="center"/>
      </w:pPr>
      <w:r>
        <w:rPr>
          <w:rFonts w:ascii="Arial" w:cs="Arial" w:eastAsia="Arial" w:hAnsi="Arial"/>
          <w:color w:val="666666"/>
          <w:sz w:val="22"/>
          <w:szCs w:val="22"/>
        </w:rPr>
        <w:t xml:space="preserve">Aprile 2026 – Versione 1.0</w:t>
      </w:r>
    </w:p>
    <w:p>
      <w:pPr>
        <w:sectPr>
          <w:pgSz w:w="11906" w:h="16838" w:orient="portrait"/>
          <w:pgMar w:top="1440" w:right="1440" w:bottom="1440" w:left="1440" w:header="708" w:footer="708" w:gutter="0"/>
          <w:pgNumType/>
          <w:docGrid w:linePitch="360"/>
        </w:sectPr>
      </w:pPr>
    </w:p>
    <w:p>
      <w:pPr>
        <w:pStyle w:val="Heading1"/>
      </w:pPr>
      <w:r>
        <w:t xml:space="preserve">Principi di design</w:t>
      </w:r>
    </w:p>
    <w:p>
      <w:pPr>
        <w:spacing w:after="120" w:line="276"/>
        <w:jc w:val="both"/>
      </w:pPr>
      <w:r>
        <w:rPr>
          <w:rFonts w:ascii="Arial" w:cs="Arial" w:eastAsia="Arial" w:hAnsi="Arial"/>
          <w:color w:val="333333"/>
          <w:sz w:val="22"/>
          <w:szCs w:val="22"/>
        </w:rPr>
        <w:t xml:space="preserve">Lo schema è progettato per servire un progetto di ricerca accademica su dati testuali di grandi dimensioni. Le scelte architetturali rispondono a tre esigenze principali: performance nelle query di aggregazione temporale (il pattern più frequente nelle Fasi 2–3), flessibilità nell’aggiunta incrementale di nuovi indicatori e metadati derivati, e tracciabilità completa del percorso dal file CSV grezzo al dato analitico finale.</w:t>
      </w:r>
    </w:p>
    <w:p>
      <w:pPr>
        <w:spacing w:after="120" w:line="276"/>
        <w:jc w:val="both"/>
      </w:pPr>
      <w:r>
        <w:rPr>
          <w:rFonts w:ascii="Arial" w:cs="Arial" w:eastAsia="Arial" w:hAnsi="Arial"/>
          <w:color w:val="333333"/>
          <w:sz w:val="22"/>
          <w:szCs w:val="22"/>
        </w:rPr>
        <w:t xml:space="preserve">Tutto il progetto vive all’interno di uno schema dedicato (risk_emergence) per evitare collisioni con altri usi del database e per facilitare backup e migrazione. Le tabelle sono organizzate in tre strati logici: dati grezzi e ingestione (staging table e tabella principale), metadati derivati (menzioni, temi, embedding) e indicatori aggregati (serie temporali pronte per l’analisi econometrica).</w:t>
      </w:r>
    </w:p>
    <w:p>
      <w:pPr>
        <w:pStyle w:val="Heading1"/>
      </w:pPr>
      <w:r>
        <w:t xml:space="preserve">Mappa delle tabelle e relazioni</w:t>
      </w:r>
    </w:p>
    <w:p>
      <w:pPr>
        <w:spacing w:after="120" w:line="276"/>
        <w:jc w:val="both"/>
      </w:pPr>
      <w:r>
        <w:rPr>
          <w:rFonts w:ascii="Arial" w:cs="Arial" w:eastAsia="Arial" w:hAnsi="Arial"/>
          <w:color w:val="333333"/>
          <w:sz w:val="22"/>
          <w:szCs w:val="22"/>
        </w:rPr>
        <w:t xml:space="preserve">Lo schema comprende undici oggetti (otto tabelle, tre viste), organizzati intorno alla tabella centrale news_articles. Il diagramma delle relazioni segue questa struttura:</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Tabella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4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Relazione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news_sources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Riferimento</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 → N verso news_articles (source_id)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news_articles_staging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Staging</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Nessuna FK – caricamento massivo senza vincoli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news_articles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Fatto centrale</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Tabella hub: riceve FK da mentions, scores, embeddings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firm_universe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Riferimento</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 → N verso news_firm_mentions (firm_id)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news_firm_mentions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Collegamento</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M:N tra articles e firms, con attributi (contesto, confidenza)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candidate_themes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Riferimento</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 → N verso theme_scores e indicators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news_theme_scores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Collegamento</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M:N tra articles e themes, con score continuo e metodo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news_embeddings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Derivato</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1:1 per coppia article + model (PK composita)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news_indicators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Aggregato</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Serie temporali aggregate per theme + periodo</w:t>
            </w:r>
          </w:p>
        </w:tc>
      </w:tr>
    </w:tbl>
    <w:p>
      <w:pPr>
        <w:spacing w:after="60"/>
      </w:pPr>
    </w:p>
    <w:p>
      <w:pPr>
        <w:pStyle w:val="Heading1"/>
      </w:pPr>
      <w:r>
        <w:t xml:space="preserve">Dettaglio delle tabelle</w:t>
      </w:r>
    </w:p>
    <w:p>
      <w:pPr>
        <w:pStyle w:val="Heading2"/>
      </w:pPr>
      <w:r>
        <w:t xml:space="preserve">news_sources – Anagrafica testate</w:t>
      </w:r>
    </w:p>
    <w:p>
      <w:pPr>
        <w:spacing w:after="120" w:line="276"/>
        <w:jc w:val="both"/>
      </w:pPr>
      <w:r>
        <w:rPr>
          <w:rFonts w:ascii="Arial" w:cs="Arial" w:eastAsia="Arial" w:hAnsi="Arial"/>
          <w:color w:val="333333"/>
          <w:sz w:val="22"/>
          <w:szCs w:val="22"/>
        </w:rPr>
        <w:t xml:space="preserve">Tabella di normalizzazione per le cinque fonti del corpus. Il campo Source nei CSV contiene il dominio web (es. “ft.com”) anzi che il nome della testata: questa tabella fornisce il mapping univoco e consente query aggregate per fonte senza dipendere da stringhe eterogenee. Lo schema è pre-popolato con le cinque testate note; nuove fonti possono essere aggiunte senza modifiche strutturali.</w:t>
      </w:r>
    </w:p>
    <w:p>
      <w:pPr>
        <w:pStyle w:val="Heading2"/>
      </w:pPr>
      <w:r>
        <w:t xml:space="preserve">news_articles – Tabella principale</w:t>
      </w:r>
    </w:p>
    <w:p>
      <w:pPr>
        <w:spacing w:after="120" w:line="276"/>
        <w:jc w:val="both"/>
      </w:pPr>
      <w:r>
        <w:rPr>
          <w:rFonts w:ascii="Arial" w:cs="Arial" w:eastAsia="Arial" w:hAnsi="Arial"/>
          <w:color w:val="333333"/>
          <w:sz w:val="22"/>
          <w:szCs w:val="22"/>
        </w:rPr>
        <w:t xml:space="preserve">Contiene un record per ogni articolo ingerito dai CSV. La struttura distingue tre categorie di campi.</w:t>
      </w:r>
    </w:p>
    <w:p>
      <w:pPr>
        <w:spacing w:after="120" w:line="276"/>
        <w:jc w:val="both"/>
      </w:pPr>
      <w:r>
        <w:rPr>
          <w:rFonts w:ascii="Arial" w:cs="Arial" w:eastAsia="Arial" w:hAnsi="Arial"/>
          <w:b/>
          <w:bCs/>
          <w:color w:val="333333"/>
          <w:sz w:val="22"/>
          <w:szCs w:val="22"/>
        </w:rPr>
        <w:t xml:space="preserve">Campi originali. </w:t>
      </w:r>
      <w:r>
        <w:rPr>
          <w:rFonts w:ascii="Arial" w:cs="Arial" w:eastAsia="Arial" w:hAnsi="Arial"/>
          <w:color w:val="333333"/>
          <w:sz w:val="22"/>
          <w:szCs w:val="22"/>
        </w:rPr>
        <w:t xml:space="preserve">Corrispondono ai campi del CSV con tipizzazione appropriata. Il campo source_raw preserva il valore originale dal CSV; il campo source_id è la chiave esterna verso news_sources, assegnata durante la fase di trasferimento dallo staging. Il campo sentiment_original è conservato nel database per completezza ma non partecipa a nessuna analisi.</w:t>
      </w:r>
    </w:p>
    <w:p>
      <w:pPr>
        <w:spacing w:after="120" w:line="276"/>
        <w:jc w:val="both"/>
      </w:pPr>
      <w:r>
        <w:rPr>
          <w:rFonts w:ascii="Arial" w:cs="Arial" w:eastAsia="Arial" w:hAnsi="Arial"/>
          <w:b/>
          <w:bCs/>
          <w:color w:val="333333"/>
          <w:sz w:val="22"/>
          <w:szCs w:val="22"/>
        </w:rPr>
        <w:t xml:space="preserve">Campi derivati. </w:t>
      </w:r>
      <w:r>
        <w:rPr>
          <w:rFonts w:ascii="Arial" w:cs="Arial" w:eastAsia="Arial" w:hAnsi="Arial"/>
          <w:color w:val="333333"/>
          <w:sz w:val="22"/>
          <w:szCs w:val="22"/>
        </w:rPr>
        <w:t xml:space="preserve">Sono calcolati durante il preprocessing: word_count e char_count (dal trigger), is_english (verificato in fase di pulizia), is_duplicate_verified (esito della deduplicazione aggiuntiva via MinHash), is_excluded (flag per articoli rimossi manualmente o da regola), content_hash (SHA-256 del body per la deduplicazione esatta).</w:t>
      </w:r>
    </w:p>
    <w:p>
      <w:pPr>
        <w:spacing w:after="120" w:line="276"/>
        <w:jc w:val="both"/>
      </w:pPr>
      <w:r>
        <w:rPr>
          <w:rFonts w:ascii="Arial" w:cs="Arial" w:eastAsia="Arial" w:hAnsi="Arial"/>
          <w:b/>
          <w:bCs/>
          <w:color w:val="333333"/>
          <w:sz w:val="22"/>
          <w:szCs w:val="22"/>
        </w:rPr>
        <w:t xml:space="preserve">Campi full-text search. </w:t>
      </w:r>
      <w:r>
        <w:rPr>
          <w:rFonts w:ascii="Arial" w:cs="Arial" w:eastAsia="Arial" w:hAnsi="Arial"/>
          <w:color w:val="333333"/>
          <w:sz w:val="22"/>
          <w:szCs w:val="22"/>
        </w:rPr>
        <w:t xml:space="preserve">I campi body_tsv e title_tsv sono di tipo TSVECTOR e vengono popolati automaticamente da un trigger a ogni INSERT o UPDATE. Sono la base per gli indici GIN che abilitano la ricerca full-text efficiente.</w:t>
      </w:r>
    </w:p>
    <w:p>
      <w:pPr>
        <w:pStyle w:val="Heading3"/>
      </w:pPr>
      <w:r>
        <w:t xml:space="preserve">Strategia di indicizzazione</w:t>
      </w:r>
    </w:p>
    <w:p>
      <w:pPr>
        <w:spacing w:after="120" w:line="276"/>
        <w:jc w:val="both"/>
      </w:pPr>
      <w:r>
        <w:rPr>
          <w:rFonts w:ascii="Arial" w:cs="Arial" w:eastAsia="Arial" w:hAnsi="Arial"/>
          <w:color w:val="333333"/>
          <w:sz w:val="22"/>
          <w:szCs w:val="22"/>
        </w:rPr>
        <w:t xml:space="preserve">La tabella ha sette indici, ciascuno con una funzione specifica:</w:t>
      </w:r>
    </w:p>
    <w:p>
      <w:pPr>
        <w:pStyle w:val="ListParagraph"/>
        <w:numPr>
          <w:ilvl w:val="0"/>
          <w:numId w:val="2"/>
        </w:numPr>
        <w:spacing w:after="60" w:line="276"/>
      </w:pPr>
      <w:r>
        <w:rPr>
          <w:rFonts w:ascii="Arial" w:cs="Arial" w:eastAsia="Arial" w:hAnsi="Arial"/>
          <w:b/>
          <w:bCs/>
          <w:color w:val="333333"/>
          <w:sz w:val="22"/>
          <w:szCs w:val="22"/>
        </w:rPr>
        <w:t xml:space="preserve">idx_articles_pubdate: </w:t>
      </w:r>
      <w:r>
        <w:rPr>
          <w:rFonts w:ascii="Arial" w:cs="Arial" w:eastAsia="Arial" w:hAnsi="Arial"/>
          <w:color w:val="333333"/>
          <w:sz w:val="22"/>
          <w:szCs w:val="22"/>
        </w:rPr>
        <w:t xml:space="preserve">indice B-tree sulla data di pubblicazione. È l’indice più utilizzato: quasi tutte le query analitiche filtrano o aggregano per periodo temporale.</w:t>
      </w:r>
    </w:p>
    <w:p>
      <w:pPr>
        <w:pStyle w:val="ListParagraph"/>
        <w:numPr>
          <w:ilvl w:val="0"/>
          <w:numId w:val="2"/>
        </w:numPr>
        <w:spacing w:after="60" w:line="276"/>
      </w:pPr>
      <w:r>
        <w:rPr>
          <w:rFonts w:ascii="Arial" w:cs="Arial" w:eastAsia="Arial" w:hAnsi="Arial"/>
          <w:b/>
          <w:bCs/>
          <w:color w:val="333333"/>
          <w:sz w:val="22"/>
          <w:szCs w:val="22"/>
        </w:rPr>
        <w:t xml:space="preserve">idx_articles_source_date: </w:t>
      </w:r>
      <w:r>
        <w:rPr>
          <w:rFonts w:ascii="Arial" w:cs="Arial" w:eastAsia="Arial" w:hAnsi="Arial"/>
          <w:color w:val="333333"/>
          <w:sz w:val="22"/>
          <w:szCs w:val="22"/>
        </w:rPr>
        <w:t xml:space="preserve">indice composito fonte + data. Serve le query di coverage intensity per testata e le verifiche di copertura temporale.</w:t>
      </w:r>
    </w:p>
    <w:p>
      <w:pPr>
        <w:pStyle w:val="ListParagraph"/>
        <w:numPr>
          <w:ilvl w:val="0"/>
          <w:numId w:val="2"/>
        </w:numPr>
        <w:spacing w:after="60" w:line="276"/>
      </w:pPr>
      <w:r>
        <w:rPr>
          <w:rFonts w:ascii="Arial" w:cs="Arial" w:eastAsia="Arial" w:hAnsi="Arial"/>
          <w:b/>
          <w:bCs/>
          <w:color w:val="333333"/>
          <w:sz w:val="22"/>
          <w:szCs w:val="22"/>
        </w:rPr>
        <w:t xml:space="preserve">idx_articles_body_tsv e title_tsv: </w:t>
      </w:r>
      <w:r>
        <w:rPr>
          <w:rFonts w:ascii="Arial" w:cs="Arial" w:eastAsia="Arial" w:hAnsi="Arial"/>
          <w:color w:val="333333"/>
          <w:sz w:val="22"/>
          <w:szCs w:val="22"/>
        </w:rPr>
        <w:t xml:space="preserve">indici GIN sui campi TSVECTOR. Abilitano query full-text del tipo body_tsv @@ to_tsquery('cybersecurity &amp; regulation') in millisecondi anche su centinaia di migliaia di documenti.</w:t>
      </w:r>
    </w:p>
    <w:p>
      <w:pPr>
        <w:pStyle w:val="ListParagraph"/>
        <w:numPr>
          <w:ilvl w:val="0"/>
          <w:numId w:val="2"/>
        </w:numPr>
        <w:spacing w:after="60" w:line="276"/>
      </w:pPr>
      <w:r>
        <w:rPr>
          <w:rFonts w:ascii="Arial" w:cs="Arial" w:eastAsia="Arial" w:hAnsi="Arial"/>
          <w:b/>
          <w:bCs/>
          <w:color w:val="333333"/>
          <w:sz w:val="22"/>
          <w:szCs w:val="22"/>
        </w:rPr>
        <w:t xml:space="preserve">idx_articles_content_hash: </w:t>
      </w:r>
      <w:r>
        <w:rPr>
          <w:rFonts w:ascii="Arial" w:cs="Arial" w:eastAsia="Arial" w:hAnsi="Arial"/>
          <w:color w:val="333333"/>
          <w:sz w:val="22"/>
          <w:szCs w:val="22"/>
        </w:rPr>
        <w:t xml:space="preserve">per la deduplicazione esatta. Confrontare hash è ordini di grandezza più veloce che confrontare testi.</w:t>
      </w:r>
    </w:p>
    <w:p>
      <w:pPr>
        <w:pStyle w:val="ListParagraph"/>
        <w:numPr>
          <w:ilvl w:val="0"/>
          <w:numId w:val="2"/>
        </w:numPr>
        <w:spacing w:after="60" w:line="276"/>
      </w:pPr>
      <w:r>
        <w:rPr>
          <w:rFonts w:ascii="Arial" w:cs="Arial" w:eastAsia="Arial" w:hAnsi="Arial"/>
          <w:b/>
          <w:bCs/>
          <w:color w:val="333333"/>
          <w:sz w:val="22"/>
          <w:szCs w:val="22"/>
        </w:rPr>
        <w:t xml:space="preserve">idx_articles_valid: </w:t>
      </w:r>
      <w:r>
        <w:rPr>
          <w:rFonts w:ascii="Arial" w:cs="Arial" w:eastAsia="Arial" w:hAnsi="Arial"/>
          <w:color w:val="333333"/>
          <w:sz w:val="22"/>
          <w:szCs w:val="22"/>
        </w:rPr>
        <w:t xml:space="preserve">indice parziale che copre solo gli articoli validi (inglese, non duplicati, non esclusi). Questo è l’indice più importante per le performance analitiche: poiché tutte le query di ricerca filtrano sistematicamente per questi flag, l’indice parziale evita di scansionare articoli che sarebbero comunque scartati.</w:t>
      </w:r>
    </w:p>
    <w:p>
      <w:pPr>
        <w:pStyle w:val="ListParagraph"/>
        <w:numPr>
          <w:ilvl w:val="0"/>
          <w:numId w:val="2"/>
        </w:numPr>
        <w:spacing w:after="60" w:line="276"/>
      </w:pPr>
      <w:r>
        <w:rPr>
          <w:rFonts w:ascii="Arial" w:cs="Arial" w:eastAsia="Arial" w:hAnsi="Arial"/>
          <w:b/>
          <w:bCs/>
          <w:color w:val="333333"/>
          <w:sz w:val="22"/>
          <w:szCs w:val="22"/>
        </w:rPr>
        <w:t xml:space="preserve">idx_articles_batch: </w:t>
      </w:r>
      <w:r>
        <w:rPr>
          <w:rFonts w:ascii="Arial" w:cs="Arial" w:eastAsia="Arial" w:hAnsi="Arial"/>
          <w:color w:val="333333"/>
          <w:sz w:val="22"/>
          <w:szCs w:val="22"/>
        </w:rPr>
        <w:t xml:space="preserve">indice sul batch di ingestione, utile per il debugging e per operazioni di reload parziale.</w:t>
      </w:r>
    </w:p>
    <w:p>
      <w:pPr>
        <w:pStyle w:val="Heading3"/>
      </w:pPr>
      <w:r>
        <w:t xml:space="preserve">Trigger TSVECTOR</w:t>
      </w:r>
    </w:p>
    <w:p>
      <w:pPr>
        <w:spacing w:after="120" w:line="276"/>
        <w:jc w:val="both"/>
      </w:pPr>
      <w:r>
        <w:rPr>
          <w:rFonts w:ascii="Arial" w:cs="Arial" w:eastAsia="Arial" w:hAnsi="Arial"/>
          <w:color w:val="333333"/>
          <w:sz w:val="22"/>
          <w:szCs w:val="22"/>
        </w:rPr>
        <w:t xml:space="preserve">Il trigger trg_articles_tsv si attiva prima di ogni INSERT e di ogni UPDATE sui campi body e title. Calcola i TSVECTOR con la configurazione linguistica 'english' (che applica stemming e rimuove le stop words inglesi) e aggiorna contemporaneamente i conteggi di parole e caratteri. Questo approccio garantisce che gli indici full-text siano sempre sincronizzati con il testo, senza richiedere una fase di ricalcolo separata.</w:t>
      </w:r>
    </w:p>
    <w:p>
      <w:r>
        <w:br w:type="page"/>
      </w:r>
    </w:p>
    <w:p>
      <w:pPr>
        <w:pStyle w:val="Heading2"/>
      </w:pPr>
      <w:r>
        <w:t xml:space="preserve">news_articles_staging – Tabella di staging</w:t>
      </w:r>
    </w:p>
    <w:p>
      <w:pPr>
        <w:spacing w:after="120" w:line="276"/>
        <w:jc w:val="both"/>
      </w:pPr>
      <w:r>
        <w:rPr>
          <w:rFonts w:ascii="Arial" w:cs="Arial" w:eastAsia="Arial" w:hAnsi="Arial"/>
          <w:color w:val="333333"/>
          <w:sz w:val="22"/>
          <w:szCs w:val="22"/>
        </w:rPr>
        <w:t xml:space="preserve">Tabella senza vincoli, con tutti i campi TEXT, progettata esclusivamente per il caricamento massivo via COPY. L’assenza di vincoli consente a COPY di operare alla massima velocità senza validazione riga per riga. I dati vengono successivamente validati, tipizzati e trasferiti nella tabella definitiva con una query INSERT INTO ... SELECT.</w:t>
      </w:r>
    </w:p>
    <w:p>
      <w:pPr>
        <w:spacing w:after="120" w:line="276"/>
        <w:jc w:val="both"/>
      </w:pPr>
      <w:r>
        <w:rPr>
          <w:rFonts w:ascii="Arial" w:cs="Arial" w:eastAsia="Arial" w:hAnsi="Arial"/>
          <w:color w:val="333333"/>
          <w:sz w:val="22"/>
          <w:szCs w:val="22"/>
        </w:rPr>
        <w:t xml:space="preserve">La tabella include due campi di tracciabilità non presenti nel CSV: _raw_line_number (il numero di riga nel file originale, per risalire a record problematici) e _source_file (il nome del file CSV di origine, essenziale quando i dati sono distribuiti su più file).</w:t>
      </w:r>
    </w:p>
    <w:p>
      <w:pPr>
        <w:pStyle w:val="Heading3"/>
      </w:pPr>
      <w:r>
        <w:t xml:space="preserve">Workflow di ingestione raccomandato</w:t>
      </w:r>
    </w:p>
    <w:p>
      <w:pPr>
        <w:spacing w:after="120" w:line="276"/>
        <w:jc w:val="both"/>
      </w:pPr>
      <w:r>
        <w:rPr>
          <w:rFonts w:ascii="Arial" w:cs="Arial" w:eastAsia="Arial" w:hAnsi="Arial"/>
          <w:color w:val="333333"/>
          <w:sz w:val="22"/>
          <w:szCs w:val="22"/>
        </w:rPr>
        <w:t xml:space="preserve">Il processo di caricamento segue cinque passaggi: (1) COPY dal CSV nella staging table con i parametri DELIMITER '|' e gestione delle codifiche; (2) ispezione dei valori anomali (date non parsabili, sentiment non numerico, booleani non standard); (3) INSERT INTO news_articles SELECT con casting esplicito dei tipi e assegnazione del source_id tramite JOIN o CASE; (4) calcolo del content_hash via digest('body', 'sha256') su pgcrypto; (5) TRUNCATE della staging table per il batch successivo.</w:t>
      </w:r>
    </w:p>
    <w:p>
      <w:pPr>
        <w:pStyle w:val="Heading2"/>
      </w:pPr>
      <w:r>
        <w:t xml:space="preserve">firm_universe – Anagrafica imprese S&amp;P 500</w:t>
      </w:r>
    </w:p>
    <w:p>
      <w:pPr>
        <w:spacing w:after="120" w:line="276"/>
        <w:jc w:val="both"/>
      </w:pPr>
      <w:r>
        <w:rPr>
          <w:rFonts w:ascii="Arial" w:cs="Arial" w:eastAsia="Arial" w:hAnsi="Arial"/>
          <w:color w:val="333333"/>
          <w:sz w:val="22"/>
          <w:szCs w:val="22"/>
        </w:rPr>
        <w:t xml:space="preserve">Tabella di riferimento per le imprese del campione, con validità temporale. La composizione dell’S&amp;P 500 cambia nel tempo: imprese entrano ed escono dall’indice. Il modello usa le colonne sp500_entry_date e sp500_exit_date per gestire queste transizioni. Un’impresa che esce e rientra avrà due righe con periodi di validità distinti. Il vincolo di unicità UNIQUE(cik, sp500_entry_date) previene inserimenti duplicati.</w:t>
      </w:r>
    </w:p>
    <w:p>
      <w:pPr>
        <w:spacing w:after="120" w:line="276"/>
        <w:jc w:val="both"/>
      </w:pPr>
      <w:r>
        <w:rPr>
          <w:rFonts w:ascii="Arial" w:cs="Arial" w:eastAsia="Arial" w:hAnsi="Arial"/>
          <w:color w:val="333333"/>
          <w:sz w:val="22"/>
          <w:szCs w:val="22"/>
        </w:rPr>
        <w:t xml:space="preserve">La tabella include il codice SIC oltre alla classificazione GICS (sector/industry) per supportare analisi con diverse tassonomie settoriali. Il campo CIK è il collegamento primario con i filing SEC.</w:t>
      </w:r>
    </w:p>
    <w:p>
      <w:pPr>
        <w:pStyle w:val="Heading2"/>
      </w:pPr>
      <w:r>
        <w:t xml:space="preserve">news_firm_mentions – Collegamento articoli-imprese</w:t>
      </w:r>
    </w:p>
    <w:p>
      <w:pPr>
        <w:spacing w:after="120" w:line="276"/>
        <w:jc w:val="both"/>
      </w:pPr>
      <w:r>
        <w:rPr>
          <w:rFonts w:ascii="Arial" w:cs="Arial" w:eastAsia="Arial" w:hAnsi="Arial"/>
          <w:color w:val="333333"/>
          <w:sz w:val="22"/>
          <w:szCs w:val="22"/>
        </w:rPr>
        <w:t xml:space="preserve">Tabella di collegamento many-to-many tra news_articles e firm_universe. Viene popolata dal NER (spaCy) applicato nella Fase 1 di preprocessing. Per ogni coppia articolo-impresa registra: il contesto della menzione (titolo, body o entrambi), il conteggio delle occorrenze e lo score di confidenza del NER.</w:t>
      </w:r>
    </w:p>
    <w:p>
      <w:pPr>
        <w:spacing w:after="120" w:line="276"/>
        <w:jc w:val="both"/>
      </w:pPr>
      <w:r>
        <w:rPr>
          <w:rFonts w:ascii="Arial" w:cs="Arial" w:eastAsia="Arial" w:hAnsi="Arial"/>
          <w:color w:val="333333"/>
          <w:sz w:val="22"/>
          <w:szCs w:val="22"/>
        </w:rPr>
        <w:t xml:space="preserve">Il vincolo UNIQUE(article_id, firm_id) garantisce una sola riga per coppia, aggregando le menzioni multiple nello stesso articolo tramite il campo mention_count. L’indice bidirezionale (article → firm e firm → article) supporta efficientemente sia le query “quali imprese sono menzionate in questo articolo” sia “quali articoli menzionano questa impresa”.</w:t>
      </w:r>
    </w:p>
    <w:p>
      <w:pPr>
        <w:spacing w:after="120" w:line="276"/>
        <w:jc w:val="both"/>
      </w:pPr>
      <w:r>
        <w:rPr>
          <w:rFonts w:ascii="Arial" w:cs="Arial" w:eastAsia="Arial" w:hAnsi="Arial"/>
          <w:color w:val="333333"/>
          <w:sz w:val="22"/>
          <w:szCs w:val="22"/>
        </w:rPr>
        <w:t xml:space="preserve">Questa tabella è la base per gli entity co-mention networks della Fase 2.</w:t>
      </w:r>
    </w:p>
    <w:p>
      <w:pPr>
        <w:pStyle w:val="Heading2"/>
      </w:pPr>
      <w:r>
        <w:t xml:space="preserve">candidate_themes – Registro temi candidati</w:t>
      </w:r>
    </w:p>
    <w:p>
      <w:pPr>
        <w:spacing w:after="120" w:line="276"/>
        <w:jc w:val="both"/>
      </w:pPr>
      <w:r>
        <w:rPr>
          <w:rFonts w:ascii="Arial" w:cs="Arial" w:eastAsia="Arial" w:hAnsi="Arial"/>
          <w:color w:val="333333"/>
          <w:sz w:val="22"/>
          <w:szCs w:val="22"/>
        </w:rPr>
        <w:t xml:space="preserve">Tabella di definizione dei temi candidati per l’analisi di emergenza. Ogni tema ha un nome univoco, un’etichetta leggibile, una descrizione e un array di seed words (tipo TEXT[]) che servono come punto di partenza per il tagging weakly supervised. Lo schema è pre-popolato con cinque temi candidati: cyber risk, climate risk, pandemic risk, supply chain risk e AI risk.</w:t>
      </w:r>
    </w:p>
    <w:p>
      <w:pPr>
        <w:spacing w:after="120" w:line="276"/>
        <w:jc w:val="both"/>
      </w:pPr>
      <w:r>
        <w:rPr>
          <w:rFonts w:ascii="Arial" w:cs="Arial" w:eastAsia="Arial" w:hAnsi="Arial"/>
          <w:color w:val="333333"/>
          <w:sz w:val="22"/>
          <w:szCs w:val="22"/>
        </w:rPr>
        <w:t xml:space="preserve">Nuovi temi identificati dalla burst detection nella Fase 2 vengono aggiunti a questa tabella, che funziona come registro centrale di tutti i temi sotto osservazione.</w:t>
      </w:r>
    </w:p>
    <w:p>
      <w:pPr>
        <w:pStyle w:val="Heading2"/>
      </w:pPr>
      <w:r>
        <w:t xml:space="preserve">news_theme_scores – Tagging dei temi</w:t>
      </w:r>
    </w:p>
    <w:p>
      <w:pPr>
        <w:spacing w:after="120" w:line="276"/>
        <w:jc w:val="both"/>
      </w:pPr>
      <w:r>
        <w:rPr>
          <w:rFonts w:ascii="Arial" w:cs="Arial" w:eastAsia="Arial" w:hAnsi="Arial"/>
          <w:color w:val="333333"/>
          <w:sz w:val="22"/>
          <w:szCs w:val="22"/>
        </w:rPr>
        <w:t xml:space="preserve">Registra lo score continuo [0, 1] di rilevanza per ogni coppia articolo-tema, prodotto dal tagger nella Fase 2. Il campo method distingue tra i diversi approcci di classificazione (supervised, weakly_supervised, keyword), consentendo di mantenere e confrontare più risultati per la stessa coppia articolo-tema. Il vincolo UNIQUE(article_id, theme_id, method) garantisce una sola riga per ciascuna combinazione.</w:t>
      </w:r>
    </w:p>
    <w:p>
      <w:pPr>
        <w:spacing w:after="120" w:line="276"/>
        <w:jc w:val="both"/>
      </w:pPr>
      <w:r>
        <w:rPr>
          <w:rFonts w:ascii="Arial" w:cs="Arial" w:eastAsia="Arial" w:hAnsi="Arial"/>
          <w:color w:val="333333"/>
          <w:sz w:val="22"/>
          <w:szCs w:val="22"/>
        </w:rPr>
        <w:t xml:space="preserve">L’indice idx_theme_scores_theme_score è progettato specificamente per le query di aggregazione temporale: dato un tema, recupera rapidamente gli articoli sopra una soglia di score, ordinati per rilevanza.</w:t>
      </w:r>
    </w:p>
    <w:p>
      <w:pPr>
        <w:pStyle w:val="Heading2"/>
      </w:pPr>
      <w:r>
        <w:t xml:space="preserve">news_embeddings – Embedding documentali</w:t>
      </w:r>
    </w:p>
    <w:p>
      <w:pPr>
        <w:spacing w:after="120" w:line="276"/>
        <w:jc w:val="both"/>
      </w:pPr>
      <w:r>
        <w:rPr>
          <w:rFonts w:ascii="Arial" w:cs="Arial" w:eastAsia="Arial" w:hAnsi="Arial"/>
          <w:color w:val="333333"/>
          <w:sz w:val="22"/>
          <w:szCs w:val="22"/>
        </w:rPr>
        <w:t xml:space="preserve">Archivia i vettori di embedding calcolati con sentence-transformers per il calcolo di novelty e semantic drift. La chiave primaria composita (article_id, model_name) consente di conservare embedding calcolati con modelli diversi (es. all-MiniLM-L6-v2 vs. all-mpnet-base-v2) per confronto.</w:t>
      </w:r>
    </w:p>
    <w:p>
      <w:pPr>
        <w:spacing w:after="120" w:line="276"/>
        <w:jc w:val="both"/>
      </w:pPr>
      <w:r>
        <w:rPr>
          <w:rFonts w:ascii="Arial" w:cs="Arial" w:eastAsia="Arial" w:hAnsi="Arial"/>
          <w:color w:val="333333"/>
          <w:sz w:val="22"/>
          <w:szCs w:val="22"/>
        </w:rPr>
        <w:t xml:space="preserve">Il tipo di dato è REAL[] (array di float). Se l’estensione pgvector è disponibile nel server PostgreSQL, il campo può essere convertito in tipo VECTOR(dim) per abilitare operazioni vettoriali native (distanza coseno, nearest neighbor) direttamente in SQL. In assenza di pgvector, le operazioni vettoriali vanno eseguite in Python dopo l’estrazione dal database.</w:t>
      </w:r>
    </w:p>
    <w:p>
      <w:pPr>
        <w:pStyle w:val="Heading3"/>
      </w:pPr>
      <w:r>
        <w:t xml:space="preserve">Nota sulle dimensioni</w:t>
      </w:r>
    </w:p>
    <w:p>
      <w:pPr>
        <w:spacing w:after="120" w:line="276"/>
        <w:jc w:val="both"/>
      </w:pPr>
      <w:r>
        <w:rPr>
          <w:rFonts w:ascii="Arial" w:cs="Arial" w:eastAsia="Arial" w:hAnsi="Arial"/>
          <w:color w:val="333333"/>
          <w:sz w:val="22"/>
          <w:szCs w:val="22"/>
        </w:rPr>
        <w:t xml:space="preserve">Con un modello standard come all-MiniLM-L6-v2 (384 dimensioni) e un corpus di 300K articoli, la tabella embeddings occupa circa 450 MB (300K × 384 × 4 byte). Questa è una dimensione gestibile in locale, ma va considerata nella pianificazione dello storage.</w:t>
      </w:r>
    </w:p>
    <w:p>
      <w:pPr>
        <w:pStyle w:val="Heading2"/>
      </w:pPr>
      <w:r>
        <w:t xml:space="preserve">news_indicators – Serie temporali aggregate</w:t>
      </w:r>
    </w:p>
    <w:p>
      <w:pPr>
        <w:spacing w:after="120" w:line="276"/>
        <w:jc w:val="both"/>
      </w:pPr>
      <w:r>
        <w:rPr>
          <w:rFonts w:ascii="Arial" w:cs="Arial" w:eastAsia="Arial" w:hAnsi="Arial"/>
          <w:color w:val="333333"/>
          <w:sz w:val="22"/>
          <w:szCs w:val="22"/>
        </w:rPr>
        <w:t xml:space="preserve">Tabella materializzata che raccoglie gli indicatori aggregati per tema e periodo, pronti per l’analisi econometrica delle Fasi 3–4. Ogni riga corrisponde a un’osservazione tema × periodo (mese, trimestre o settimana) e contiene: coverage intensity (grezza e normalizzata), stato e intensità del burst, score di novelty e semantic drift, metriche di co-mention (numero imprese e settori, HHI settoriale).</w:t>
      </w:r>
    </w:p>
    <w:p>
      <w:pPr>
        <w:spacing w:after="120" w:line="276"/>
        <w:jc w:val="both"/>
      </w:pPr>
      <w:r>
        <w:rPr>
          <w:rFonts w:ascii="Arial" w:cs="Arial" w:eastAsia="Arial" w:hAnsi="Arial"/>
          <w:color w:val="333333"/>
          <w:sz w:val="22"/>
          <w:szCs w:val="22"/>
        </w:rPr>
        <w:t xml:space="preserve">Questa tabella è la controparte news-based della tabella analoga che verrà costruita per i filing SEC. Insieme, le due tabelle forniscono il panel di indicatori per i modelli delle Fasi 3–4.</w:t>
      </w:r>
    </w:p>
    <w:p>
      <w:r>
        <w:br w:type="page"/>
      </w:r>
    </w:p>
    <w:p>
      <w:pPr>
        <w:pStyle w:val="Heading1"/>
      </w:pPr>
      <w:r>
        <w:t xml:space="preserve">Viste di utilità</w:t>
      </w:r>
    </w:p>
    <w:p>
      <w:pPr>
        <w:pStyle w:val="Heading2"/>
      </w:pPr>
      <w:r>
        <w:t xml:space="preserve">v_valid_articles</w:t>
      </w:r>
    </w:p>
    <w:p>
      <w:pPr>
        <w:spacing w:after="120" w:line="276"/>
        <w:jc w:val="both"/>
      </w:pPr>
      <w:r>
        <w:rPr>
          <w:rFonts w:ascii="Arial" w:cs="Arial" w:eastAsia="Arial" w:hAnsi="Arial"/>
          <w:color w:val="333333"/>
          <w:sz w:val="22"/>
          <w:szCs w:val="22"/>
        </w:rPr>
        <w:t xml:space="preserve">Vista che filtra news_articles restituendo solo gli articoli validi: lingua inglese, non duplicati (né dal flag originale né dalla verifica aggiuntiva), non esclusi manualmente. Include il join con news_sources per avere direttamente il codice e il nome della testata. Questa vista è il punto di ingresso standard per tutte le query analitiche e garantisce che i filtri di qualità siano applicati uniformemente.</w:t>
      </w:r>
    </w:p>
    <w:p>
      <w:pPr>
        <w:pStyle w:val="Heading2"/>
      </w:pPr>
      <w:r>
        <w:t xml:space="preserve">v_coverage_by_source</w:t>
      </w:r>
    </w:p>
    <w:p>
      <w:pPr>
        <w:spacing w:after="120" w:line="276"/>
        <w:jc w:val="both"/>
      </w:pPr>
      <w:r>
        <w:rPr>
          <w:rFonts w:ascii="Arial" w:cs="Arial" w:eastAsia="Arial" w:hAnsi="Arial"/>
          <w:color w:val="333333"/>
          <w:sz w:val="22"/>
          <w:szCs w:val="22"/>
        </w:rPr>
        <w:t xml:space="preserve">Vista di quality check che produce il conteggio mensile degli articoli per testata, distinguendo tra totale e validi. Serve a verificare l’uniformità della copertura temporale e a identificare gap: se il Los Angeles Times ha zero articoli nel 2008–2010, è un segnale di copertura incompleta nei dati di origine che va gestito (esclusione del periodo o normalizzazione). Questa vista va consultata come primo passo dopo l’ingestione.</w:t>
      </w:r>
    </w:p>
    <w:p>
      <w:pPr>
        <w:pStyle w:val="Heading2"/>
      </w:pPr>
      <w:r>
        <w:t xml:space="preserve">v_theme_coverage</w:t>
      </w:r>
    </w:p>
    <w:p>
      <w:pPr>
        <w:spacing w:after="120" w:line="276"/>
        <w:jc w:val="both"/>
      </w:pPr>
      <w:r>
        <w:rPr>
          <w:rFonts w:ascii="Arial" w:cs="Arial" w:eastAsia="Arial" w:hAnsi="Arial"/>
          <w:color w:val="333333"/>
          <w:sz w:val="22"/>
          <w:szCs w:val="22"/>
        </w:rPr>
        <w:t xml:space="preserve">Vista che calcola la coverage intensity mensile per tema, normalizzata per il volume totale di articoli validi. Il risultato è la serie temporale di input per la burst detection della Fase 2. La soglia di score (score &gt;= 0.5) è configurabile e va allineata con i risultati della calibrazione del tagger.</w:t>
      </w:r>
    </w:p>
    <w:p>
      <w:pPr>
        <w:pStyle w:val="Heading1"/>
      </w:pPr>
      <w:r>
        <w:t xml:space="preserve">Dimensionamento e considerazioni di performance</w:t>
      </w:r>
    </w:p>
    <w:p>
      <w:pPr>
        <w:spacing w:after="120" w:line="276"/>
        <w:jc w:val="both"/>
      </w:pPr>
      <w:r>
        <w:rPr>
          <w:rFonts w:ascii="Arial" w:cs="Arial" w:eastAsia="Arial" w:hAnsi="Arial"/>
          <w:color w:val="333333"/>
          <w:sz w:val="22"/>
          <w:szCs w:val="22"/>
        </w:rPr>
        <w:t xml:space="preserve">Le stime seguenti assumono un corpus di circa 300.000 articoli e un orizzonte temporale 2006–2025.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Tabella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Stima righe</w:t>
            </w:r>
          </w:p>
        </w:tc>
        <w:tc>
          <w:tcPr>
            <w:tcW w:type="dxa" w:w="4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Stima dimensione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news_articles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~300K</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20–40 GB (body full-text + TSVECTOR + indici)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news_firm_mentions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~1–3M</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200–500 MB</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news_theme_scores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~1.5M</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300–500 MB (5 temi × 300K articoli)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news_embeddings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~300K</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~450 MB (384-dim float)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news_indicators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~1.200</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Trascurabile (&lt;1 MB)</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Totale stimato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25–45 GB</w:t>
            </w:r>
          </w:p>
        </w:tc>
      </w:tr>
    </w:tbl>
    <w:p>
      <w:pPr>
        <w:spacing w:after="60"/>
      </w:pPr>
    </w:p>
    <w:p>
      <w:pPr>
        <w:spacing w:after="120" w:line="276"/>
        <w:jc w:val="both"/>
      </w:pPr>
      <w:r>
        <w:rPr>
          <w:rFonts w:ascii="Arial" w:cs="Arial" w:eastAsia="Arial" w:hAnsi="Arial"/>
          <w:color w:val="333333"/>
          <w:sz w:val="22"/>
          <w:szCs w:val="22"/>
        </w:rPr>
        <w:t xml:space="preserve">Il componente dominante è news_articles, dove il campo body (testo completo degli articoli) e i relativi indici GIN sui TSVECTOR costituiscono la maggior parte dello spazio. Raccomandazioni: allocare almeno 60–80 GB di storage per il database (inclusi WAL, indici e margine di crescita); configurare shared_buffers a circa il 25% della RAM disponibile; per il caricamento massivo, disabilitare temporaneamente gli indici sulla staging table e ricostruirli dopo il COPY.</w:t>
      </w:r>
    </w:p>
    <w:p>
      <w:pPr>
        <w:pStyle w:val="Heading1"/>
      </w:pPr>
      <w:r>
        <w:t xml:space="preserve">Note implementative</w:t>
      </w:r>
    </w:p>
    <w:p>
      <w:pPr>
        <w:pStyle w:val="Heading2"/>
      </w:pPr>
      <w:r>
        <w:t xml:space="preserve">Gestione delle codifiche</w:t>
      </w:r>
    </w:p>
    <w:p>
      <w:pPr>
        <w:spacing w:after="120" w:line="276"/>
        <w:jc w:val="both"/>
      </w:pPr>
      <w:r>
        <w:rPr>
          <w:rFonts w:ascii="Arial" w:cs="Arial" w:eastAsia="Arial" w:hAnsi="Arial"/>
          <w:color w:val="333333"/>
          <w:sz w:val="22"/>
          <w:szCs w:val="22"/>
        </w:rPr>
        <w:t xml:space="preserve">I CSV originali presentano artefatti di codifica (es. “â‚¬” per il simbolo dell’euro, caratteri accentati corrotti). Questo suggerisce che i file sono stati salvati in UTF-8 ma contengono sequenze originariamente in CP1252 o Latin-1 non convertite correttamente. Il passaggio di pulizia raccomandato è: leggere i file come byte, applicare una detection della codifica (chardet o cchardet su un campione), convertire esplicitamente in UTF-8, e verificare su un campione di almeno 1.000 righe che i caratteri speciali siano ripristinati correttamente.</w:t>
      </w:r>
    </w:p>
    <w:p>
      <w:pPr>
        <w:pStyle w:val="Heading2"/>
      </w:pPr>
      <w:r>
        <w:t xml:space="preserve">Estensione pgvector</w:t>
      </w:r>
    </w:p>
    <w:p>
      <w:pPr>
        <w:spacing w:after="120" w:line="276"/>
        <w:jc w:val="both"/>
      </w:pPr>
      <w:r>
        <w:rPr>
          <w:rFonts w:ascii="Arial" w:cs="Arial" w:eastAsia="Arial" w:hAnsi="Arial"/>
          <w:color w:val="333333"/>
          <w:sz w:val="22"/>
          <w:szCs w:val="22"/>
        </w:rPr>
        <w:t xml:space="preserve">Se si prevede di eseguire operazioni di nearest neighbor direttamente in SQL (ad es. per trovare articoli semanticamente simili a un seed), l’installazione di pgvector è raccomandata. Con pgvector, il campo embedding diventa VECTOR(384) e supporta indici HNSW o IVFFlat per ricerche approssimate efficienti. Se pgvector non è disponibile, tutte le operazioni vettoriali possono essere eseguite in Python con numpy o scikit-learn, estraendo i vettori dal database in batch.</w:t>
      </w:r>
    </w:p>
    <w:p>
      <w:pPr>
        <w:pStyle w:val="Heading2"/>
      </w:pPr>
      <w:r>
        <w:t xml:space="preserve">Partitioning</w:t>
      </w:r>
    </w:p>
    <w:p>
      <w:pPr>
        <w:spacing w:after="120" w:line="276"/>
        <w:jc w:val="both"/>
      </w:pPr>
      <w:r>
        <w:rPr>
          <w:rFonts w:ascii="Arial" w:cs="Arial" w:eastAsia="Arial" w:hAnsi="Arial"/>
          <w:color w:val="333333"/>
          <w:sz w:val="22"/>
          <w:szCs w:val="22"/>
        </w:rPr>
        <w:t xml:space="preserve">Per un corpus di ~300K articoli, il partitioning per data non è strettamente necessario: PostgreSQL gestisce efficientemente tabelle di questa dimensione con indici appropriati. Se il corpus dovesse crescere significativamente (oltre 1M di righe) o se le query temporali mostrassero degradazione, è possibile introdurre partitioning per anno sulla colonna publication_date senza modifiche allo schema logico.</w:t>
      </w:r>
    </w:p>
    <w:p>
      <w:pPr>
        <w:pStyle w:val="Heading2"/>
      </w:pPr>
      <w:r>
        <w:t xml:space="preserve">File SQL allegato</w:t>
      </w:r>
    </w:p>
    <w:p>
      <w:pPr>
        <w:spacing w:after="120" w:line="276"/>
        <w:jc w:val="both"/>
      </w:pPr>
      <w:r>
        <w:rPr>
          <w:rFonts w:ascii="Arial" w:cs="Arial" w:eastAsia="Arial" w:hAnsi="Arial"/>
          <w:color w:val="333333"/>
          <w:sz w:val="22"/>
          <w:szCs w:val="22"/>
        </w:rPr>
        <w:t xml:space="preserve">Il DDL completo è fornito nel file news_schema.sql allegato a questo documento. Lo script è eseguibile direttamente su un’istanza PostgreSQL 14+ e include: creazione dello schema, tutte le tabelle con vincoli e commenti, indici, trigger, viste e dati di pre-popolamento per news_sources e candidate_themes.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999999"/>
        <w:sz w:val="18"/>
        <w:szCs w:val="18"/>
      </w:rPr>
      <w:t xml:space="preserve">Pagina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999999"/>
        <w:sz w:val="18"/>
        <w:szCs w:val="18"/>
      </w:rPr>
      <w:t xml:space="preserve">Schema PostgreSQL – Modulo News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2026-04-16T14:51:24.219Z</dcterms:created>
  <dcterms:modified xsi:type="dcterms:W3CDTF">2026-04-16T14:51:24.219Z</dcterms:modified>
</cp:coreProperties>
</file>

<file path=docProps/custom.xml><?xml version="1.0" encoding="utf-8"?>
<Properties xmlns="http://schemas.openxmlformats.org/officeDocument/2006/custom-properties" xmlns:vt="http://schemas.openxmlformats.org/officeDocument/2006/docPropsVTypes"/>
</file>