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pBdr>
          <w:bottom w:val="single" w:color="2E75B6" w:sz="8" w:space="8"/>
        </w:pBdr>
        <w:spacing w:after="200"/>
        <w:jc w:val="center"/>
      </w:pPr>
      <w:r>
        <w:rPr>
          <w:rFonts w:ascii="Arial" w:cs="Arial" w:eastAsia="Arial" w:hAnsi="Arial"/>
          <w:b/>
          <w:bCs/>
          <w:color w:val="1F4E79"/>
          <w:sz w:val="40"/>
          <w:szCs w:val="40"/>
        </w:rPr>
        <w:t xml:space="preserve">Emergence and Prediction of New Financial Risk Categories</w:t>
      </w:r>
    </w:p>
    <w:p>
      <w:pPr>
        <w:spacing w:after="60"/>
      </w:pPr>
    </w:p>
    <w:p>
      <w:pPr>
        <w:spacing w:after="100"/>
        <w:jc w:val="center"/>
      </w:pPr>
      <w:r>
        <w:rPr>
          <w:rFonts w:ascii="Arial" w:cs="Arial" w:eastAsia="Arial" w:hAnsi="Arial"/>
          <w:color w:val="2E75B6"/>
          <w:sz w:val="32"/>
          <w:szCs w:val="32"/>
        </w:rPr>
        <w:t xml:space="preserve">Piano Operativo di Implementazione</w:t>
      </w:r>
    </w:p>
    <w:p>
      <w:pPr>
        <w:spacing w:after="60"/>
      </w:pPr>
    </w:p>
    <w:p>
      <w:pPr>
        <w:spacing w:after="100"/>
        <w:jc w:val="center"/>
      </w:pPr>
      <w:r>
        <w:rPr>
          <w:rFonts w:ascii="Arial" w:cs="Arial" w:eastAsia="Arial" w:hAnsi="Arial"/>
          <w:i/>
          <w:iCs/>
          <w:color w:val="333333"/>
          <w:sz w:val="24"/>
          <w:szCs w:val="24"/>
        </w:rPr>
        <w:t xml:space="preserve">Dalla progettazione concettuale alle fasi esecutive</w:t>
      </w:r>
    </w:p>
    <w:p>
      <w:pPr>
        <w:spacing w:after="60"/>
      </w:pPr>
    </w:p>
    <w:p>
      <w:pPr>
        <w:spacing w:after="60"/>
      </w:pPr>
    </w:p>
    <w:p>
      <w:pPr>
        <w:spacing w:after="60"/>
      </w:pPr>
    </w:p>
    <w:p>
      <w:pPr>
        <w:spacing w:after="60"/>
      </w:pPr>
    </w:p>
    <w:p>
      <w:pPr>
        <w:jc w:val="center"/>
      </w:pPr>
      <w:r>
        <w:rPr>
          <w:rFonts w:ascii="Arial" w:cs="Arial" w:eastAsia="Arial" w:hAnsi="Arial"/>
          <w:color w:val="333333"/>
          <w:sz w:val="24"/>
          <w:szCs w:val="24"/>
        </w:rPr>
        <w:t xml:space="preserve">Aprile 2026</w:t>
      </w:r>
    </w:p>
    <w:p>
      <w:pPr>
        <w:jc w:val="center"/>
      </w:pPr>
      <w:r>
        <w:rPr>
          <w:rFonts w:ascii="Arial" w:cs="Arial" w:eastAsia="Arial" w:hAnsi="Arial"/>
          <w:i/>
          <w:iCs/>
          <w:color w:val="666666"/>
          <w:sz w:val="22"/>
          <w:szCs w:val="22"/>
        </w:rPr>
        <w:t xml:space="preserve">Documento di lavoro – Versione 1.0</w:t>
      </w:r>
    </w:p>
    <w:p>
      <w:pPr>
        <w:sectPr>
          <w:pgSz w:w="11906" w:h="16838" w:orient="portrait"/>
          <w:pgMar w:top="1440" w:right="1440" w:bottom="1440" w:left="1440" w:header="708" w:footer="708" w:gutter="0"/>
          <w:pgNumType/>
          <w:docGrid w:linePitch="360"/>
        </w:sectPr>
      </w:pPr>
    </w:p>
    <w:p>
      <w:pPr>
        <w:pStyle w:val="Heading1"/>
      </w:pPr>
      <w:r>
        <w:t xml:space="preserve">Visione d’insieme</w:t>
      </w:r>
    </w:p>
    <w:p>
      <w:pPr>
        <w:spacing w:after="120" w:line="276"/>
        <w:jc w:val="both"/>
      </w:pPr>
      <w:r>
        <w:rPr>
          <w:rFonts w:ascii="Arial" w:cs="Arial" w:eastAsia="Arial" w:hAnsi="Arial"/>
          <w:color w:val="333333"/>
          <w:sz w:val="22"/>
          <w:szCs w:val="22"/>
        </w:rPr>
        <w:t xml:space="preserve">Il presente documento traduce il progetto di ricerca “Emergence and Prediction of New Financial Risk Categories” in un piano operativo articolato in sei fasi sequenziali. Ogni fase è descritta nei suoi obiettivi, attività specifiche, deliverable attesi, dipendenze e durata stimata. Il piano assume un ricercatore singolo con accesso a risorse computazionali standard e alle API necessarie.</w:t>
      </w:r>
    </w:p>
    <w:p>
      <w:pPr>
        <w:spacing w:after="120" w:line="276"/>
        <w:jc w:val="both"/>
      </w:pPr>
      <w:r>
        <w:rPr>
          <w:rFonts w:ascii="Arial" w:cs="Arial" w:eastAsia="Arial" w:hAnsi="Arial"/>
          <w:color w:val="333333"/>
          <w:sz w:val="22"/>
          <w:szCs w:val="22"/>
        </w:rPr>
        <w:t xml:space="preserve">L’orizzonte complessivo del progetto è stimato in 10–14 mesi, con la possibilità di pubblicare risultati intermedi (ad es. il framework retrospettivo) prima del completamento della componente forward-looking.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1400"/>
        <w:gridCol w:w="2826"/>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Mesi</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principale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Infrastruttura dati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6–8 settimane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Corpus unificato e pipeline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Indicatori testuali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6–8 settimane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3–4</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Serie temporali di indicatori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Analisi retrospettiva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8–10 settimane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5–7</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Evidenza empirica e 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Framework forward-looking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6–8 settimane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7–9</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Early-warning model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Applicazione AI risk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4–6 settimane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9–11</w:t>
            </w:r>
          </w:p>
        </w:tc>
        <w:tc>
          <w:tcPr>
            <w:tcW w:type="dxa" w:w="2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Case study predittivo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Scrittura e submission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6–8 settimane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11–14</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Paper completo</w:t>
            </w:r>
          </w:p>
        </w:tc>
      </w:tr>
    </w:tbl>
    <w:p>
      <w:pPr>
        <w:spacing w:after="60"/>
      </w:pPr>
    </w:p>
    <w:p>
      <w:pPr>
        <w:pStyle w:val="Heading1"/>
      </w:pPr>
      <w:r>
        <w:t xml:space="preserve">Fase 1 – Infrastruttura dati e costruzione del corpus</w:t>
      </w:r>
    </w:p>
    <w:p>
      <w:pPr>
        <w:pStyle w:val="Heading2"/>
      </w:pPr>
      <w:r>
        <w:t xml:space="preserve">Obiettivo</w:t>
      </w:r>
    </w:p>
    <w:p>
      <w:pPr>
        <w:spacing w:after="120" w:line="276"/>
        <w:jc w:val="both"/>
      </w:pPr>
      <w:r>
        <w:rPr>
          <w:rFonts w:ascii="Arial" w:cs="Arial" w:eastAsia="Arial" w:hAnsi="Arial"/>
          <w:color w:val="333333"/>
          <w:sz w:val="22"/>
          <w:szCs w:val="22"/>
        </w:rPr>
        <w:t xml:space="preserve">Costruire una base dati unificata, pulita e riproducibile che alimenti tutte le analisi successive. Questa fase è il fondamento dell’intero progetto: errori o lacune nella raccolta dati si propagano a valle in modo irreversibile.</w:t>
      </w:r>
    </w:p>
    <w:p>
      <w:pPr>
        <w:pStyle w:val="Heading2"/>
      </w:pPr>
      <w:r>
        <w:t xml:space="preserve">Attività operative</w:t>
      </w:r>
    </w:p>
    <w:p>
      <w:pPr>
        <w:pStyle w:val="Heading3"/>
      </w:pPr>
      <w:r>
        <w:t xml:space="preserve">1.1 Acquisizione delle notizie finanziarie</w:t>
      </w:r>
    </w:p>
    <w:p>
      <w:pPr>
        <w:spacing w:after="120" w:line="276"/>
        <w:jc w:val="both"/>
      </w:pPr>
      <w:r>
        <w:rPr>
          <w:rFonts w:ascii="Arial" w:cs="Arial" w:eastAsia="Arial" w:hAnsi="Arial"/>
          <w:color w:val="333333"/>
          <w:sz w:val="22"/>
          <w:szCs w:val="22"/>
        </w:rPr>
        <w:t xml:space="preserve">L’obiettivo è raccogliere articoli full-text da almeno cinque testate finanziarie statunitensi di riferimento (ad es. Wall Street Journal, Financial Times US, Bloomberg, Reuters, New York Times – sezione business) per il periodo 2006–2025. Per ciascun articolo devono essere preservati: testo completo, data di pubblicazione, titolo, autore, sezione/rubrica e, ove disponibili, tag o categorie tematiche.</w:t>
      </w:r>
    </w:p>
    <w:p>
      <w:pPr>
        <w:spacing w:after="120" w:line="276"/>
        <w:jc w:val="both"/>
      </w:pPr>
      <w:r>
        <w:rPr>
          <w:rFonts w:ascii="Arial" w:cs="Arial" w:eastAsia="Arial" w:hAnsi="Arial"/>
          <w:color w:val="333333"/>
          <w:sz w:val="22"/>
          <w:szCs w:val="22"/>
        </w:rPr>
        <w:t xml:space="preserve">Fonti da valutare: API commerciali (Factiva, LexisNexis, Bloomberg Terminal), dataset accademici pre-costituiti (se disponibili tramite accordi istituzionali), o scraping controllato da archivi storici. È essenziale documentare i termini di licenza per garantire la riproducibilità del lavoro.</w:t>
      </w:r>
    </w:p>
    <w:p>
      <w:pPr>
        <w:pStyle w:val="Heading3"/>
      </w:pPr>
      <w:r>
        <w:t xml:space="preserve">1.2 Download dei filing SEC (10-K e 8-K)</w:t>
      </w:r>
    </w:p>
    <w:p>
      <w:pPr>
        <w:spacing w:after="120" w:line="276"/>
        <w:jc w:val="both"/>
      </w:pPr>
      <w:r>
        <w:rPr>
          <w:rFonts w:ascii="Arial" w:cs="Arial" w:eastAsia="Arial" w:hAnsi="Arial"/>
          <w:color w:val="333333"/>
          <w:sz w:val="22"/>
          <w:szCs w:val="22"/>
        </w:rPr>
        <w:t xml:space="preserve">Utilizzare il sistema EDGAR Full-Text Search e/o i bulk download per scaricare i filing 10-K (Item 1A – Risk Factors) e 8-K delle società S&amp;P 500 per il periodo 2006–2025. Per i 10-K l’unità di osservazione è il firm-year; per gli 8-K è il singolo evento (con data esatta del filing).</w:t>
      </w:r>
    </w:p>
    <w:p>
      <w:pPr>
        <w:spacing w:after="120" w:line="276"/>
        <w:jc w:val="both"/>
      </w:pPr>
      <w:r>
        <w:rPr>
          <w:rFonts w:ascii="Arial" w:cs="Arial" w:eastAsia="Arial" w:hAnsi="Arial"/>
          <w:color w:val="333333"/>
          <w:sz w:val="22"/>
          <w:szCs w:val="22"/>
        </w:rPr>
        <w:t xml:space="preserve">Strumenti consigliati: la libreria Python sec-edgar-downloader o edgar per il download sistematico, con parsing HTML/SGML per estrarre le sezioni rilevanti. Il mapping tra CIK, ticker e ragione sociale va mantenuto attraverso il SEC Company Index e riconciliato con i dati di mercato.</w:t>
      </w:r>
    </w:p>
    <w:p>
      <w:pPr>
        <w:pStyle w:val="Heading3"/>
      </w:pPr>
      <w:r>
        <w:t xml:space="preserve">1.3 Preprocessing e normalizzazione</w:t>
      </w:r>
    </w:p>
    <w:p>
      <w:pPr>
        <w:spacing w:after="120" w:line="276"/>
        <w:jc w:val="both"/>
      </w:pPr>
      <w:r>
        <w:rPr>
          <w:rFonts w:ascii="Arial" w:cs="Arial" w:eastAsia="Arial" w:hAnsi="Arial"/>
          <w:color w:val="333333"/>
          <w:sz w:val="22"/>
          <w:szCs w:val="22"/>
        </w:rPr>
        <w:t xml:space="preserve">Il preprocessing deve produrre un corpus uniforme con le seguenti caratteristiche: rimozione del boilerplate (header legali, disclaimer ripetitivi, intestazioni standard); deduplicazione intra- e inter-fonte; segmentazione in paragrafi coerenti; normalizzazione delle entità nominate (nomi di società, ticker, persone) attraverso named entity recognition o matching fuzzy contro un dizionario controllato; assegnazione di un identificativo univoco per documento e per impresa-anno.</w:t>
      </w:r>
    </w:p>
    <w:p>
      <w:pPr>
        <w:pStyle w:val="Heading3"/>
      </w:pPr>
      <w:r>
        <w:t xml:space="preserve">1.4 Infrastruttura di storage e versionamento</w:t>
      </w:r>
    </w:p>
    <w:p>
      <w:pPr>
        <w:spacing w:after="120" w:line="276"/>
        <w:jc w:val="both"/>
      </w:pPr>
      <w:r>
        <w:rPr>
          <w:rFonts w:ascii="Arial" w:cs="Arial" w:eastAsia="Arial" w:hAnsi="Arial"/>
          <w:color w:val="333333"/>
          <w:sz w:val="22"/>
          <w:szCs w:val="22"/>
        </w:rPr>
        <w:t xml:space="preserve">Progettare lo schema di archiviazione in modo da supportare query efficienti per firma, data, tipo di documento e tema. Il formato raccomandato è Parquet per i dati tabulari (metadati + testi indicizzati), con i testi lunghi eventualmente su file system locale o cloud storage. Il codice di raccolta e preprocessing va versionato su Git, con documentazione dettagliata dei parametri di ogni step.</w:t>
      </w:r>
    </w:p>
    <w:p>
      <w:pPr>
        <w:pStyle w:val="Heading2"/>
      </w:pPr>
      <w:r>
        <w:t xml:space="preserve">Deliverable</w:t>
      </w:r>
    </w:p>
    <w:p>
      <w:pPr>
        <w:pStyle w:val="ListParagraph"/>
        <w:numPr>
          <w:ilvl w:val="0"/>
          <w:numId w:val="2"/>
        </w:numPr>
        <w:spacing w:after="60" w:line="276"/>
      </w:pPr>
      <w:r>
        <w:rPr>
          <w:rFonts w:ascii="Arial" w:cs="Arial" w:eastAsia="Arial" w:hAnsi="Arial"/>
          <w:color w:val="333333"/>
          <w:sz w:val="22"/>
          <w:szCs w:val="22"/>
        </w:rPr>
        <w:t xml:space="preserve">Corpus unificato con metadati strutturati (stima: 200–400K documenti tra news, 10-K e 8-K)</w:t>
      </w:r>
    </w:p>
    <w:p>
      <w:pPr>
        <w:pStyle w:val="ListParagraph"/>
        <w:numPr>
          <w:ilvl w:val="0"/>
          <w:numId w:val="2"/>
        </w:numPr>
        <w:spacing w:after="60" w:line="276"/>
      </w:pPr>
      <w:r>
        <w:rPr>
          <w:rFonts w:ascii="Arial" w:cs="Arial" w:eastAsia="Arial" w:hAnsi="Arial"/>
          <w:color w:val="333333"/>
          <w:sz w:val="22"/>
          <w:szCs w:val="22"/>
        </w:rPr>
        <w:t xml:space="preserve">Pipeline di preprocessing documentata e riproducibile</w:t>
      </w:r>
    </w:p>
    <w:p>
      <w:pPr>
        <w:pStyle w:val="ListParagraph"/>
        <w:numPr>
          <w:ilvl w:val="0"/>
          <w:numId w:val="2"/>
        </w:numPr>
        <w:spacing w:after="60" w:line="276"/>
      </w:pPr>
      <w:r>
        <w:rPr>
          <w:rFonts w:ascii="Arial" w:cs="Arial" w:eastAsia="Arial" w:hAnsi="Arial"/>
          <w:color w:val="333333"/>
          <w:sz w:val="22"/>
          <w:szCs w:val="22"/>
        </w:rPr>
        <w:t xml:space="preserve">Dizionario di mappatura impresa (CIK ↔ ticker ↔ ragione sociale)</w:t>
      </w:r>
    </w:p>
    <w:p>
      <w:pPr>
        <w:pStyle w:val="ListParagraph"/>
        <w:numPr>
          <w:ilvl w:val="0"/>
          <w:numId w:val="2"/>
        </w:numPr>
        <w:spacing w:after="60" w:line="276"/>
      </w:pPr>
      <w:r>
        <w:rPr>
          <w:rFonts w:ascii="Arial" w:cs="Arial" w:eastAsia="Arial" w:hAnsi="Arial"/>
          <w:color w:val="333333"/>
          <w:sz w:val="22"/>
          <w:szCs w:val="22"/>
        </w:rPr>
        <w:t xml:space="preserve">Nota tecnica sulle fonti dati, copertura e limitazioni</w:t>
      </w:r>
    </w:p>
    <w:p>
      <w:pPr>
        <w:pStyle w:val="Heading2"/>
      </w:pPr>
      <w:r>
        <w:t xml:space="preserve">Durata stimata</w:t>
      </w:r>
    </w:p>
    <w:p>
      <w:pPr>
        <w:spacing w:after="120" w:line="276"/>
        <w:jc w:val="both"/>
      </w:pPr>
      <w:r>
        <w:rPr>
          <w:rFonts w:ascii="Arial" w:cs="Arial" w:eastAsia="Arial" w:hAnsi="Arial"/>
          <w:color w:val="333333"/>
          <w:sz w:val="22"/>
          <w:szCs w:val="22"/>
        </w:rPr>
        <w:t xml:space="preserve">6–8 settimane. Il collo di bottiglia è tipicamente l’acquisizione delle notizie (negoziazione licenze, tempi di download) e il parsing dei filing SEC, che richiede gestione di formati eterogenei.</w:t>
      </w:r>
    </w:p>
    <w:p>
      <w:pPr>
        <w:pStyle w:val="Heading2"/>
      </w:pPr>
      <w:r>
        <w:t xml:space="preserve">Dipendenze e rischi</w:t>
      </w:r>
    </w:p>
    <w:p>
      <w:pPr>
        <w:pStyle w:val="ListParagraph"/>
        <w:numPr>
          <w:ilvl w:val="0"/>
          <w:numId w:val="3"/>
        </w:numPr>
        <w:spacing w:after="60" w:line="276"/>
      </w:pPr>
      <w:r>
        <w:rPr>
          <w:rFonts w:ascii="Arial" w:cs="Arial" w:eastAsia="Arial" w:hAnsi="Arial"/>
          <w:color w:val="333333"/>
          <w:sz w:val="22"/>
          <w:szCs w:val="22"/>
        </w:rPr>
        <w:t xml:space="preserve">Rischio principale: accesso ai dati di news. Se le API commerciali non sono disponibili o troppo costose, valutare dataset accademici alternativi o restringere le testate.</w:t>
      </w:r>
    </w:p>
    <w:p>
      <w:pPr>
        <w:pStyle w:val="ListParagraph"/>
        <w:numPr>
          <w:ilvl w:val="0"/>
          <w:numId w:val="3"/>
        </w:numPr>
        <w:spacing w:after="60" w:line="276"/>
      </w:pPr>
      <w:r>
        <w:rPr>
          <w:rFonts w:ascii="Arial" w:cs="Arial" w:eastAsia="Arial" w:hAnsi="Arial"/>
          <w:color w:val="333333"/>
          <w:sz w:val="22"/>
          <w:szCs w:val="22"/>
        </w:rPr>
        <w:t xml:space="preserve">Rischio secondario: qualità del parsing SEC. I filing meno recenti (2006–2010) hanno formati più eterogenei; prevedere tempo aggiuntivo per il debugging.</w:t>
      </w:r>
    </w:p>
    <w:p>
      <w:r>
        <w:br w:type="page"/>
      </w:r>
    </w:p>
    <w:p>
      <w:pPr>
        <w:pStyle w:val="Heading1"/>
      </w:pPr>
      <w:r>
        <w:t xml:space="preserve">Fase 2 – Costruzione degli indicatori testuali</w:t>
      </w:r>
    </w:p>
    <w:p>
      <w:pPr>
        <w:pStyle w:val="Heading2"/>
      </w:pPr>
      <w:r>
        <w:t xml:space="preserve">Obiettivo</w:t>
      </w:r>
    </w:p>
    <w:p>
      <w:pPr>
        <w:spacing w:after="120" w:line="276"/>
        <w:jc w:val="both"/>
      </w:pPr>
      <w:r>
        <w:rPr>
          <w:rFonts w:ascii="Arial" w:cs="Arial" w:eastAsia="Arial" w:hAnsi="Arial"/>
          <w:color w:val="333333"/>
          <w:sz w:val="22"/>
          <w:szCs w:val="22"/>
        </w:rPr>
        <w:t xml:space="preserve">Trasformare il corpus grezzo in serie temporali di indicatori quantitativi che catturino le dimensioni chiave dell’emergenza di un rischio: attenzione, novità semantica, diffusione tra imprese e integrazione strutturale con categorie di rischio esistenti.</w:t>
      </w:r>
    </w:p>
    <w:p>
      <w:pPr>
        <w:pStyle w:val="Heading2"/>
      </w:pPr>
      <w:r>
        <w:t xml:space="preserve">Attività operative</w:t>
      </w:r>
    </w:p>
    <w:p>
      <w:pPr>
        <w:pStyle w:val="Heading3"/>
      </w:pPr>
      <w:r>
        <w:t xml:space="preserve">2.1 Indicatori news-based</w:t>
      </w:r>
    </w:p>
    <w:p>
      <w:pPr>
        <w:pStyle w:val="ListParagraph"/>
        <w:numPr>
          <w:ilvl w:val="0"/>
          <w:numId w:val="4"/>
        </w:numPr>
        <w:spacing w:after="60" w:line="276"/>
      </w:pPr>
      <w:r>
        <w:rPr>
          <w:rFonts w:ascii="Arial" w:cs="Arial" w:eastAsia="Arial" w:hAnsi="Arial"/>
          <w:b/>
          <w:bCs/>
          <w:color w:val="333333"/>
          <w:sz w:val="22"/>
          <w:szCs w:val="22"/>
        </w:rPr>
        <w:t xml:space="preserve">Coverage intensity: </w:t>
      </w:r>
      <w:r>
        <w:rPr>
          <w:rFonts w:ascii="Arial" w:cs="Arial" w:eastAsia="Arial" w:hAnsi="Arial"/>
          <w:color w:val="333333"/>
          <w:sz w:val="22"/>
          <w:szCs w:val="22"/>
        </w:rPr>
        <w:t xml:space="preserve">conteggio degli articoli contenenti riferimenti a un tema candidato per unità di tempo (mese o trimestre). Il conteggio va normalizzato rispetto al volume totale di pubblicazione per controllare trend editoriali aggregati.</w:t>
      </w:r>
    </w:p>
    <w:p>
      <w:pPr>
        <w:pStyle w:val="ListParagraph"/>
        <w:numPr>
          <w:ilvl w:val="0"/>
          <w:numId w:val="4"/>
        </w:numPr>
        <w:spacing w:after="60" w:line="276"/>
      </w:pPr>
      <w:r>
        <w:rPr>
          <w:rFonts w:ascii="Arial" w:cs="Arial" w:eastAsia="Arial" w:hAnsi="Arial"/>
          <w:b/>
          <w:bCs/>
          <w:color w:val="333333"/>
          <w:sz w:val="22"/>
          <w:szCs w:val="22"/>
        </w:rPr>
        <w:t xml:space="preserve">Burst detection: </w:t>
      </w:r>
      <w:r>
        <w:rPr>
          <w:rFonts w:ascii="Arial" w:cs="Arial" w:eastAsia="Arial" w:hAnsi="Arial"/>
          <w:color w:val="333333"/>
          <w:sz w:val="22"/>
          <w:szCs w:val="22"/>
        </w:rPr>
        <w:t xml:space="preserve">applicazione dell’algoritmo di Kleinberg (o varianti) per identificare intervalli temporali in cui la frequenza di menzione di un tema supera significativamente il livello di baseline. Il parametro di smoothing va calibrato tramite sensitivity analysis.</w:t>
      </w:r>
    </w:p>
    <w:p>
      <w:pPr>
        <w:pStyle w:val="ListParagraph"/>
        <w:numPr>
          <w:ilvl w:val="0"/>
          <w:numId w:val="4"/>
        </w:numPr>
        <w:spacing w:after="60" w:line="276"/>
      </w:pPr>
      <w:r>
        <w:rPr>
          <w:rFonts w:ascii="Arial" w:cs="Arial" w:eastAsia="Arial" w:hAnsi="Arial"/>
          <w:b/>
          <w:bCs/>
          <w:color w:val="333333"/>
          <w:sz w:val="22"/>
          <w:szCs w:val="22"/>
        </w:rPr>
        <w:t xml:space="preserve">Novelty e semantic drift: </w:t>
      </w:r>
      <w:r>
        <w:rPr>
          <w:rFonts w:ascii="Arial" w:cs="Arial" w:eastAsia="Arial" w:hAnsi="Arial"/>
          <w:color w:val="333333"/>
          <w:sz w:val="22"/>
          <w:szCs w:val="22"/>
        </w:rPr>
        <w:t xml:space="preserve">per ogni tema, calcolare embedding a livello di documento (tramite sentence-transformers o modelli analoghi) e misurare la distanza coseno tra la rappresentazione corrente e quella di un periodo di riferimento. Un aumento di novità segnala che il significato o il contesto d’uso del tema sta evolvendo.</w:t>
      </w:r>
    </w:p>
    <w:p>
      <w:pPr>
        <w:pStyle w:val="ListParagraph"/>
        <w:numPr>
          <w:ilvl w:val="0"/>
          <w:numId w:val="4"/>
        </w:numPr>
        <w:spacing w:after="60" w:line="276"/>
      </w:pPr>
      <w:r>
        <w:rPr>
          <w:rFonts w:ascii="Arial" w:cs="Arial" w:eastAsia="Arial" w:hAnsi="Arial"/>
          <w:b/>
          <w:bCs/>
          <w:color w:val="333333"/>
          <w:sz w:val="22"/>
          <w:szCs w:val="22"/>
        </w:rPr>
        <w:t xml:space="preserve">Entity co-mention networks: </w:t>
      </w:r>
      <w:r>
        <w:rPr>
          <w:rFonts w:ascii="Arial" w:cs="Arial" w:eastAsia="Arial" w:hAnsi="Arial"/>
          <w:color w:val="333333"/>
          <w:sz w:val="22"/>
          <w:szCs w:val="22"/>
        </w:rPr>
        <w:t xml:space="preserve">costruire grafi bipartiti tema–impresa e tema–industria per periodo temporale. L’espansione del grafo (nuovi nodi, aumento della densità) indica diffusione del tema attraverso settori.</w:t>
      </w:r>
    </w:p>
    <w:p>
      <w:pPr>
        <w:pStyle w:val="Heading3"/>
      </w:pPr>
      <w:r>
        <w:t xml:space="preserve">2.2 Indicatori disclosure-based</w:t>
      </w:r>
    </w:p>
    <w:p>
      <w:pPr>
        <w:pStyle w:val="ListParagraph"/>
        <w:numPr>
          <w:ilvl w:val="0"/>
          <w:numId w:val="5"/>
        </w:numPr>
        <w:spacing w:after="60" w:line="276"/>
      </w:pPr>
      <w:r>
        <w:rPr>
          <w:rFonts w:ascii="Arial" w:cs="Arial" w:eastAsia="Arial" w:hAnsi="Arial"/>
          <w:b/>
          <w:bCs/>
          <w:color w:val="333333"/>
          <w:sz w:val="22"/>
          <w:szCs w:val="22"/>
        </w:rPr>
        <w:t xml:space="preserve">Disclosure diffusion Dr(t): </w:t>
      </w:r>
      <w:r>
        <w:rPr>
          <w:rFonts w:ascii="Arial" w:cs="Arial" w:eastAsia="Arial" w:hAnsi="Arial"/>
          <w:color w:val="333333"/>
          <w:sz w:val="22"/>
          <w:szCs w:val="22"/>
        </w:rPr>
        <w:t xml:space="preserve">la frazione di imprese che menzionano il rischio r nel proprio 10-K Item 1A al tempo t. Questa è la variabile chiave per definire t* (cfr. Appendice B del progetto). Va calcolata anche una versione condizionata per settore.</w:t>
      </w:r>
    </w:p>
    <w:p>
      <w:pPr>
        <w:pStyle w:val="ListParagraph"/>
        <w:numPr>
          <w:ilvl w:val="0"/>
          <w:numId w:val="5"/>
        </w:numPr>
        <w:spacing w:after="60" w:line="276"/>
      </w:pPr>
      <w:r>
        <w:rPr>
          <w:rFonts w:ascii="Arial" w:cs="Arial" w:eastAsia="Arial" w:hAnsi="Arial"/>
          <w:b/>
          <w:bCs/>
          <w:color w:val="333333"/>
          <w:sz w:val="22"/>
          <w:szCs w:val="22"/>
        </w:rPr>
        <w:t xml:space="preserve">Disclosure intensity: </w:t>
      </w:r>
      <w:r>
        <w:rPr>
          <w:rFonts w:ascii="Arial" w:cs="Arial" w:eastAsia="Arial" w:hAnsi="Arial"/>
          <w:color w:val="333333"/>
          <w:sz w:val="22"/>
          <w:szCs w:val="22"/>
        </w:rPr>
        <w:t xml:space="preserve">il numero di paragrafi o frasi dedicate al rischio r all’interno del filing, normalizzato per la lunghezza totale della sezione Item 1A. Cattura la profondità della trattazione.</w:t>
      </w:r>
    </w:p>
    <w:p>
      <w:pPr>
        <w:pStyle w:val="ListParagraph"/>
        <w:numPr>
          <w:ilvl w:val="0"/>
          <w:numId w:val="5"/>
        </w:numPr>
        <w:spacing w:after="60" w:line="276"/>
      </w:pPr>
      <w:r>
        <w:rPr>
          <w:rFonts w:ascii="Arial" w:cs="Arial" w:eastAsia="Arial" w:hAnsi="Arial"/>
          <w:b/>
          <w:bCs/>
          <w:color w:val="333333"/>
          <w:sz w:val="22"/>
          <w:szCs w:val="22"/>
        </w:rPr>
        <w:t xml:space="preserve">Co-occurrence patterns: </w:t>
      </w:r>
      <w:r>
        <w:rPr>
          <w:rFonts w:ascii="Arial" w:cs="Arial" w:eastAsia="Arial" w:hAnsi="Arial"/>
          <w:color w:val="333333"/>
          <w:sz w:val="22"/>
          <w:szCs w:val="22"/>
        </w:rPr>
        <w:t xml:space="preserve">matrice di co-occorrenza tra rischi diversi all’interno dello stesso filing. Permette di distinguere tra rischi “satellitari” (che emergono sempre insieme a un rischio noto) e rischi “autonomizzati” (che acquisiscono una sezione propria).</w:t>
      </w:r>
    </w:p>
    <w:p>
      <w:pPr>
        <w:pStyle w:val="ListParagraph"/>
        <w:numPr>
          <w:ilvl w:val="0"/>
          <w:numId w:val="5"/>
        </w:numPr>
        <w:spacing w:after="60" w:line="276"/>
      </w:pPr>
      <w:r>
        <w:rPr>
          <w:rFonts w:ascii="Arial" w:cs="Arial" w:eastAsia="Arial" w:hAnsi="Arial"/>
          <w:b/>
          <w:bCs/>
          <w:color w:val="333333"/>
          <w:sz w:val="22"/>
          <w:szCs w:val="22"/>
        </w:rPr>
        <w:t xml:space="preserve">Lead–lag 8-K → 10-K: </w:t>
      </w:r>
      <w:r>
        <w:rPr>
          <w:rFonts w:ascii="Arial" w:cs="Arial" w:eastAsia="Arial" w:hAnsi="Arial"/>
          <w:color w:val="333333"/>
          <w:sz w:val="22"/>
          <w:szCs w:val="22"/>
        </w:rPr>
        <w:t xml:space="preserve">per ogni tema, misurare il ritardo temporale tra la prima menzione in un 8-K e la successiva inclusione nel 10-K della stessa impresa. Un lead sistematico degli 8-K indica che questi fungono da segnale anticipatore.</w:t>
      </w:r>
    </w:p>
    <w:p>
      <w:pPr>
        <w:pStyle w:val="Heading3"/>
      </w:pPr>
      <w:r>
        <w:t xml:space="preserve">2.3 Tagging dei temi candidati</w:t>
      </w:r>
    </w:p>
    <w:p>
      <w:pPr>
        <w:spacing w:after="120" w:line="276"/>
        <w:jc w:val="both"/>
      </w:pPr>
      <w:r>
        <w:rPr>
          <w:rFonts w:ascii="Arial" w:cs="Arial" w:eastAsia="Arial" w:hAnsi="Arial"/>
          <w:color w:val="333333"/>
          <w:sz w:val="22"/>
          <w:szCs w:val="22"/>
        </w:rPr>
        <w:t xml:space="preserve">I temi identificati nella fase di burst detection devono essere mappati sistematicamente sui documenti del corpus. Due approcci complementari vanno implementati e confrontati: classificazione weakly supervised (basata su seed words + espansione tramite similarità semantica) e classificazione supervisionata (con un campione manualmente annotato di almeno 500–1.000 documenti per tema). Il tagger deve produrre uno score continuo a livello di documento, non solo una label binaria.</w:t>
      </w:r>
    </w:p>
    <w:p>
      <w:pPr>
        <w:pStyle w:val="Heading2"/>
      </w:pPr>
      <w:r>
        <w:t xml:space="preserve">Deliverable</w:t>
      </w:r>
    </w:p>
    <w:p>
      <w:pPr>
        <w:pStyle w:val="ListParagraph"/>
        <w:numPr>
          <w:ilvl w:val="0"/>
          <w:numId w:val="6"/>
        </w:numPr>
        <w:spacing w:after="60" w:line="276"/>
      </w:pPr>
      <w:r>
        <w:rPr>
          <w:rFonts w:ascii="Arial" w:cs="Arial" w:eastAsia="Arial" w:hAnsi="Arial"/>
          <w:color w:val="333333"/>
          <w:sz w:val="22"/>
          <w:szCs w:val="22"/>
        </w:rPr>
        <w:t xml:space="preserve">Dataset di serie temporali per ciascun indicatore, indicizzato per tema × tempo (× impresa dove applicabile)</w:t>
      </w:r>
    </w:p>
    <w:p>
      <w:pPr>
        <w:pStyle w:val="ListParagraph"/>
        <w:numPr>
          <w:ilvl w:val="0"/>
          <w:numId w:val="6"/>
        </w:numPr>
        <w:spacing w:after="60" w:line="276"/>
      </w:pPr>
      <w:r>
        <w:rPr>
          <w:rFonts w:ascii="Arial" w:cs="Arial" w:eastAsia="Arial" w:hAnsi="Arial"/>
          <w:color w:val="333333"/>
          <w:sz w:val="22"/>
          <w:szCs w:val="22"/>
        </w:rPr>
        <w:t xml:space="preserve">Codice modulare per il calcolo degli indicatori, con unit test</w:t>
      </w:r>
    </w:p>
    <w:p>
      <w:pPr>
        <w:pStyle w:val="ListParagraph"/>
        <w:numPr>
          <w:ilvl w:val="0"/>
          <w:numId w:val="6"/>
        </w:numPr>
        <w:spacing w:after="60" w:line="276"/>
      </w:pPr>
      <w:r>
        <w:rPr>
          <w:rFonts w:ascii="Arial" w:cs="Arial" w:eastAsia="Arial" w:hAnsi="Arial"/>
          <w:color w:val="333333"/>
          <w:sz w:val="22"/>
          <w:szCs w:val="22"/>
        </w:rPr>
        <w:t xml:space="preserve">Report di validazione qualitativa: confronto degli indicatori con narrative storiche note (es. emergenza del cyber risk, rischio climatico, rischio pandemico)</w:t>
      </w:r>
    </w:p>
    <w:p>
      <w:pPr>
        <w:pStyle w:val="Heading2"/>
      </w:pPr>
      <w:r>
        <w:t xml:space="preserve">Durata stimata</w:t>
      </w:r>
    </w:p>
    <w:p>
      <w:pPr>
        <w:spacing w:after="120" w:line="276"/>
        <w:jc w:val="both"/>
      </w:pPr>
      <w:r>
        <w:rPr>
          <w:rFonts w:ascii="Arial" w:cs="Arial" w:eastAsia="Arial" w:hAnsi="Arial"/>
          <w:color w:val="333333"/>
          <w:sz w:val="22"/>
          <w:szCs w:val="22"/>
        </w:rPr>
        <w:t xml:space="preserve">6–8 settimane. Il punto critico è la calibrazione degli indicatori di novità semantica e la validazione del tagger, che richiedono iterazione.</w:t>
      </w:r>
    </w:p>
    <w:p>
      <w:pPr>
        <w:pStyle w:val="Heading2"/>
      </w:pPr>
      <w:r>
        <w:t xml:space="preserve">Dipendenze</w:t>
      </w:r>
    </w:p>
    <w:p>
      <w:pPr>
        <w:spacing w:after="120" w:line="276"/>
        <w:jc w:val="both"/>
      </w:pPr>
      <w:r>
        <w:rPr>
          <w:rFonts w:ascii="Arial" w:cs="Arial" w:eastAsia="Arial" w:hAnsi="Arial"/>
          <w:color w:val="333333"/>
          <w:sz w:val="22"/>
          <w:szCs w:val="22"/>
        </w:rPr>
        <w:t xml:space="preserve">Richiede il completamento della Fase 1 (corpus unificato). Può iniziare parzialmente in parallelo se i filing SEC sono disponibili prima delle notizie.</w:t>
      </w:r>
    </w:p>
    <w:p>
      <w:r>
        <w:br w:type="page"/>
      </w:r>
    </w:p>
    <w:p>
      <w:pPr>
        <w:pStyle w:val="Heading1"/>
      </w:pPr>
      <w:r>
        <w:t xml:space="preserve">Fase 3 – Analisi retrospettiva e stima dei meccanismi di emergenza</w:t>
      </w:r>
    </w:p>
    <w:p>
      <w:pPr>
        <w:pStyle w:val="Heading2"/>
      </w:pPr>
      <w:r>
        <w:t xml:space="preserve">Obiettivo</w:t>
      </w:r>
    </w:p>
    <w:p>
      <w:pPr>
        <w:spacing w:after="120" w:line="276"/>
        <w:jc w:val="both"/>
      </w:pPr>
      <w:r>
        <w:rPr>
          <w:rFonts w:ascii="Arial" w:cs="Arial" w:eastAsia="Arial" w:hAnsi="Arial"/>
          <w:color w:val="333333"/>
          <w:sz w:val="22"/>
          <w:szCs w:val="22"/>
        </w:rPr>
        <w:t xml:space="preserve">Rispondere alla RQ1: ricostruire i pattern storici di emergenza dei rischi finanziari, stimare il tempo di emergenza t* per ciascun tema, e identificare le regolarità empiriche nei rapporti lead–lag tra canali informativi.</w:t>
      </w:r>
    </w:p>
    <w:p>
      <w:pPr>
        <w:pStyle w:val="Heading2"/>
      </w:pPr>
      <w:r>
        <w:t xml:space="preserve">Attività operative</w:t>
      </w:r>
    </w:p>
    <w:p>
      <w:pPr>
        <w:pStyle w:val="Heading3"/>
      </w:pPr>
      <w:r>
        <w:t xml:space="preserve">3.1 Stima del tempo di emergenza t*</w:t>
      </w:r>
    </w:p>
    <w:p>
      <w:pPr>
        <w:spacing w:after="120" w:line="276"/>
        <w:jc w:val="both"/>
      </w:pPr>
      <w:r>
        <w:rPr>
          <w:rFonts w:ascii="Arial" w:cs="Arial" w:eastAsia="Arial" w:hAnsi="Arial"/>
          <w:color w:val="333333"/>
          <w:sz w:val="22"/>
          <w:szCs w:val="22"/>
        </w:rPr>
        <w:t xml:space="preserve">Per ciascun tema candidato, applicare metodi di change-point detection alla curva di diffusione Dr(t). L’approccio primario è il Pruned Exact Linear Time (PELT) con funzione di costo basata su mean-shift o su un modello di Poisson. Vanno testati almeno due metodi alternativi (e.g. Binary Segmentation, BOCPD) per verificare la robustezza della stima.</w:t>
      </w:r>
    </w:p>
    <w:p>
      <w:pPr>
        <w:spacing w:after="120" w:line="276"/>
        <w:jc w:val="both"/>
      </w:pPr>
      <w:r>
        <w:rPr>
          <w:rFonts w:ascii="Arial" w:cs="Arial" w:eastAsia="Arial" w:hAnsi="Arial"/>
          <w:color w:val="333333"/>
          <w:sz w:val="22"/>
          <w:szCs w:val="22"/>
        </w:rPr>
        <w:t xml:space="preserve">La stima di t* va validata qualitativamente confrontandola con la cronologia documentata degli eventi: regolamentazione, incidenti rilevanti, pubblicazioni influenti. Questa validazione non entra nel modello ma supporta l’interpretazione.</w:t>
      </w:r>
    </w:p>
    <w:p>
      <w:pPr>
        <w:pStyle w:val="Heading3"/>
      </w:pPr>
      <w:r>
        <w:t xml:space="preserve">3.2 Modelli event-history (hazard)</w:t>
      </w:r>
    </w:p>
    <w:p>
      <w:pPr>
        <w:spacing w:after="120" w:line="276"/>
        <w:jc w:val="both"/>
      </w:pPr>
      <w:r>
        <w:rPr>
          <w:rFonts w:ascii="Arial" w:cs="Arial" w:eastAsia="Arial" w:hAnsi="Arial"/>
          <w:color w:val="333333"/>
          <w:sz w:val="22"/>
          <w:szCs w:val="22"/>
        </w:rPr>
        <w:t xml:space="preserve">Stimare modelli di Cox a rischi proporzionali in cui l’evento è la prima menzione di un rischio r da parte dell’impresa i nel proprio 10-K. Le covariate includono: indicatori news-based (coverage intensity, burst, novità) con lag appropriati; caratteristiche d’impresa (dimensione, settore, complessità operativa); disclosure intensity pregressa su rischi correlati. I modelli vanno stratificati per settore e stimati con standard error clustered per impresa.</w:t>
      </w:r>
    </w:p>
    <w:p>
      <w:pPr>
        <w:spacing w:after="120" w:line="276"/>
        <w:jc w:val="both"/>
      </w:pPr>
      <w:r>
        <w:rPr>
          <w:rFonts w:ascii="Arial" w:cs="Arial" w:eastAsia="Arial" w:hAnsi="Arial"/>
          <w:color w:val="333333"/>
          <w:sz w:val="22"/>
          <w:szCs w:val="22"/>
        </w:rPr>
        <w:t xml:space="preserve">Questa analisi quantifica il contributo marginale di ciascun canale informativo alla probabilità di adozione del rischio nei filing.</w:t>
      </w:r>
    </w:p>
    <w:p>
      <w:pPr>
        <w:pStyle w:val="Heading3"/>
      </w:pPr>
      <w:r>
        <w:t xml:space="preserve">3.3 Analisi di Granger causality</w:t>
      </w:r>
    </w:p>
    <w:p>
      <w:pPr>
        <w:spacing w:after="120" w:line="276"/>
        <w:jc w:val="both"/>
      </w:pPr>
      <w:r>
        <w:rPr>
          <w:rFonts w:ascii="Arial" w:cs="Arial" w:eastAsia="Arial" w:hAnsi="Arial"/>
          <w:color w:val="333333"/>
          <w:sz w:val="22"/>
          <w:szCs w:val="22"/>
        </w:rPr>
        <w:t xml:space="preserve">Testare la direzione della relazione temporale tra indicatori news-based e disclosure-based tramite Granger causality test su panel VAR. L’ipotesi di lavoro è che le news precedano sistematicamente i filing, ma la struttura temporale può variare per tipo di rischio e per fase del ciclo di emergenza.</w:t>
      </w:r>
    </w:p>
    <w:p>
      <w:pPr>
        <w:pStyle w:val="Heading3"/>
      </w:pPr>
      <w:r>
        <w:t xml:space="preserve">3.4 Case studies retrospettivi</w:t>
      </w:r>
    </w:p>
    <w:p>
      <w:pPr>
        <w:spacing w:after="120" w:line="276"/>
        <w:jc w:val="both"/>
      </w:pPr>
      <w:r>
        <w:rPr>
          <w:rFonts w:ascii="Arial" w:cs="Arial" w:eastAsia="Arial" w:hAnsi="Arial"/>
          <w:color w:val="333333"/>
          <w:sz w:val="22"/>
          <w:szCs w:val="22"/>
        </w:rPr>
        <w:t xml:space="preserve">Selezionare 3–5 episodi storici di emergenza di rischio ben documentati (candidati: cyber risk ~2013–2016, rischio climatico ~2017–2020, rischio pandemico ~2020, rischio di supply chain ~2020–2021) e produrre analisi approfondite che combinino gli indicatori quantitativi con narrative qualitative. Questi case studies servono sia come validazione sia come materiale illustrativo per il paper.</w:t>
      </w:r>
    </w:p>
    <w:p>
      <w:pPr>
        <w:pStyle w:val="Heading2"/>
      </w:pPr>
      <w:r>
        <w:t xml:space="preserve">Deliverable</w:t>
      </w:r>
    </w:p>
    <w:p>
      <w:pPr>
        <w:pStyle w:val="ListParagraph"/>
        <w:numPr>
          <w:ilvl w:val="0"/>
          <w:numId w:val="6"/>
        </w:numPr>
        <w:spacing w:after="60" w:line="276"/>
      </w:pPr>
      <w:r>
        <w:rPr>
          <w:rFonts w:ascii="Arial" w:cs="Arial" w:eastAsia="Arial" w:hAnsi="Arial"/>
          <w:color w:val="333333"/>
          <w:sz w:val="22"/>
          <w:szCs w:val="22"/>
        </w:rPr>
        <w:t xml:space="preserve">Stime di t* per ciascun tema, con intervalli di confidenza e robustness check</w:t>
      </w:r>
    </w:p>
    <w:p>
      <w:pPr>
        <w:pStyle w:val="ListParagraph"/>
        <w:numPr>
          <w:ilvl w:val="0"/>
          <w:numId w:val="6"/>
        </w:numPr>
        <w:spacing w:after="60" w:line="276"/>
      </w:pPr>
      <w:r>
        <w:rPr>
          <w:rFonts w:ascii="Arial" w:cs="Arial" w:eastAsia="Arial" w:hAnsi="Arial"/>
          <w:color w:val="333333"/>
          <w:sz w:val="22"/>
          <w:szCs w:val="22"/>
        </w:rPr>
        <w:t xml:space="preserve">Tabelle di regressione Cox con interpretazione dei coefficienti</w:t>
      </w:r>
    </w:p>
    <w:p>
      <w:pPr>
        <w:pStyle w:val="ListParagraph"/>
        <w:numPr>
          <w:ilvl w:val="0"/>
          <w:numId w:val="6"/>
        </w:numPr>
        <w:spacing w:after="60" w:line="276"/>
      </w:pPr>
      <w:r>
        <w:rPr>
          <w:rFonts w:ascii="Arial" w:cs="Arial" w:eastAsia="Arial" w:hAnsi="Arial"/>
          <w:color w:val="333333"/>
          <w:sz w:val="22"/>
          <w:szCs w:val="22"/>
        </w:rPr>
        <w:t xml:space="preserve">Risultati Granger causality con visualizzazione dei lead–lag</w:t>
      </w:r>
    </w:p>
    <w:p>
      <w:pPr>
        <w:pStyle w:val="ListParagraph"/>
        <w:numPr>
          <w:ilvl w:val="0"/>
          <w:numId w:val="6"/>
        </w:numPr>
        <w:spacing w:after="60" w:line="276"/>
      </w:pPr>
      <w:r>
        <w:rPr>
          <w:rFonts w:ascii="Arial" w:cs="Arial" w:eastAsia="Arial" w:hAnsi="Arial"/>
          <w:color w:val="333333"/>
          <w:sz w:val="22"/>
          <w:szCs w:val="22"/>
        </w:rPr>
        <w:t xml:space="preserve">3–5 case studies retrospettivi dettagliati</w:t>
      </w:r>
    </w:p>
    <w:p>
      <w:pPr>
        <w:pStyle w:val="Heading2"/>
      </w:pPr>
      <w:r>
        <w:t xml:space="preserve">Durata stimata</w:t>
      </w:r>
    </w:p>
    <w:p>
      <w:pPr>
        <w:spacing w:after="120" w:line="276"/>
        <w:jc w:val="both"/>
      </w:pPr>
      <w:r>
        <w:rPr>
          <w:rFonts w:ascii="Arial" w:cs="Arial" w:eastAsia="Arial" w:hAnsi="Arial"/>
          <w:color w:val="333333"/>
          <w:sz w:val="22"/>
          <w:szCs w:val="22"/>
        </w:rPr>
        <w:t xml:space="preserve">8–10 settimane. È la fase analiticamente più densa e quella che produce il nucleo dei risultati empirici.</w:t>
      </w:r>
    </w:p>
    <w:p>
      <w:pPr>
        <w:pStyle w:val="Heading2"/>
      </w:pPr>
      <w:r>
        <w:t xml:space="preserve">Dipendenze</w:t>
      </w:r>
    </w:p>
    <w:p>
      <w:pPr>
        <w:spacing w:after="120" w:line="276"/>
        <w:jc w:val="both"/>
      </w:pPr>
      <w:r>
        <w:rPr>
          <w:rFonts w:ascii="Arial" w:cs="Arial" w:eastAsia="Arial" w:hAnsi="Arial"/>
          <w:color w:val="333333"/>
          <w:sz w:val="22"/>
          <w:szCs w:val="22"/>
        </w:rPr>
        <w:t xml:space="preserve">Richiede il completamento della Fase 2. I case studies possono essere avviati anche con indicatori preliminari.</w:t>
      </w:r>
    </w:p>
    <w:p>
      <w:pPr>
        <w:pStyle w:val="Heading2"/>
      </w:pPr>
      <w:r>
        <w:t xml:space="preserve">Nota strategica</w:t>
      </w:r>
    </w:p>
    <w:p>
      <w:pPr>
        <w:spacing w:after="120" w:line="276"/>
        <w:jc w:val="both"/>
      </w:pPr>
      <w:r>
        <w:rPr>
          <w:rFonts w:ascii="Arial" w:cs="Arial" w:eastAsia="Arial" w:hAnsi="Arial"/>
          <w:color w:val="333333"/>
          <w:sz w:val="22"/>
          <w:szCs w:val="22"/>
        </w:rPr>
        <w:t xml:space="preserve">Al termine di questa fase, il materiale è sufficiente per un primo paper focalizzato sulla componente retrospettiva (RQ1). Questo consente una strategia di pubblicazione in due tempi, riducendo il rischio di un paper troppo lungo o con troppi contributi simultanei.</w:t>
      </w:r>
    </w:p>
    <w:p>
      <w:r>
        <w:br w:type="page"/>
      </w:r>
    </w:p>
    <w:p>
      <w:pPr>
        <w:pStyle w:val="Heading1"/>
      </w:pPr>
      <w:r>
        <w:t xml:space="preserve">Fase 4 – Framework di early warning forward-looking</w:t>
      </w:r>
    </w:p>
    <w:p>
      <w:pPr>
        <w:pStyle w:val="Heading2"/>
      </w:pPr>
      <w:r>
        <w:t xml:space="preserve">Obiettivo</w:t>
      </w:r>
    </w:p>
    <w:p>
      <w:pPr>
        <w:spacing w:after="120" w:line="276"/>
        <w:jc w:val="both"/>
      </w:pPr>
      <w:r>
        <w:rPr>
          <w:rFonts w:ascii="Arial" w:cs="Arial" w:eastAsia="Arial" w:hAnsi="Arial"/>
          <w:color w:val="333333"/>
          <w:sz w:val="22"/>
          <w:szCs w:val="22"/>
        </w:rPr>
        <w:t xml:space="preserve">Costruire e validare un modello che, utilizzando solo informazione disponibile fino alla data di previsione, stimi la probabilità che un tema candidato diventi un rischio istituzionalizzato entro orizzonti di 3, 6 e 12 mesi.</w:t>
      </w:r>
    </w:p>
    <w:p>
      <w:pPr>
        <w:pStyle w:val="Heading2"/>
      </w:pPr>
      <w:r>
        <w:t xml:space="preserve">Attività operative</w:t>
      </w:r>
    </w:p>
    <w:p>
      <w:pPr>
        <w:pStyle w:val="Heading3"/>
      </w:pPr>
      <w:r>
        <w:t xml:space="preserve">4.1 Design del modello predittivo</w:t>
      </w:r>
    </w:p>
    <w:p>
      <w:pPr>
        <w:spacing w:after="120" w:line="276"/>
        <w:jc w:val="both"/>
      </w:pPr>
      <w:r>
        <w:rPr>
          <w:rFonts w:ascii="Arial" w:cs="Arial" w:eastAsia="Arial" w:hAnsi="Arial"/>
          <w:color w:val="333333"/>
          <w:sz w:val="22"/>
          <w:szCs w:val="22"/>
        </w:rPr>
        <w:t xml:space="preserve">L’architettura del modello deve integrare gli indicatori costruiti nella Fase 2 in un framework di classificazione o regressione temporale. Due approcci vanno sviluppati e confrontati: un modello parametrico (logit panel o hazard con covariate time-varying) e un modello a ensemble (gradient boosting o random forest) con feature engineering basata sugli indicatori testuali.</w:t>
      </w:r>
    </w:p>
    <w:p>
      <w:pPr>
        <w:spacing w:after="120" w:line="276"/>
        <w:jc w:val="both"/>
      </w:pPr>
      <w:r>
        <w:rPr>
          <w:rFonts w:ascii="Arial" w:cs="Arial" w:eastAsia="Arial" w:hAnsi="Arial"/>
          <w:color w:val="333333"/>
          <w:sz w:val="22"/>
          <w:szCs w:val="22"/>
        </w:rPr>
        <w:t xml:space="preserve">La variabile target è binaria: il tema candidato ha superato la soglia di diffusione Dr(t) &gt; δ entro l’orizzonte h? La soglia δ va calibrata in base alla distribuzione empirica di Dr(t) osservata nella Fase 3.</w:t>
      </w:r>
    </w:p>
    <w:p>
      <w:pPr>
        <w:pStyle w:val="Heading3"/>
      </w:pPr>
      <w:r>
        <w:t xml:space="preserve">4.2 Protocollo di validazione rolling-window</w:t>
      </w:r>
    </w:p>
    <w:p>
      <w:pPr>
        <w:spacing w:after="120" w:line="276"/>
        <w:jc w:val="both"/>
      </w:pPr>
      <w:r>
        <w:rPr>
          <w:rFonts w:ascii="Arial" w:cs="Arial" w:eastAsia="Arial" w:hAnsi="Arial"/>
          <w:color w:val="333333"/>
          <w:sz w:val="22"/>
          <w:szCs w:val="22"/>
        </w:rPr>
        <w:t xml:space="preserve">Il modello deve essere valutato in un setting strettamente out-of-sample con espansione progressiva della finestra di training. Per ogni data di forecast t, il modello usa solo informazione fino a t e predice la diffusione nell’intervallo [t, t+h]. Le metriche di valutazione includono: AUC-ROC, precision-recall curve, calibrazione delle probabilità, e Brier score.</w:t>
      </w:r>
    </w:p>
    <w:p>
      <w:pPr>
        <w:spacing w:after="120" w:line="276"/>
        <w:jc w:val="both"/>
      </w:pPr>
      <w:r>
        <w:rPr>
          <w:rFonts w:ascii="Arial" w:cs="Arial" w:eastAsia="Arial" w:hAnsi="Arial"/>
          <w:color w:val="333333"/>
          <w:sz w:val="22"/>
          <w:szCs w:val="22"/>
        </w:rPr>
        <w:t xml:space="preserve">La finestra iniziale di training deve contenere almeno 2–3 episodi completi di emergenza per garantire una stima affidabile dei parametri.</w:t>
      </w:r>
    </w:p>
    <w:p>
      <w:pPr>
        <w:pStyle w:val="Heading3"/>
      </w:pPr>
      <w:r>
        <w:t xml:space="preserve">4.3 Feature importance e interpretabilità</w:t>
      </w:r>
    </w:p>
    <w:p>
      <w:pPr>
        <w:spacing w:after="120" w:line="276"/>
        <w:jc w:val="both"/>
      </w:pPr>
      <w:r>
        <w:rPr>
          <w:rFonts w:ascii="Arial" w:cs="Arial" w:eastAsia="Arial" w:hAnsi="Arial"/>
          <w:color w:val="333333"/>
          <w:sz w:val="22"/>
          <w:szCs w:val="22"/>
        </w:rPr>
        <w:t xml:space="preserve">Utilizzare SHAP values per quantificare il contributo marginale di ciascun indicatore alla previsione. Questo passaggio è cruciale sia per la validazione scientifica (il modello cattura dinamiche economicamente sensate?) sia per l’utilizzo pratico (quali segnali monitorare?).</w:t>
      </w:r>
    </w:p>
    <w:p>
      <w:pPr>
        <w:pStyle w:val="Heading2"/>
      </w:pPr>
      <w:r>
        <w:t xml:space="preserve">Deliverable</w:t>
      </w:r>
    </w:p>
    <w:p>
      <w:pPr>
        <w:pStyle w:val="ListParagraph"/>
        <w:numPr>
          <w:ilvl w:val="0"/>
          <w:numId w:val="6"/>
        </w:numPr>
        <w:spacing w:after="60" w:line="276"/>
      </w:pPr>
      <w:r>
        <w:rPr>
          <w:rFonts w:ascii="Arial" w:cs="Arial" w:eastAsia="Arial" w:hAnsi="Arial"/>
          <w:color w:val="333333"/>
          <w:sz w:val="22"/>
          <w:szCs w:val="22"/>
        </w:rPr>
        <w:t xml:space="preserve">Modello predittivo implementato con codice riproducibile</w:t>
      </w:r>
    </w:p>
    <w:p>
      <w:pPr>
        <w:pStyle w:val="ListParagraph"/>
        <w:numPr>
          <w:ilvl w:val="0"/>
          <w:numId w:val="6"/>
        </w:numPr>
        <w:spacing w:after="60" w:line="276"/>
      </w:pPr>
      <w:r>
        <w:rPr>
          <w:rFonts w:ascii="Arial" w:cs="Arial" w:eastAsia="Arial" w:hAnsi="Arial"/>
          <w:color w:val="333333"/>
          <w:sz w:val="22"/>
          <w:szCs w:val="22"/>
        </w:rPr>
        <w:t xml:space="preserve">Risultati di validazione rolling-window con metriche di performance</w:t>
      </w:r>
    </w:p>
    <w:p>
      <w:pPr>
        <w:pStyle w:val="ListParagraph"/>
        <w:numPr>
          <w:ilvl w:val="0"/>
          <w:numId w:val="6"/>
        </w:numPr>
        <w:spacing w:after="60" w:line="276"/>
      </w:pPr>
      <w:r>
        <w:rPr>
          <w:rFonts w:ascii="Arial" w:cs="Arial" w:eastAsia="Arial" w:hAnsi="Arial"/>
          <w:color w:val="333333"/>
          <w:sz w:val="22"/>
          <w:szCs w:val="22"/>
        </w:rPr>
        <w:t xml:space="preserve">Analisi SHAP con ranking delle feature per orizzonte di previsione</w:t>
      </w:r>
    </w:p>
    <w:p>
      <w:pPr>
        <w:pStyle w:val="ListParagraph"/>
        <w:numPr>
          <w:ilvl w:val="0"/>
          <w:numId w:val="6"/>
        </w:numPr>
        <w:spacing w:after="60" w:line="276"/>
      </w:pPr>
      <w:r>
        <w:rPr>
          <w:rFonts w:ascii="Arial" w:cs="Arial" w:eastAsia="Arial" w:hAnsi="Arial"/>
          <w:color w:val="333333"/>
          <w:sz w:val="22"/>
          <w:szCs w:val="22"/>
        </w:rPr>
        <w:t xml:space="preserve">Confronto tra approccio parametrico e machine learning</w:t>
      </w:r>
    </w:p>
    <w:p>
      <w:pPr>
        <w:pStyle w:val="Heading2"/>
      </w:pPr>
      <w:r>
        <w:t xml:space="preserve">Durata stimata</w:t>
      </w:r>
    </w:p>
    <w:p>
      <w:pPr>
        <w:spacing w:after="120" w:line="276"/>
        <w:jc w:val="both"/>
      </w:pPr>
      <w:r>
        <w:rPr>
          <w:rFonts w:ascii="Arial" w:cs="Arial" w:eastAsia="Arial" w:hAnsi="Arial"/>
          <w:color w:val="333333"/>
          <w:sz w:val="22"/>
          <w:szCs w:val="22"/>
        </w:rPr>
        <w:t xml:space="preserve">6–8 settimane. Il tempo dipende dalla complessità del tuning e dalla necessità di iterare sulla definizione della variabile target.</w:t>
      </w:r>
    </w:p>
    <w:p>
      <w:r>
        <w:br w:type="page"/>
      </w:r>
    </w:p>
    <w:p>
      <w:pPr>
        <w:pStyle w:val="Heading1"/>
      </w:pPr>
      <w:r>
        <w:t xml:space="preserve">Fase 5 – Applicazione al rischio AI</w:t>
      </w:r>
    </w:p>
    <w:p>
      <w:pPr>
        <w:pStyle w:val="Heading2"/>
      </w:pPr>
      <w:r>
        <w:t xml:space="preserve">Obiettivo</w:t>
      </w:r>
    </w:p>
    <w:p>
      <w:pPr>
        <w:spacing w:after="120" w:line="276"/>
        <w:jc w:val="both"/>
      </w:pPr>
      <w:r>
        <w:rPr>
          <w:rFonts w:ascii="Arial" w:cs="Arial" w:eastAsia="Arial" w:hAnsi="Arial"/>
          <w:color w:val="333333"/>
          <w:sz w:val="22"/>
          <w:szCs w:val="22"/>
        </w:rPr>
        <w:t xml:space="preserve">Applicare il framework forward-looking sviluppato nella Fase 4 al caso del rischio legato all’intelligenza artificiale, producendo una stima corrente della probabilità che l’AI risk diventi una categoria di rischio finanziario istituzionalizzata e ampiamente disclosure.</w:t>
      </w:r>
    </w:p>
    <w:p>
      <w:pPr>
        <w:pStyle w:val="Heading2"/>
      </w:pPr>
      <w:r>
        <w:t xml:space="preserve">Attività operative</w:t>
      </w:r>
    </w:p>
    <w:p>
      <w:pPr>
        <w:pStyle w:val="Heading3"/>
      </w:pPr>
      <w:r>
        <w:t xml:space="preserve">5.1 Scomposizione in sotto-temi</w:t>
      </w:r>
    </w:p>
    <w:p>
      <w:pPr>
        <w:spacing w:after="120" w:line="276"/>
        <w:jc w:val="both"/>
      </w:pPr>
      <w:r>
        <w:rPr>
          <w:rFonts w:ascii="Arial" w:cs="Arial" w:eastAsia="Arial" w:hAnsi="Arial"/>
          <w:color w:val="333333"/>
          <w:sz w:val="22"/>
          <w:szCs w:val="22"/>
        </w:rPr>
        <w:t xml:space="preserve">L’AI risk non è monolitico. Va analizzato attraverso le sue componenti: model risk (affidabilità e bias dei sistemi AI), rischio regolatorio (EU AI Act, esecutività in US), data governance (privacy, qualità dei dati di training), vulnerabilità di sicurezza (attacchi adversarial, deepfakes), proprietà intellettuale (copyright su output generati), e impatto sulla forza lavoro (automazione, riqualificazione).</w:t>
      </w:r>
    </w:p>
    <w:p>
      <w:pPr>
        <w:spacing w:after="120" w:line="276"/>
        <w:jc w:val="both"/>
      </w:pPr>
      <w:r>
        <w:rPr>
          <w:rFonts w:ascii="Arial" w:cs="Arial" w:eastAsia="Arial" w:hAnsi="Arial"/>
          <w:color w:val="333333"/>
          <w:sz w:val="22"/>
          <w:szCs w:val="22"/>
        </w:rPr>
        <w:t xml:space="preserve">Per ciascun sotto-tema, calcolare gli indicatori della Fase 2 e posizionarli sulla traiettoria di emergenza stimata dalla Fase 3.</w:t>
      </w:r>
    </w:p>
    <w:p>
      <w:pPr>
        <w:pStyle w:val="Heading3"/>
      </w:pPr>
      <w:r>
        <w:t xml:space="preserve">5.2 Scoring predittivo</w:t>
      </w:r>
    </w:p>
    <w:p>
      <w:pPr>
        <w:spacing w:after="120" w:line="276"/>
        <w:jc w:val="both"/>
      </w:pPr>
      <w:r>
        <w:rPr>
          <w:rFonts w:ascii="Arial" w:cs="Arial" w:eastAsia="Arial" w:hAnsi="Arial"/>
          <w:color w:val="333333"/>
          <w:sz w:val="22"/>
          <w:szCs w:val="22"/>
        </w:rPr>
        <w:t xml:space="preserve">Applicare il modello della Fase 4 a ciascun sotto-tema AI, ottenendo una probabilità stimata di istituzionalizzazione a 3, 6 e 12 mesi. Produrre una “heat map” che sintetizzi lo stato corrente di emergenza per sotto-tema.</w:t>
      </w:r>
    </w:p>
    <w:p>
      <w:pPr>
        <w:pStyle w:val="Heading3"/>
      </w:pPr>
      <w:r>
        <w:t xml:space="preserve">5.3 Confronto con la traiettoria di rischi storici</w:t>
      </w:r>
    </w:p>
    <w:p>
      <w:pPr>
        <w:spacing w:after="120" w:line="276"/>
        <w:jc w:val="both"/>
      </w:pPr>
      <w:r>
        <w:rPr>
          <w:rFonts w:ascii="Arial" w:cs="Arial" w:eastAsia="Arial" w:hAnsi="Arial"/>
          <w:color w:val="333333"/>
          <w:sz w:val="22"/>
          <w:szCs w:val="22"/>
        </w:rPr>
        <w:t xml:space="preserve">Confrontare la posizione attuale dell’AI risk sulla curva di emergenza con le posizioni equivalenti di rischi già istituzionalizzati (cyber, clima) allo stesso stadio di evoluzione. Questo confronto fornisce un benchmark intuitivo: se l’AI risk oggi è “dove il cyber risk era nel 2014”, le implicazioni per la traiettoria futura sono concrete.</w:t>
      </w:r>
    </w:p>
    <w:p>
      <w:pPr>
        <w:pStyle w:val="Heading2"/>
      </w:pPr>
      <w:r>
        <w:t xml:space="preserve">Deliverable</w:t>
      </w:r>
    </w:p>
    <w:p>
      <w:pPr>
        <w:pStyle w:val="ListParagraph"/>
        <w:numPr>
          <w:ilvl w:val="0"/>
          <w:numId w:val="6"/>
        </w:numPr>
        <w:spacing w:after="60" w:line="276"/>
      </w:pPr>
      <w:r>
        <w:rPr>
          <w:rFonts w:ascii="Arial" w:cs="Arial" w:eastAsia="Arial" w:hAnsi="Arial"/>
          <w:color w:val="333333"/>
          <w:sz w:val="22"/>
          <w:szCs w:val="22"/>
        </w:rPr>
        <w:t xml:space="preserve">Analisi disaggregata per sotto-tema AI con indicatori correnti</w:t>
      </w:r>
    </w:p>
    <w:p>
      <w:pPr>
        <w:pStyle w:val="ListParagraph"/>
        <w:numPr>
          <w:ilvl w:val="0"/>
          <w:numId w:val="6"/>
        </w:numPr>
        <w:spacing w:after="60" w:line="276"/>
      </w:pPr>
      <w:r>
        <w:rPr>
          <w:rFonts w:ascii="Arial" w:cs="Arial" w:eastAsia="Arial" w:hAnsi="Arial"/>
          <w:color w:val="333333"/>
          <w:sz w:val="22"/>
          <w:szCs w:val="22"/>
        </w:rPr>
        <w:t xml:space="preserve">Probabilità di emergenza stimate dal modello predittivo</w:t>
      </w:r>
    </w:p>
    <w:p>
      <w:pPr>
        <w:pStyle w:val="ListParagraph"/>
        <w:numPr>
          <w:ilvl w:val="0"/>
          <w:numId w:val="6"/>
        </w:numPr>
        <w:spacing w:after="60" w:line="276"/>
      </w:pPr>
      <w:r>
        <w:rPr>
          <w:rFonts w:ascii="Arial" w:cs="Arial" w:eastAsia="Arial" w:hAnsi="Arial"/>
          <w:color w:val="333333"/>
          <w:sz w:val="22"/>
          <w:szCs w:val="22"/>
        </w:rPr>
        <w:t xml:space="preserve">Confronto visuale con le traiettorie di rischi storici</w:t>
      </w:r>
    </w:p>
    <w:p>
      <w:pPr>
        <w:pStyle w:val="ListParagraph"/>
        <w:numPr>
          <w:ilvl w:val="0"/>
          <w:numId w:val="6"/>
        </w:numPr>
        <w:spacing w:after="60" w:line="276"/>
      </w:pPr>
      <w:r>
        <w:rPr>
          <w:rFonts w:ascii="Arial" w:cs="Arial" w:eastAsia="Arial" w:hAnsi="Arial"/>
          <w:color w:val="333333"/>
          <w:sz w:val="22"/>
          <w:szCs w:val="22"/>
        </w:rPr>
        <w:t xml:space="preserve">Sezione di discussion pronta per il paper</w:t>
      </w:r>
    </w:p>
    <w:p>
      <w:pPr>
        <w:pStyle w:val="Heading2"/>
      </w:pPr>
      <w:r>
        <w:t xml:space="preserve">Durata stimata</w:t>
      </w:r>
    </w:p>
    <w:p>
      <w:pPr>
        <w:spacing w:after="120" w:line="276"/>
        <w:jc w:val="both"/>
      </w:pPr>
      <w:r>
        <w:rPr>
          <w:rFonts w:ascii="Arial" w:cs="Arial" w:eastAsia="Arial" w:hAnsi="Arial"/>
          <w:color w:val="333333"/>
          <w:sz w:val="22"/>
          <w:szCs w:val="22"/>
        </w:rPr>
        <w:t xml:space="preserve">4–6 settimane. Questa fase è più breve perché si appoggia interamente sull’infrastruttura delle fasi precedenti.</w:t>
      </w:r>
    </w:p>
    <w:p>
      <w:r>
        <w:br w:type="page"/>
      </w:r>
    </w:p>
    <w:p>
      <w:pPr>
        <w:pStyle w:val="Heading1"/>
      </w:pPr>
      <w:r>
        <w:t xml:space="preserve">Fase 6 – Scrittura, robustness check e submission</w:t>
      </w:r>
    </w:p>
    <w:p>
      <w:pPr>
        <w:pStyle w:val="Heading2"/>
      </w:pPr>
      <w:r>
        <w:t xml:space="preserve">Obiettivo</w:t>
      </w:r>
    </w:p>
    <w:p>
      <w:pPr>
        <w:spacing w:after="120" w:line="276"/>
        <w:jc w:val="both"/>
      </w:pPr>
      <w:r>
        <w:rPr>
          <w:rFonts w:ascii="Arial" w:cs="Arial" w:eastAsia="Arial" w:hAnsi="Arial"/>
          <w:color w:val="333333"/>
          <w:sz w:val="22"/>
          <w:szCs w:val="22"/>
        </w:rPr>
        <w:t xml:space="preserve">Produrre un paper completo, con risultati robusti, pronto per la submission a un journal di primo livello.</w:t>
      </w:r>
    </w:p>
    <w:p>
      <w:pPr>
        <w:pStyle w:val="Heading2"/>
      </w:pPr>
      <w:r>
        <w:t xml:space="preserve">Attività operative</w:t>
      </w:r>
    </w:p>
    <w:p>
      <w:pPr>
        <w:pStyle w:val="Heading3"/>
      </w:pPr>
      <w:r>
        <w:t xml:space="preserve">6.1 Struttura del paper</w:t>
      </w:r>
    </w:p>
    <w:p>
      <w:pPr>
        <w:spacing w:after="120" w:line="276"/>
        <w:jc w:val="both"/>
      </w:pPr>
      <w:r>
        <w:rPr>
          <w:rFonts w:ascii="Arial" w:cs="Arial" w:eastAsia="Arial" w:hAnsi="Arial"/>
          <w:color w:val="333333"/>
          <w:sz w:val="22"/>
          <w:szCs w:val="22"/>
        </w:rPr>
        <w:t xml:space="preserve">La struttura suggerita segue lo standard dei journal target (JFE, RFS, JFQA): Introduction con motivazione e posizionamento; Literature review focalizzata su text-based risk measurement, disclosure literature, e early-warning systems in finance; Data and methodology; Results (retrospettivi); Forward-looking framework e applicazione AI; Robustness; Conclusion.</w:t>
      </w:r>
    </w:p>
    <w:p>
      <w:pPr>
        <w:pStyle w:val="Heading3"/>
      </w:pPr>
      <w:r>
        <w:t xml:space="preserve">6.2 Robustness check sistematici</w:t>
      </w:r>
    </w:p>
    <w:p>
      <w:pPr>
        <w:pStyle w:val="ListParagraph"/>
        <w:numPr>
          <w:ilvl w:val="0"/>
          <w:numId w:val="7"/>
        </w:numPr>
        <w:spacing w:after="60" w:line="276"/>
      </w:pPr>
      <w:r>
        <w:rPr>
          <w:rFonts w:ascii="Arial" w:cs="Arial" w:eastAsia="Arial" w:hAnsi="Arial"/>
          <w:b/>
          <w:bCs/>
          <w:color w:val="333333"/>
          <w:sz w:val="22"/>
          <w:szCs w:val="22"/>
        </w:rPr>
        <w:t xml:space="preserve">Definizione di t*: </w:t>
      </w:r>
      <w:r>
        <w:rPr>
          <w:rFonts w:ascii="Arial" w:cs="Arial" w:eastAsia="Arial" w:hAnsi="Arial"/>
          <w:color w:val="333333"/>
          <w:sz w:val="22"/>
          <w:szCs w:val="22"/>
        </w:rPr>
        <w:t xml:space="preserve">variare il metodo di change-point detection (PELT vs. BOCPD vs. Binary Segmentation) e la soglia di diffusione.</w:t>
      </w:r>
    </w:p>
    <w:p>
      <w:pPr>
        <w:pStyle w:val="ListParagraph"/>
        <w:numPr>
          <w:ilvl w:val="0"/>
          <w:numId w:val="7"/>
        </w:numPr>
        <w:spacing w:after="60" w:line="276"/>
      </w:pPr>
      <w:r>
        <w:rPr>
          <w:rFonts w:ascii="Arial" w:cs="Arial" w:eastAsia="Arial" w:hAnsi="Arial"/>
          <w:b/>
          <w:bCs/>
          <w:color w:val="333333"/>
          <w:sz w:val="22"/>
          <w:szCs w:val="22"/>
        </w:rPr>
        <w:t xml:space="preserve">Indicatori: </w:t>
      </w:r>
      <w:r>
        <w:rPr>
          <w:rFonts w:ascii="Arial" w:cs="Arial" w:eastAsia="Arial" w:hAnsi="Arial"/>
          <w:color w:val="333333"/>
          <w:sz w:val="22"/>
          <w:szCs w:val="22"/>
        </w:rPr>
        <w:t xml:space="preserve">sostituire sentence-transformers con modelli alternativi per la novità semantica; usare topic models (LDA, BERTopic) come alternativa al tagger supervisionato.</w:t>
      </w:r>
    </w:p>
    <w:p>
      <w:pPr>
        <w:pStyle w:val="ListParagraph"/>
        <w:numPr>
          <w:ilvl w:val="0"/>
          <w:numId w:val="7"/>
        </w:numPr>
        <w:spacing w:after="60" w:line="276"/>
      </w:pPr>
      <w:r>
        <w:rPr>
          <w:rFonts w:ascii="Arial" w:cs="Arial" w:eastAsia="Arial" w:hAnsi="Arial"/>
          <w:b/>
          <w:bCs/>
          <w:color w:val="333333"/>
          <w:sz w:val="22"/>
          <w:szCs w:val="22"/>
        </w:rPr>
        <w:t xml:space="preserve">Modello predittivo: </w:t>
      </w:r>
      <w:r>
        <w:rPr>
          <w:rFonts w:ascii="Arial" w:cs="Arial" w:eastAsia="Arial" w:hAnsi="Arial"/>
          <w:color w:val="333333"/>
          <w:sz w:val="22"/>
          <w:szCs w:val="22"/>
        </w:rPr>
        <w:t xml:space="preserve">testare specifiche alternative (finestra di training, insieme di feature, funzionale del modello).</w:t>
      </w:r>
    </w:p>
    <w:p>
      <w:pPr>
        <w:pStyle w:val="ListParagraph"/>
        <w:numPr>
          <w:ilvl w:val="0"/>
          <w:numId w:val="7"/>
        </w:numPr>
        <w:spacing w:after="60" w:line="276"/>
      </w:pPr>
      <w:r>
        <w:rPr>
          <w:rFonts w:ascii="Arial" w:cs="Arial" w:eastAsia="Arial" w:hAnsi="Arial"/>
          <w:b/>
          <w:bCs/>
          <w:color w:val="333333"/>
          <w:sz w:val="22"/>
          <w:szCs w:val="22"/>
        </w:rPr>
        <w:t xml:space="preserve">Campione: </w:t>
      </w:r>
      <w:r>
        <w:rPr>
          <w:rFonts w:ascii="Arial" w:cs="Arial" w:eastAsia="Arial" w:hAnsi="Arial"/>
          <w:color w:val="333333"/>
          <w:sz w:val="22"/>
          <w:szCs w:val="22"/>
        </w:rPr>
        <w:t xml:space="preserve">escludere imprese del settore finanziario; restringere a large-cap; variare il periodo di stima.</w:t>
      </w:r>
    </w:p>
    <w:p>
      <w:pPr>
        <w:pStyle w:val="Heading3"/>
      </w:pPr>
      <w:r>
        <w:t xml:space="preserve">6.3 Visualizzazioni e tabelle</w:t>
      </w:r>
    </w:p>
    <w:p>
      <w:pPr>
        <w:spacing w:after="120" w:line="276"/>
        <w:jc w:val="both"/>
      </w:pPr>
      <w:r>
        <w:rPr>
          <w:rFonts w:ascii="Arial" w:cs="Arial" w:eastAsia="Arial" w:hAnsi="Arial"/>
          <w:color w:val="333333"/>
          <w:sz w:val="22"/>
          <w:szCs w:val="22"/>
        </w:rPr>
        <w:t xml:space="preserve">Preparare figure publication-ready: curve di diffusione con t* marcato, heatmap di co-occorrenza, grafici SHAP, confronto delle traiettorie AI vs. rischi storici. Le tabelle di regressione devono seguire il formato standard del journal target.</w:t>
      </w:r>
    </w:p>
    <w:p>
      <w:pPr>
        <w:pStyle w:val="Heading3"/>
      </w:pPr>
      <w:r>
        <w:t xml:space="preserve">6.4 Submission e materiale supplementare</w:t>
      </w:r>
    </w:p>
    <w:p>
      <w:pPr>
        <w:spacing w:after="120" w:line="276"/>
        <w:jc w:val="both"/>
      </w:pPr>
      <w:r>
        <w:rPr>
          <w:rFonts w:ascii="Arial" w:cs="Arial" w:eastAsia="Arial" w:hAnsi="Arial"/>
          <w:color w:val="333333"/>
          <w:sz w:val="22"/>
          <w:szCs w:val="22"/>
        </w:rPr>
        <w:t xml:space="preserve">Preparare: paper principale (entro i limiti di pagina del journal target), Online Appendix con risultati supplementari e dettagli metodologici, pacchetto di replication (codice + istruzioni per l’accesso ai dati).</w:t>
      </w:r>
    </w:p>
    <w:p>
      <w:pPr>
        <w:pStyle w:val="Heading2"/>
      </w:pPr>
      <w:r>
        <w:t xml:space="preserve">Deliverable</w:t>
      </w:r>
    </w:p>
    <w:p>
      <w:pPr>
        <w:pStyle w:val="ListParagraph"/>
        <w:numPr>
          <w:ilvl w:val="0"/>
          <w:numId w:val="6"/>
        </w:numPr>
        <w:spacing w:after="60" w:line="276"/>
      </w:pPr>
      <w:r>
        <w:rPr>
          <w:rFonts w:ascii="Arial" w:cs="Arial" w:eastAsia="Arial" w:hAnsi="Arial"/>
          <w:color w:val="333333"/>
          <w:sz w:val="22"/>
          <w:szCs w:val="22"/>
        </w:rPr>
        <w:t xml:space="preserve">Paper completo in formato LaTeX</w:t>
      </w:r>
    </w:p>
    <w:p>
      <w:pPr>
        <w:pStyle w:val="ListParagraph"/>
        <w:numPr>
          <w:ilvl w:val="0"/>
          <w:numId w:val="6"/>
        </w:numPr>
        <w:spacing w:after="60" w:line="276"/>
      </w:pPr>
      <w:r>
        <w:rPr>
          <w:rFonts w:ascii="Arial" w:cs="Arial" w:eastAsia="Arial" w:hAnsi="Arial"/>
          <w:color w:val="333333"/>
          <w:sz w:val="22"/>
          <w:szCs w:val="22"/>
        </w:rPr>
        <w:t xml:space="preserve">Online Appendix</w:t>
      </w:r>
    </w:p>
    <w:p>
      <w:pPr>
        <w:pStyle w:val="ListParagraph"/>
        <w:numPr>
          <w:ilvl w:val="0"/>
          <w:numId w:val="6"/>
        </w:numPr>
        <w:spacing w:after="60" w:line="276"/>
      </w:pPr>
      <w:r>
        <w:rPr>
          <w:rFonts w:ascii="Arial" w:cs="Arial" w:eastAsia="Arial" w:hAnsi="Arial"/>
          <w:color w:val="333333"/>
          <w:sz w:val="22"/>
          <w:szCs w:val="22"/>
        </w:rPr>
        <w:t xml:space="preserve">Pacchetto di replication con documentazione</w:t>
      </w:r>
    </w:p>
    <w:p>
      <w:pPr>
        <w:pStyle w:val="Heading2"/>
      </w:pPr>
      <w:r>
        <w:t xml:space="preserve">Durata stimata</w:t>
      </w:r>
    </w:p>
    <w:p>
      <w:pPr>
        <w:spacing w:after="120" w:line="276"/>
        <w:jc w:val="both"/>
      </w:pPr>
      <w:r>
        <w:rPr>
          <w:rFonts w:ascii="Arial" w:cs="Arial" w:eastAsia="Arial" w:hAnsi="Arial"/>
          <w:color w:val="333333"/>
          <w:sz w:val="22"/>
          <w:szCs w:val="22"/>
        </w:rPr>
        <w:t xml:space="preserve">6–8 settimane di scrittura concentrata, assumendo che i risultati delle fasi precedenti siano consolidati.</w:t>
      </w:r>
    </w:p>
    <w:p>
      <w:r>
        <w:br w:type="page"/>
      </w:r>
    </w:p>
    <w:p>
      <w:pPr>
        <w:pStyle w:val="Heading1"/>
      </w:pPr>
      <w:r>
        <w:t xml:space="preserve">Percorso critico e parallelismi</w:t>
      </w:r>
    </w:p>
    <w:p>
      <w:pPr>
        <w:spacing w:after="120" w:line="276"/>
        <w:jc w:val="both"/>
      </w:pPr>
      <w:r>
        <w:rPr>
          <w:rFonts w:ascii="Arial" w:cs="Arial" w:eastAsia="Arial" w:hAnsi="Arial"/>
          <w:color w:val="333333"/>
          <w:sz w:val="22"/>
          <w:szCs w:val="22"/>
        </w:rPr>
        <w:t xml:space="preserve">La sequenza delle fasi è sostanzialmente lineare, con alcune possibilità di sovrapposizione parziale:</w:t>
      </w:r>
    </w:p>
    <w:p>
      <w:pPr>
        <w:pStyle w:val="ListParagraph"/>
        <w:numPr>
          <w:ilvl w:val="0"/>
          <w:numId w:val="6"/>
        </w:numPr>
        <w:spacing w:after="60" w:line="276"/>
      </w:pPr>
      <w:r>
        <w:rPr>
          <w:rFonts w:ascii="Arial" w:cs="Arial" w:eastAsia="Arial" w:hAnsi="Arial"/>
          <w:b/>
          <w:bCs/>
          <w:color w:val="333333"/>
          <w:sz w:val="22"/>
          <w:szCs w:val="22"/>
        </w:rPr>
        <w:t xml:space="preserve">Fasi 1–2: </w:t>
      </w:r>
      <w:r>
        <w:rPr>
          <w:rFonts w:ascii="Arial" w:cs="Arial" w:eastAsia="Arial" w:hAnsi="Arial"/>
          <w:color w:val="333333"/>
          <w:sz w:val="22"/>
          <w:szCs w:val="22"/>
        </w:rPr>
        <w:t xml:space="preserve">parzialmente parallelizzabili. Se i filing SEC sono pronti prima delle notizie, gli indicatori disclosure-based possono essere avviati prima di completare il corpus news.</w:t>
      </w:r>
    </w:p>
    <w:p>
      <w:pPr>
        <w:pStyle w:val="ListParagraph"/>
        <w:numPr>
          <w:ilvl w:val="0"/>
          <w:numId w:val="6"/>
        </w:numPr>
        <w:spacing w:after="60" w:line="276"/>
      </w:pPr>
      <w:r>
        <w:rPr>
          <w:rFonts w:ascii="Arial" w:cs="Arial" w:eastAsia="Arial" w:hAnsi="Arial"/>
          <w:b/>
          <w:bCs/>
          <w:color w:val="333333"/>
          <w:sz w:val="22"/>
          <w:szCs w:val="22"/>
        </w:rPr>
        <w:t xml:space="preserve">Fasi 3–4: </w:t>
      </w:r>
      <w:r>
        <w:rPr>
          <w:rFonts w:ascii="Arial" w:cs="Arial" w:eastAsia="Arial" w:hAnsi="Arial"/>
          <w:color w:val="333333"/>
          <w:sz w:val="22"/>
          <w:szCs w:val="22"/>
        </w:rPr>
        <w:t xml:space="preserve">la Fase 4 può iniziare non appena gli indicatori principali e alcune stime di t* sono disponibili, senza attendere il completamento dei case studies.</w:t>
      </w:r>
    </w:p>
    <w:p>
      <w:pPr>
        <w:pStyle w:val="ListParagraph"/>
        <w:numPr>
          <w:ilvl w:val="0"/>
          <w:numId w:val="6"/>
        </w:numPr>
        <w:spacing w:after="60" w:line="276"/>
      </w:pPr>
      <w:r>
        <w:rPr>
          <w:rFonts w:ascii="Arial" w:cs="Arial" w:eastAsia="Arial" w:hAnsi="Arial"/>
          <w:b/>
          <w:bCs/>
          <w:color w:val="333333"/>
          <w:sz w:val="22"/>
          <w:szCs w:val="22"/>
        </w:rPr>
        <w:t xml:space="preserve">Fase 5: </w:t>
      </w:r>
      <w:r>
        <w:rPr>
          <w:rFonts w:ascii="Arial" w:cs="Arial" w:eastAsia="Arial" w:hAnsi="Arial"/>
          <w:color w:val="333333"/>
          <w:sz w:val="22"/>
          <w:szCs w:val="22"/>
        </w:rPr>
        <w:t xml:space="preserve">dipende criticamente dalla Fase 4, ma il lavoro di scomposizione tematica dell’AI risk può iniziare durante la Fase 3.</w:t>
      </w:r>
    </w:p>
    <w:p>
      <w:pPr>
        <w:pStyle w:val="ListParagraph"/>
        <w:numPr>
          <w:ilvl w:val="0"/>
          <w:numId w:val="6"/>
        </w:numPr>
        <w:spacing w:after="60" w:line="276"/>
      </w:pPr>
      <w:r>
        <w:rPr>
          <w:rFonts w:ascii="Arial" w:cs="Arial" w:eastAsia="Arial" w:hAnsi="Arial"/>
          <w:b/>
          <w:bCs/>
          <w:color w:val="333333"/>
          <w:sz w:val="22"/>
          <w:szCs w:val="22"/>
        </w:rPr>
        <w:t xml:space="preserve">Fase 6: </w:t>
      </w:r>
      <w:r>
        <w:rPr>
          <w:rFonts w:ascii="Arial" w:cs="Arial" w:eastAsia="Arial" w:hAnsi="Arial"/>
          <w:color w:val="333333"/>
          <w:sz w:val="22"/>
          <w:szCs w:val="22"/>
        </w:rPr>
        <w:t xml:space="preserve">la scrittura delle sezioni metodologiche può iniziare già durante la Fase 3. Se si opta per una pubblicazione in due tempi, il paper retrospettivo può essere completato al termine della Fase 3.</w:t>
      </w:r>
    </w:p>
    <w:p>
      <w:pPr>
        <w:spacing w:after="60"/>
      </w:pPr>
    </w:p>
    <w:p>
      <w:pPr>
        <w:pStyle w:val="Heading2"/>
      </w:pPr>
      <w:r>
        <w:t xml:space="preserve">Stack tecnologico di riferimento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6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Strumenti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Data ingestion</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Python (sec-edgar-downloader, requests, BeautifulSoup), Factiva/LexisNexis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NLP / Embedding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sentence-transformers, FinBERT, spaCy, Hugging Face transformers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Topic modeling</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BERTopic, Gensim (LDA), Top2Vec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Change-point detection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ruptures (Python), BOCPD, Kleinberg burst detection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Econometria</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lifelines (Cox PH), statsmodels (panel VAR, Granger), linearmodels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ML / Interpretabilità</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scikit-learn, XGBoost/LightGBM, SHAP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20"/>
                <w:szCs w:val="20"/>
              </w:rPr>
              <w:t xml:space="preserve">Storage</w:t>
            </w:r>
          </w:p>
        </w:tc>
        <w:tc>
          <w:tcPr>
            <w:tcW w:type="dxa" w:w="6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Parquet (PyArrow/Pandas), SQLite per metadati, Git per versionamento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Scrittura</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LaTeX (Overleaf), BibTeX, matplotlib/seaborn per figure</w:t>
            </w:r>
          </w:p>
        </w:tc>
      </w:tr>
    </w:tbl>
    <w:p>
      <w:pPr>
        <w:spacing w:after="60"/>
      </w:pPr>
    </w:p>
    <w:p>
      <w:pPr>
        <w:pStyle w:val="Heading2"/>
      </w:pPr>
      <w:r>
        <w:t xml:space="preserve">Milestones decisionali</w:t>
      </w:r>
    </w:p>
    <w:p>
      <w:pPr>
        <w:spacing w:after="120" w:line="276"/>
        <w:jc w:val="both"/>
      </w:pPr>
      <w:r>
        <w:rPr>
          <w:rFonts w:ascii="Arial" w:cs="Arial" w:eastAsia="Arial" w:hAnsi="Arial"/>
          <w:color w:val="333333"/>
          <w:sz w:val="22"/>
          <w:szCs w:val="22"/>
        </w:rPr>
        <w:t xml:space="preserve">Il piano include tre punti di decisione espliciti in cui valutare il proseguimento e l’eventuale ricalibrazione:</w:t>
      </w:r>
    </w:p>
    <w:p>
      <w:pPr>
        <w:pStyle w:val="ListParagraph"/>
        <w:numPr>
          <w:ilvl w:val="0"/>
          <w:numId w:val="8"/>
        </w:numPr>
        <w:spacing w:after="60" w:line="276"/>
      </w:pPr>
      <w:r>
        <w:rPr>
          <w:rFonts w:ascii="Arial" w:cs="Arial" w:eastAsia="Arial" w:hAnsi="Arial"/>
          <w:b/>
          <w:bCs/>
          <w:color w:val="333333"/>
          <w:sz w:val="22"/>
          <w:szCs w:val="22"/>
        </w:rPr>
        <w:t xml:space="preserve">Fine Fase 1 (Mese 2): </w:t>
      </w:r>
      <w:r>
        <w:rPr>
          <w:rFonts w:ascii="Arial" w:cs="Arial" w:eastAsia="Arial" w:hAnsi="Arial"/>
          <w:color w:val="333333"/>
          <w:sz w:val="22"/>
          <w:szCs w:val="22"/>
        </w:rPr>
        <w:t xml:space="preserve">il corpus è sufficientemente ampio e pulito? Le fonti di notizie coprono adeguatamente il periodo 2006–2025? Se la copertura è insufficiente, decidere se restringere il periodo campionario o integrare fonti aggiuntive.</w:t>
      </w:r>
    </w:p>
    <w:p>
      <w:pPr>
        <w:pStyle w:val="ListParagraph"/>
        <w:numPr>
          <w:ilvl w:val="0"/>
          <w:numId w:val="8"/>
        </w:numPr>
        <w:spacing w:after="60" w:line="276"/>
      </w:pPr>
      <w:r>
        <w:rPr>
          <w:rFonts w:ascii="Arial" w:cs="Arial" w:eastAsia="Arial" w:hAnsi="Arial"/>
          <w:b/>
          <w:bCs/>
          <w:color w:val="333333"/>
          <w:sz w:val="22"/>
          <w:szCs w:val="22"/>
        </w:rPr>
        <w:t xml:space="preserve">Fine Fase 3 (Mese 7): </w:t>
      </w:r>
      <w:r>
        <w:rPr>
          <w:rFonts w:ascii="Arial" w:cs="Arial" w:eastAsia="Arial" w:hAnsi="Arial"/>
          <w:color w:val="333333"/>
          <w:sz w:val="22"/>
          <w:szCs w:val="22"/>
        </w:rPr>
        <w:t xml:space="preserve">i risultati retrospettivi sono sufficientemente solidi per un primo paper? Se sì, valutare una submission anticipata del paper retrospettivo. Se i risultati sono deboli (es. t* instabile, lead–lag non significativi), riconsiderare la definizione degli indicatori.</w:t>
      </w:r>
    </w:p>
    <w:p>
      <w:pPr>
        <w:pStyle w:val="ListParagraph"/>
        <w:numPr>
          <w:ilvl w:val="0"/>
          <w:numId w:val="8"/>
        </w:numPr>
        <w:spacing w:after="60" w:line="276"/>
      </w:pPr>
      <w:r>
        <w:rPr>
          <w:rFonts w:ascii="Arial" w:cs="Arial" w:eastAsia="Arial" w:hAnsi="Arial"/>
          <w:b/>
          <w:bCs/>
          <w:color w:val="333333"/>
          <w:sz w:val="22"/>
          <w:szCs w:val="22"/>
        </w:rPr>
        <w:t xml:space="preserve">Fine Fase 4 (Mese 9): </w:t>
      </w:r>
      <w:r>
        <w:rPr>
          <w:rFonts w:ascii="Arial" w:cs="Arial" w:eastAsia="Arial" w:hAnsi="Arial"/>
          <w:color w:val="333333"/>
          <w:sz w:val="22"/>
          <w:szCs w:val="22"/>
        </w:rPr>
        <w:t xml:space="preserve">il modello forward-looking ha performance predittiva accettabile? Se l’AUC-ROC è basso, il contributo potrebbe essere più metodologico (framework + indicatori) che predittivo, e il framing del paper va adattato di conseguenza.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999999"/>
        <w:sz w:val="18"/>
        <w:szCs w:val="18"/>
      </w:rPr>
      <w:t xml:space="preserve">Pagina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8"/>
        <w:szCs w:val="18"/>
      </w:rPr>
      <w:t xml:space="preserve">Piano Operativo – Risk Emergence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11"/>
    <w:lvlOverride w:ilvl="0">
      <w:startOverride w:val="1"/>
    </w:lvlOverride>
  </w:num>
  <w:num w:numId="4">
    <w:abstractNumId w:val="3"/>
    <w:lvlOverride w:ilvl="0">
      <w:startOverride w:val="1"/>
    </w:lvlOverride>
  </w:num>
  <w:num w:numId="5">
    <w:abstractNumId w:val="4"/>
    <w:lvlOverride w:ilvl="0">
      <w:startOverride w:val="1"/>
    </w:lvlOverride>
  </w:num>
  <w:num w:numId="6">
    <w:abstractNumId w:val="2"/>
    <w:lvlOverride w:ilvl="0">
      <w:startOverride w:val="1"/>
    </w:lvlOverride>
  </w:num>
  <w:num w:numId="7">
    <w:abstractNumId w:val="9"/>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2026-04-16T08:43:37.997Z</dcterms:created>
  <dcterms:modified xsi:type="dcterms:W3CDTF">2026-04-16T08:43:37.998Z</dcterms:modified>
</cp:coreProperties>
</file>

<file path=docProps/custom.xml><?xml version="1.0" encoding="utf-8"?>
<Properties xmlns="http://schemas.openxmlformats.org/officeDocument/2006/custom-properties" xmlns:vt="http://schemas.openxmlformats.org/officeDocument/2006/docPropsVTypes"/>
</file>