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D58A3" w14:textId="77777777" w:rsidR="002D51DB" w:rsidRDefault="002D51DB">
      <w:pPr>
        <w:spacing w:after="60"/>
      </w:pPr>
    </w:p>
    <w:p w14:paraId="4EFE5E13" w14:textId="77777777" w:rsidR="002D51DB" w:rsidRDefault="002D51DB">
      <w:pPr>
        <w:spacing w:after="60"/>
      </w:pPr>
    </w:p>
    <w:p w14:paraId="0F6BD838" w14:textId="77777777" w:rsidR="002D51DB" w:rsidRDefault="002D51DB">
      <w:pPr>
        <w:spacing w:after="60"/>
      </w:pPr>
    </w:p>
    <w:p w14:paraId="3752A39A" w14:textId="77777777" w:rsidR="002D51DB" w:rsidRDefault="002D51DB">
      <w:pPr>
        <w:spacing w:after="60"/>
      </w:pPr>
    </w:p>
    <w:p w14:paraId="785B1AD1" w14:textId="77777777" w:rsidR="002D51DB" w:rsidRDefault="002D51DB">
      <w:pPr>
        <w:spacing w:after="60"/>
      </w:pPr>
    </w:p>
    <w:p w14:paraId="5A20B5E4" w14:textId="77777777" w:rsidR="002D51DB" w:rsidRDefault="002D51DB">
      <w:pPr>
        <w:spacing w:after="60"/>
      </w:pPr>
    </w:p>
    <w:p w14:paraId="33EED04F" w14:textId="77777777" w:rsidR="002D51DB" w:rsidRPr="00B90B4A" w:rsidRDefault="00000000">
      <w:pPr>
        <w:pBdr>
          <w:bottom w:val="single" w:sz="8" w:space="8" w:color="2E75B6"/>
        </w:pBdr>
        <w:spacing w:after="200"/>
        <w:jc w:val="center"/>
        <w:rPr>
          <w:lang w:val="en-GB"/>
        </w:rPr>
      </w:pPr>
      <w:r w:rsidRPr="00B90B4A">
        <w:rPr>
          <w:b/>
          <w:bCs/>
          <w:color w:val="1F4E79"/>
          <w:sz w:val="40"/>
          <w:szCs w:val="40"/>
          <w:lang w:val="en-GB"/>
        </w:rPr>
        <w:t>Emergence and Prediction of New Financial Risk Categories</w:t>
      </w:r>
    </w:p>
    <w:p w14:paraId="6BBA306D" w14:textId="77777777" w:rsidR="002D51DB" w:rsidRPr="00B90B4A" w:rsidRDefault="002D51DB">
      <w:pPr>
        <w:spacing w:after="60"/>
        <w:rPr>
          <w:lang w:val="en-GB"/>
        </w:rPr>
      </w:pPr>
    </w:p>
    <w:p w14:paraId="60E0BB9C" w14:textId="77777777" w:rsidR="002D51DB" w:rsidRDefault="00000000">
      <w:pPr>
        <w:spacing w:after="100"/>
        <w:jc w:val="center"/>
      </w:pPr>
      <w:r>
        <w:rPr>
          <w:color w:val="2E75B6"/>
          <w:sz w:val="32"/>
          <w:szCs w:val="32"/>
        </w:rPr>
        <w:t>Piano Operativo di Implementazione</w:t>
      </w:r>
    </w:p>
    <w:p w14:paraId="288A2CCF" w14:textId="77777777" w:rsidR="002D51DB" w:rsidRDefault="002D51DB">
      <w:pPr>
        <w:spacing w:after="60"/>
      </w:pPr>
    </w:p>
    <w:p w14:paraId="57E5D292" w14:textId="77777777" w:rsidR="002D51DB" w:rsidRDefault="00000000">
      <w:pPr>
        <w:spacing w:after="100"/>
        <w:jc w:val="center"/>
      </w:pPr>
      <w:r>
        <w:rPr>
          <w:i/>
          <w:iCs/>
          <w:color w:val="333333"/>
          <w:sz w:val="24"/>
          <w:szCs w:val="24"/>
        </w:rPr>
        <w:t>Dalla progettazione concettuale alle fasi esecutive</w:t>
      </w:r>
    </w:p>
    <w:p w14:paraId="26CC0EEC" w14:textId="77777777" w:rsidR="002D51DB" w:rsidRDefault="002D51DB">
      <w:pPr>
        <w:spacing w:after="60"/>
      </w:pPr>
    </w:p>
    <w:p w14:paraId="7D652C14" w14:textId="77777777" w:rsidR="002D51DB" w:rsidRDefault="002D51DB">
      <w:pPr>
        <w:spacing w:after="60"/>
      </w:pPr>
    </w:p>
    <w:p w14:paraId="2D58EBE2" w14:textId="77777777" w:rsidR="002D51DB" w:rsidRDefault="002D51DB">
      <w:pPr>
        <w:spacing w:after="60"/>
      </w:pPr>
    </w:p>
    <w:p w14:paraId="475E173D" w14:textId="77777777" w:rsidR="002D51DB" w:rsidRDefault="002D51DB">
      <w:pPr>
        <w:spacing w:after="60"/>
      </w:pPr>
    </w:p>
    <w:p w14:paraId="7FAE6CB4" w14:textId="77777777" w:rsidR="002D51DB" w:rsidRDefault="00000000">
      <w:pPr>
        <w:jc w:val="center"/>
      </w:pPr>
      <w:r>
        <w:rPr>
          <w:color w:val="333333"/>
          <w:sz w:val="24"/>
          <w:szCs w:val="24"/>
        </w:rPr>
        <w:t>Aprile 2026</w:t>
      </w:r>
    </w:p>
    <w:p w14:paraId="618D24A8" w14:textId="77777777" w:rsidR="002D51DB" w:rsidRDefault="00000000">
      <w:pPr>
        <w:jc w:val="center"/>
      </w:pPr>
      <w:r>
        <w:rPr>
          <w:i/>
          <w:iCs/>
          <w:color w:val="666666"/>
        </w:rPr>
        <w:t>Documento di lavoro – Versione 1.1</w:t>
      </w:r>
    </w:p>
    <w:p w14:paraId="7EC43731" w14:textId="77777777" w:rsidR="002D51DB" w:rsidRDefault="002D51DB">
      <w:pPr>
        <w:sectPr w:rsidR="002D51DB">
          <w:pgSz w:w="11906" w:h="16838"/>
          <w:pgMar w:top="1440" w:right="1440" w:bottom="1440" w:left="1440" w:header="708" w:footer="708" w:gutter="0"/>
          <w:cols w:space="720"/>
          <w:docGrid w:linePitch="360"/>
        </w:sectPr>
      </w:pPr>
    </w:p>
    <w:p w14:paraId="48863DCC" w14:textId="77777777" w:rsidR="002D51DB" w:rsidRDefault="00000000">
      <w:pPr>
        <w:pStyle w:val="Titolo1"/>
      </w:pPr>
      <w:r>
        <w:lastRenderedPageBreak/>
        <w:t>Visione d’insieme</w:t>
      </w:r>
    </w:p>
    <w:p w14:paraId="60FDA3A2" w14:textId="77777777" w:rsidR="002D51DB" w:rsidRDefault="00000000">
      <w:pPr>
        <w:spacing w:after="120" w:line="276" w:lineRule="auto"/>
        <w:jc w:val="both"/>
      </w:pPr>
      <w:r>
        <w:rPr>
          <w:color w:val="333333"/>
        </w:rPr>
        <w:t>Il presente documento traduce il progetto di ricerca “</w:t>
      </w:r>
      <w:proofErr w:type="spellStart"/>
      <w:r>
        <w:rPr>
          <w:color w:val="333333"/>
        </w:rPr>
        <w:t>Emergence</w:t>
      </w:r>
      <w:proofErr w:type="spellEnd"/>
      <w:r>
        <w:rPr>
          <w:color w:val="333333"/>
        </w:rPr>
        <w:t xml:space="preserve"> and </w:t>
      </w:r>
      <w:proofErr w:type="spellStart"/>
      <w:r>
        <w:rPr>
          <w:color w:val="333333"/>
        </w:rPr>
        <w:t>Prediction</w:t>
      </w:r>
      <w:proofErr w:type="spellEnd"/>
      <w:r>
        <w:rPr>
          <w:color w:val="333333"/>
        </w:rPr>
        <w:t xml:space="preserve"> of New Financial Risk </w:t>
      </w:r>
      <w:proofErr w:type="spellStart"/>
      <w:r>
        <w:rPr>
          <w:color w:val="333333"/>
        </w:rPr>
        <w:t>Categories</w:t>
      </w:r>
      <w:proofErr w:type="spellEnd"/>
      <w:r>
        <w:rPr>
          <w:color w:val="333333"/>
        </w:rPr>
        <w:t>” in un piano operativo articolato in sei fasi sequenziali. Ogni fase è descritta nei suoi obiettivi, attività specifiche, deliverable attesi, dipendenze e durata stimata. Il piano assume un ricercatore singolo con accesso a risorse computazionali standard e alle API necessarie.</w:t>
      </w:r>
    </w:p>
    <w:p w14:paraId="7D7B6699" w14:textId="77777777" w:rsidR="002D51DB" w:rsidRDefault="00000000">
      <w:pPr>
        <w:spacing w:after="120" w:line="276" w:lineRule="auto"/>
        <w:jc w:val="both"/>
      </w:pPr>
      <w:r>
        <w:rPr>
          <w:color w:val="333333"/>
        </w:rPr>
        <w:t xml:space="preserve">L’orizzonte complessivo del progetto è stimato in 10–14 mesi, con la possibilità di pubblicare risultati intermedi (ad es. il framework retrospettivo) prima del completamento della componente </w:t>
      </w:r>
      <w:proofErr w:type="spellStart"/>
      <w:r>
        <w:rPr>
          <w:color w:val="333333"/>
        </w:rPr>
        <w:t>forward-looking</w:t>
      </w:r>
      <w:proofErr w:type="spellEnd"/>
      <w:r>
        <w:rPr>
          <w:color w:val="333333"/>
        </w:rPr>
        <w:t>.</w:t>
      </w:r>
    </w:p>
    <w:p w14:paraId="021BF93E" w14:textId="77777777" w:rsidR="002D51DB" w:rsidRDefault="00000000">
      <w:pPr>
        <w:pStyle w:val="Titolo2"/>
      </w:pPr>
      <w:r>
        <w:t>Dati di partenza</w:t>
      </w:r>
    </w:p>
    <w:p w14:paraId="0635642B" w14:textId="77777777" w:rsidR="002D51DB" w:rsidRDefault="00000000">
      <w:pPr>
        <w:spacing w:after="120" w:line="276" w:lineRule="auto"/>
        <w:jc w:val="both"/>
      </w:pPr>
      <w:r>
        <w:rPr>
          <w:color w:val="333333"/>
        </w:rPr>
        <w:t xml:space="preserve">Il corpus di notizie finanziarie è già disponibile in forma di file CSV di grandi dimensioni con separatore pipe (|). </w:t>
      </w:r>
      <w:r w:rsidRPr="00B90B4A">
        <w:rPr>
          <w:color w:val="333333"/>
          <w:lang w:val="en-GB"/>
        </w:rPr>
        <w:t xml:space="preserve">I </w:t>
      </w:r>
      <w:proofErr w:type="spellStart"/>
      <w:r w:rsidRPr="00B90B4A">
        <w:rPr>
          <w:color w:val="333333"/>
          <w:lang w:val="en-GB"/>
        </w:rPr>
        <w:t>campi</w:t>
      </w:r>
      <w:proofErr w:type="spellEnd"/>
      <w:r w:rsidRPr="00B90B4A">
        <w:rPr>
          <w:color w:val="333333"/>
          <w:lang w:val="en-GB"/>
        </w:rPr>
        <w:t xml:space="preserve"> </w:t>
      </w:r>
      <w:proofErr w:type="spellStart"/>
      <w:r w:rsidRPr="00B90B4A">
        <w:rPr>
          <w:color w:val="333333"/>
          <w:lang w:val="en-GB"/>
        </w:rPr>
        <w:t>sono</w:t>
      </w:r>
      <w:proofErr w:type="spellEnd"/>
      <w:r w:rsidRPr="00B90B4A">
        <w:rPr>
          <w:color w:val="333333"/>
          <w:lang w:val="en-GB"/>
        </w:rPr>
        <w:t xml:space="preserve">: Title, Body, Date, Language, Source, Sentiment, </w:t>
      </w:r>
      <w:proofErr w:type="spellStart"/>
      <w:r w:rsidRPr="00B90B4A">
        <w:rPr>
          <w:color w:val="333333"/>
          <w:lang w:val="en-GB"/>
        </w:rPr>
        <w:t>IsDuplicate</w:t>
      </w:r>
      <w:proofErr w:type="spellEnd"/>
      <w:r w:rsidRPr="00B90B4A">
        <w:rPr>
          <w:color w:val="333333"/>
          <w:lang w:val="en-GB"/>
        </w:rPr>
        <w:t xml:space="preserve">, </w:t>
      </w:r>
      <w:proofErr w:type="spellStart"/>
      <w:r w:rsidRPr="00B90B4A">
        <w:rPr>
          <w:color w:val="333333"/>
          <w:lang w:val="en-GB"/>
        </w:rPr>
        <w:t>dataType</w:t>
      </w:r>
      <w:proofErr w:type="spellEnd"/>
      <w:r w:rsidRPr="00B90B4A">
        <w:rPr>
          <w:color w:val="333333"/>
          <w:lang w:val="en-GB"/>
        </w:rPr>
        <w:t xml:space="preserve">, </w:t>
      </w:r>
      <w:proofErr w:type="spellStart"/>
      <w:r w:rsidRPr="00B90B4A">
        <w:rPr>
          <w:color w:val="333333"/>
          <w:lang w:val="en-GB"/>
        </w:rPr>
        <w:t>Url</w:t>
      </w:r>
      <w:proofErr w:type="spellEnd"/>
      <w:r w:rsidRPr="00B90B4A">
        <w:rPr>
          <w:color w:val="333333"/>
          <w:lang w:val="en-GB"/>
        </w:rPr>
        <w:t xml:space="preserve">. Le testate </w:t>
      </w:r>
      <w:proofErr w:type="spellStart"/>
      <w:r w:rsidRPr="00B90B4A">
        <w:rPr>
          <w:color w:val="333333"/>
          <w:lang w:val="en-GB"/>
        </w:rPr>
        <w:t>coperte</w:t>
      </w:r>
      <w:proofErr w:type="spellEnd"/>
      <w:r w:rsidRPr="00B90B4A">
        <w:rPr>
          <w:color w:val="333333"/>
          <w:lang w:val="en-GB"/>
        </w:rPr>
        <w:t xml:space="preserve"> </w:t>
      </w:r>
      <w:proofErr w:type="spellStart"/>
      <w:r w:rsidRPr="00B90B4A">
        <w:rPr>
          <w:color w:val="333333"/>
          <w:lang w:val="en-GB"/>
        </w:rPr>
        <w:t>sono</w:t>
      </w:r>
      <w:proofErr w:type="spellEnd"/>
      <w:r w:rsidRPr="00B90B4A">
        <w:rPr>
          <w:color w:val="333333"/>
          <w:lang w:val="en-GB"/>
        </w:rPr>
        <w:t xml:space="preserve"> cinque: Financial Times, Los Angeles Times, New York Times, USA Today e Wall Street Journal. </w:t>
      </w:r>
      <w:r>
        <w:rPr>
          <w:color w:val="333333"/>
        </w:rPr>
        <w:t xml:space="preserve">I file, per la loro dimensione, non sono processabili in memoria e richiedono l’ingestione in un database </w:t>
      </w:r>
      <w:proofErr w:type="spellStart"/>
      <w:r>
        <w:rPr>
          <w:color w:val="333333"/>
        </w:rPr>
        <w:t>PostgreSQL</w:t>
      </w:r>
      <w:proofErr w:type="spellEnd"/>
      <w:r>
        <w:rPr>
          <w:color w:val="333333"/>
        </w:rPr>
        <w:t>. Questo vincolo condiziona l’architettura dell’intera pipeline.</w:t>
      </w:r>
    </w:p>
    <w:p w14:paraId="49507248" w14:textId="77777777" w:rsidR="002D51DB" w:rsidRDefault="00000000">
      <w:pPr>
        <w:spacing w:after="120" w:line="276" w:lineRule="auto"/>
        <w:jc w:val="both"/>
      </w:pPr>
      <w:r>
        <w:rPr>
          <w:color w:val="333333"/>
        </w:rPr>
        <w:t xml:space="preserve">Il campo Sentiment contiene un punteggio </w:t>
      </w:r>
      <w:proofErr w:type="spellStart"/>
      <w:r>
        <w:rPr>
          <w:color w:val="333333"/>
        </w:rPr>
        <w:t>pre</w:t>
      </w:r>
      <w:proofErr w:type="spellEnd"/>
      <w:r>
        <w:rPr>
          <w:color w:val="333333"/>
        </w:rPr>
        <w:t xml:space="preserve">-calcolato a livello di articolo. Il flag </w:t>
      </w:r>
      <w:proofErr w:type="spellStart"/>
      <w:r>
        <w:rPr>
          <w:color w:val="333333"/>
        </w:rPr>
        <w:t>IsDuplicate</w:t>
      </w:r>
      <w:proofErr w:type="spellEnd"/>
      <w:r>
        <w:rPr>
          <w:color w:val="333333"/>
        </w:rPr>
        <w:t xml:space="preserve"> segnala articoli duplicati. Entrambi i campi andranno valutati criticamente: il sentiment </w:t>
      </w:r>
      <w:proofErr w:type="spellStart"/>
      <w:r>
        <w:rPr>
          <w:color w:val="333333"/>
        </w:rPr>
        <w:t>pre</w:t>
      </w:r>
      <w:proofErr w:type="spellEnd"/>
      <w:r>
        <w:rPr>
          <w:color w:val="333333"/>
        </w:rPr>
        <w:t xml:space="preserve">-calcolato potrebbe non essere adeguato </w:t>
      </w:r>
      <w:proofErr w:type="gramStart"/>
      <w:r>
        <w:rPr>
          <w:color w:val="333333"/>
        </w:rPr>
        <w:t>per</w:t>
      </w:r>
      <w:proofErr w:type="gramEnd"/>
      <w:r>
        <w:rPr>
          <w:color w:val="333333"/>
        </w:rPr>
        <w:t xml:space="preserve"> analisi finanziarie specializzate (sarà confrontato con </w:t>
      </w:r>
      <w:proofErr w:type="spellStart"/>
      <w:r>
        <w:rPr>
          <w:color w:val="333333"/>
        </w:rPr>
        <w:t>FinBERT</w:t>
      </w:r>
      <w:proofErr w:type="spellEnd"/>
      <w:r>
        <w:rPr>
          <w:color w:val="333333"/>
        </w:rPr>
        <w:t xml:space="preserve"> nella Fase 2), mentre il flag di duplicazione andrà verificato e integrato con deduplicazione aggiuntiva.</w:t>
      </w:r>
    </w:p>
    <w:p w14:paraId="2E3D0884" w14:textId="77777777" w:rsidR="002D51DB" w:rsidRDefault="002D51DB">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1600"/>
        <w:gridCol w:w="1400"/>
        <w:gridCol w:w="2826"/>
      </w:tblGrid>
      <w:tr w:rsidR="002D51DB" w14:paraId="612FF0C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7C8EBC" w14:textId="77777777" w:rsidR="002D51DB" w:rsidRDefault="00000000">
            <w:pPr>
              <w:jc w:val="center"/>
            </w:pPr>
            <w:r>
              <w:rPr>
                <w:b/>
                <w:bCs/>
                <w:color w:val="FFFFFF"/>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37CB9E2" w14:textId="77777777" w:rsidR="002D51DB" w:rsidRDefault="00000000">
            <w:pPr>
              <w:jc w:val="center"/>
            </w:pPr>
            <w:r>
              <w:rPr>
                <w:b/>
                <w:bCs/>
                <w:color w:val="FFFFFF"/>
                <w:sz w:val="20"/>
                <w:szCs w:val="20"/>
              </w:rPr>
              <w:t>Fase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F3E90C" w14:textId="77777777" w:rsidR="002D51DB" w:rsidRDefault="00000000">
            <w:pPr>
              <w:jc w:val="center"/>
            </w:pPr>
            <w:r>
              <w:rPr>
                <w:b/>
                <w:bCs/>
                <w:color w:val="FFFFFF"/>
                <w:sz w:val="20"/>
                <w:szCs w:val="20"/>
              </w:rPr>
              <w:t>Durata</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4031F2" w14:textId="77777777" w:rsidR="002D51DB" w:rsidRDefault="00000000">
            <w:pPr>
              <w:jc w:val="center"/>
            </w:pPr>
            <w:r>
              <w:rPr>
                <w:b/>
                <w:bCs/>
                <w:color w:val="FFFFFF"/>
                <w:sz w:val="20"/>
                <w:szCs w:val="20"/>
              </w:rPr>
              <w:t>Mesi</w:t>
            </w:r>
          </w:p>
        </w:tc>
        <w:tc>
          <w:tcPr>
            <w:tcW w:w="2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C900C9" w14:textId="77777777" w:rsidR="002D51DB" w:rsidRDefault="00000000">
            <w:pPr>
              <w:jc w:val="center"/>
            </w:pPr>
            <w:r>
              <w:rPr>
                <w:b/>
                <w:bCs/>
                <w:color w:val="FFFFFF"/>
                <w:sz w:val="20"/>
                <w:szCs w:val="20"/>
              </w:rPr>
              <w:t>Output principale</w:t>
            </w:r>
          </w:p>
        </w:tc>
      </w:tr>
      <w:tr w:rsidR="002D51DB" w14:paraId="52F7D14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346F91" w14:textId="77777777" w:rsidR="002D51DB" w:rsidRDefault="00000000">
            <w:pPr>
              <w:jc w:val="center"/>
            </w:pPr>
            <w:r>
              <w:rPr>
                <w:color w:val="333333"/>
                <w:sz w:val="20"/>
                <w:szCs w:val="20"/>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A8B16C" w14:textId="77777777" w:rsidR="002D51DB" w:rsidRDefault="00000000">
            <w:r>
              <w:rPr>
                <w:color w:val="333333"/>
                <w:sz w:val="20"/>
                <w:szCs w:val="20"/>
              </w:rPr>
              <w:t>Infrastruttura dati e DB</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AB2200" w14:textId="77777777" w:rsidR="002D51DB" w:rsidRDefault="00000000">
            <w:pPr>
              <w:jc w:val="center"/>
            </w:pPr>
            <w:r>
              <w:rPr>
                <w:color w:val="333333"/>
                <w:sz w:val="20"/>
                <w:szCs w:val="20"/>
              </w:rPr>
              <w:t>5–7 settimane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442275" w14:textId="77777777" w:rsidR="002D51DB" w:rsidRDefault="00000000">
            <w:pPr>
              <w:jc w:val="center"/>
            </w:pPr>
            <w:r>
              <w:rPr>
                <w:color w:val="333333"/>
                <w:sz w:val="20"/>
                <w:szCs w:val="20"/>
              </w:rPr>
              <w:t>1–2</w:t>
            </w:r>
          </w:p>
        </w:tc>
        <w:tc>
          <w:tcPr>
            <w:tcW w:w="2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EABA40" w14:textId="77777777" w:rsidR="002D51DB" w:rsidRDefault="00000000">
            <w:r>
              <w:rPr>
                <w:color w:val="333333"/>
                <w:sz w:val="20"/>
                <w:szCs w:val="20"/>
              </w:rPr>
              <w:t xml:space="preserve">DB </w:t>
            </w:r>
            <w:proofErr w:type="spellStart"/>
            <w:r>
              <w:rPr>
                <w:color w:val="333333"/>
                <w:sz w:val="20"/>
                <w:szCs w:val="20"/>
              </w:rPr>
              <w:t>PostgreSQL</w:t>
            </w:r>
            <w:proofErr w:type="spellEnd"/>
            <w:r>
              <w:rPr>
                <w:color w:val="333333"/>
                <w:sz w:val="20"/>
                <w:szCs w:val="20"/>
              </w:rPr>
              <w:t xml:space="preserve"> operativo</w:t>
            </w:r>
          </w:p>
        </w:tc>
      </w:tr>
      <w:tr w:rsidR="002D51DB" w14:paraId="7E99DEC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3D108" w14:textId="77777777" w:rsidR="002D51DB" w:rsidRDefault="00000000">
            <w:pPr>
              <w:jc w:val="center"/>
            </w:pPr>
            <w:r>
              <w:rPr>
                <w:color w:val="333333"/>
                <w:sz w:val="20"/>
                <w:szCs w:val="20"/>
              </w:rPr>
              <w:t>2</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6E3A4" w14:textId="77777777" w:rsidR="002D51DB" w:rsidRDefault="00000000">
            <w:r>
              <w:rPr>
                <w:color w:val="333333"/>
                <w:sz w:val="20"/>
                <w:szCs w:val="20"/>
              </w:rPr>
              <w:t>Indicatori testuali</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7EC36" w14:textId="77777777" w:rsidR="002D51DB" w:rsidRDefault="00000000">
            <w:pPr>
              <w:jc w:val="center"/>
            </w:pPr>
            <w:r>
              <w:rPr>
                <w:color w:val="333333"/>
                <w:sz w:val="20"/>
                <w:szCs w:val="20"/>
              </w:rPr>
              <w:t>6–8 settimane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DA119" w14:textId="77777777" w:rsidR="002D51DB" w:rsidRDefault="00000000">
            <w:pPr>
              <w:jc w:val="center"/>
            </w:pPr>
            <w:r>
              <w:rPr>
                <w:color w:val="333333"/>
                <w:sz w:val="20"/>
                <w:szCs w:val="20"/>
              </w:rPr>
              <w:t>3–4</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9E884" w14:textId="77777777" w:rsidR="002D51DB" w:rsidRDefault="00000000">
            <w:r>
              <w:rPr>
                <w:color w:val="333333"/>
                <w:sz w:val="20"/>
                <w:szCs w:val="20"/>
              </w:rPr>
              <w:t>Serie temporali di indicatori</w:t>
            </w:r>
          </w:p>
        </w:tc>
      </w:tr>
      <w:tr w:rsidR="002D51DB" w14:paraId="1C9007D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04556D" w14:textId="77777777" w:rsidR="002D51DB" w:rsidRDefault="00000000">
            <w:pPr>
              <w:jc w:val="center"/>
            </w:pPr>
            <w:r>
              <w:rPr>
                <w:color w:val="333333"/>
                <w:sz w:val="20"/>
                <w:szCs w:val="20"/>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4E2E68" w14:textId="77777777" w:rsidR="002D51DB" w:rsidRDefault="00000000">
            <w:r>
              <w:rPr>
                <w:color w:val="333333"/>
                <w:sz w:val="20"/>
                <w:szCs w:val="20"/>
              </w:rPr>
              <w:t>Analisi retrospettiva</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5736B4" w14:textId="77777777" w:rsidR="002D51DB" w:rsidRDefault="00000000">
            <w:pPr>
              <w:jc w:val="center"/>
            </w:pPr>
            <w:r>
              <w:rPr>
                <w:color w:val="333333"/>
                <w:sz w:val="20"/>
                <w:szCs w:val="20"/>
              </w:rPr>
              <w:t>8–10 settimane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DA7906" w14:textId="77777777" w:rsidR="002D51DB" w:rsidRDefault="00000000">
            <w:pPr>
              <w:jc w:val="center"/>
            </w:pPr>
            <w:r>
              <w:rPr>
                <w:color w:val="333333"/>
                <w:sz w:val="20"/>
                <w:szCs w:val="20"/>
              </w:rPr>
              <w:t>5–7</w:t>
            </w:r>
          </w:p>
        </w:tc>
        <w:tc>
          <w:tcPr>
            <w:tcW w:w="2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61A8A7" w14:textId="77777777" w:rsidR="002D51DB" w:rsidRDefault="00000000">
            <w:r>
              <w:rPr>
                <w:color w:val="333333"/>
                <w:sz w:val="20"/>
                <w:szCs w:val="20"/>
              </w:rPr>
              <w:t>Evidenza empirica e t*</w:t>
            </w:r>
          </w:p>
        </w:tc>
      </w:tr>
      <w:tr w:rsidR="002D51DB" w14:paraId="069C606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91EEA" w14:textId="77777777" w:rsidR="002D51DB" w:rsidRDefault="00000000">
            <w:pPr>
              <w:jc w:val="center"/>
            </w:pPr>
            <w:r>
              <w:rPr>
                <w:color w:val="333333"/>
                <w:sz w:val="20"/>
                <w:szCs w:val="20"/>
              </w:rPr>
              <w:t>4</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3DB1D" w14:textId="77777777" w:rsidR="002D51DB" w:rsidRDefault="00000000">
            <w:r>
              <w:rPr>
                <w:color w:val="333333"/>
                <w:sz w:val="20"/>
                <w:szCs w:val="20"/>
              </w:rPr>
              <w:t xml:space="preserve">Framework </w:t>
            </w:r>
            <w:proofErr w:type="spellStart"/>
            <w:r>
              <w:rPr>
                <w:color w:val="333333"/>
                <w:sz w:val="20"/>
                <w:szCs w:val="20"/>
              </w:rPr>
              <w:t>forward-looking</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9B4C9" w14:textId="77777777" w:rsidR="002D51DB" w:rsidRDefault="00000000">
            <w:pPr>
              <w:jc w:val="center"/>
            </w:pPr>
            <w:r>
              <w:rPr>
                <w:color w:val="333333"/>
                <w:sz w:val="20"/>
                <w:szCs w:val="20"/>
              </w:rPr>
              <w:t>6–8 settimane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96746" w14:textId="77777777" w:rsidR="002D51DB" w:rsidRDefault="00000000">
            <w:pPr>
              <w:jc w:val="center"/>
            </w:pPr>
            <w:r>
              <w:rPr>
                <w:color w:val="333333"/>
                <w:sz w:val="20"/>
                <w:szCs w:val="20"/>
              </w:rPr>
              <w:t>7–9</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BC39E" w14:textId="77777777" w:rsidR="002D51DB" w:rsidRDefault="00000000">
            <w:r>
              <w:rPr>
                <w:color w:val="333333"/>
                <w:sz w:val="20"/>
                <w:szCs w:val="20"/>
              </w:rPr>
              <w:t>Early-warning model</w:t>
            </w:r>
          </w:p>
        </w:tc>
      </w:tr>
      <w:tr w:rsidR="002D51DB" w14:paraId="4EFAFA9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2B7815" w14:textId="77777777" w:rsidR="002D51DB" w:rsidRDefault="00000000">
            <w:pPr>
              <w:jc w:val="center"/>
            </w:pPr>
            <w:r>
              <w:rPr>
                <w:color w:val="333333"/>
                <w:sz w:val="20"/>
                <w:szCs w:val="20"/>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AA9298" w14:textId="77777777" w:rsidR="002D51DB" w:rsidRDefault="00000000">
            <w:r>
              <w:rPr>
                <w:color w:val="333333"/>
                <w:sz w:val="20"/>
                <w:szCs w:val="20"/>
              </w:rPr>
              <w:t>Applicazione AI risk</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C6D0AD" w14:textId="77777777" w:rsidR="002D51DB" w:rsidRDefault="00000000">
            <w:pPr>
              <w:jc w:val="center"/>
            </w:pPr>
            <w:r>
              <w:rPr>
                <w:color w:val="333333"/>
                <w:sz w:val="20"/>
                <w:szCs w:val="20"/>
              </w:rPr>
              <w:t>4–6 settimane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402F46" w14:textId="77777777" w:rsidR="002D51DB" w:rsidRDefault="00000000">
            <w:pPr>
              <w:jc w:val="center"/>
            </w:pPr>
            <w:r>
              <w:rPr>
                <w:color w:val="333333"/>
                <w:sz w:val="20"/>
                <w:szCs w:val="20"/>
              </w:rPr>
              <w:t>9–11</w:t>
            </w:r>
          </w:p>
        </w:tc>
        <w:tc>
          <w:tcPr>
            <w:tcW w:w="2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6273A3" w14:textId="77777777" w:rsidR="002D51DB" w:rsidRDefault="00000000">
            <w:r>
              <w:rPr>
                <w:color w:val="333333"/>
                <w:sz w:val="20"/>
                <w:szCs w:val="20"/>
              </w:rPr>
              <w:t>Case study predittivo</w:t>
            </w:r>
          </w:p>
        </w:tc>
      </w:tr>
      <w:tr w:rsidR="002D51DB" w14:paraId="51F59F9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BA263" w14:textId="77777777" w:rsidR="002D51DB" w:rsidRDefault="00000000">
            <w:pPr>
              <w:jc w:val="center"/>
            </w:pPr>
            <w:r>
              <w:rPr>
                <w:color w:val="333333"/>
                <w:sz w:val="20"/>
                <w:szCs w:val="20"/>
              </w:rPr>
              <w:t>6</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1604A" w14:textId="77777777" w:rsidR="002D51DB" w:rsidRDefault="00000000">
            <w:r>
              <w:rPr>
                <w:color w:val="333333"/>
                <w:sz w:val="20"/>
                <w:szCs w:val="20"/>
              </w:rPr>
              <w:t xml:space="preserve">Scrittura e </w:t>
            </w:r>
            <w:proofErr w:type="spellStart"/>
            <w:r>
              <w:rPr>
                <w:color w:val="333333"/>
                <w:sz w:val="20"/>
                <w:szCs w:val="20"/>
              </w:rPr>
              <w:t>submission</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7FD27" w14:textId="77777777" w:rsidR="002D51DB" w:rsidRDefault="00000000">
            <w:pPr>
              <w:jc w:val="center"/>
            </w:pPr>
            <w:r>
              <w:rPr>
                <w:color w:val="333333"/>
                <w:sz w:val="20"/>
                <w:szCs w:val="20"/>
              </w:rPr>
              <w:t>6–8 settimane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7AE2F" w14:textId="77777777" w:rsidR="002D51DB" w:rsidRDefault="00000000">
            <w:pPr>
              <w:jc w:val="center"/>
            </w:pPr>
            <w:r>
              <w:rPr>
                <w:color w:val="333333"/>
                <w:sz w:val="20"/>
                <w:szCs w:val="20"/>
              </w:rPr>
              <w:t>11–14</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24C4A" w14:textId="77777777" w:rsidR="002D51DB" w:rsidRDefault="00000000">
            <w:r>
              <w:rPr>
                <w:color w:val="333333"/>
                <w:sz w:val="20"/>
                <w:szCs w:val="20"/>
              </w:rPr>
              <w:t>Paper completo</w:t>
            </w:r>
          </w:p>
        </w:tc>
      </w:tr>
    </w:tbl>
    <w:p w14:paraId="56F8C65D" w14:textId="77777777" w:rsidR="002D51DB" w:rsidRDefault="002D51DB">
      <w:pPr>
        <w:spacing w:after="60"/>
      </w:pPr>
    </w:p>
    <w:p w14:paraId="20DEBB73" w14:textId="77777777" w:rsidR="002D51DB" w:rsidRDefault="00000000">
      <w:pPr>
        <w:pStyle w:val="Titolo1"/>
      </w:pPr>
      <w:r>
        <w:t>Fase 1 – Infrastruttura dati, database e costruzione del corpus</w:t>
      </w:r>
    </w:p>
    <w:p w14:paraId="1BC9E034" w14:textId="77777777" w:rsidR="002D51DB" w:rsidRDefault="00000000">
      <w:pPr>
        <w:pStyle w:val="Titolo2"/>
      </w:pPr>
      <w:r>
        <w:t>Obiettivo</w:t>
      </w:r>
    </w:p>
    <w:p w14:paraId="2AAAF1ED" w14:textId="77777777" w:rsidR="002D51DB" w:rsidRDefault="00000000">
      <w:pPr>
        <w:spacing w:after="120" w:line="276" w:lineRule="auto"/>
        <w:jc w:val="both"/>
      </w:pPr>
      <w:r>
        <w:rPr>
          <w:color w:val="333333"/>
        </w:rPr>
        <w:lastRenderedPageBreak/>
        <w:t xml:space="preserve">Costruire un’infrastruttura dati unificata su </w:t>
      </w:r>
      <w:proofErr w:type="spellStart"/>
      <w:r>
        <w:rPr>
          <w:color w:val="333333"/>
        </w:rPr>
        <w:t>PostgreSQL</w:t>
      </w:r>
      <w:proofErr w:type="spellEnd"/>
      <w:r>
        <w:rPr>
          <w:color w:val="333333"/>
        </w:rPr>
        <w:t xml:space="preserve"> che integri il corpus di notizie (già disponibile in CSV) con i </w:t>
      </w:r>
      <w:proofErr w:type="spellStart"/>
      <w:r>
        <w:rPr>
          <w:color w:val="333333"/>
        </w:rPr>
        <w:t>filing</w:t>
      </w:r>
      <w:proofErr w:type="spellEnd"/>
      <w:r>
        <w:rPr>
          <w:color w:val="333333"/>
        </w:rPr>
        <w:t xml:space="preserve"> SEC (da scaricare), fornendo una base interrogabile, indicizzata e riproducibile per tutte le analisi successive.</w:t>
      </w:r>
    </w:p>
    <w:p w14:paraId="7B0FCC10" w14:textId="77777777" w:rsidR="002D51DB" w:rsidRDefault="00000000">
      <w:pPr>
        <w:pStyle w:val="Titolo2"/>
      </w:pPr>
      <w:r>
        <w:t>Attività operative</w:t>
      </w:r>
    </w:p>
    <w:p w14:paraId="28148025" w14:textId="77777777" w:rsidR="002D51DB" w:rsidRDefault="00000000">
      <w:pPr>
        <w:pStyle w:val="Titolo3"/>
      </w:pPr>
      <w:r>
        <w:t xml:space="preserve">1.1 Progettazione dello schema </w:t>
      </w:r>
      <w:proofErr w:type="spellStart"/>
      <w:r>
        <w:t>PostgreSQL</w:t>
      </w:r>
      <w:proofErr w:type="spellEnd"/>
    </w:p>
    <w:p w14:paraId="3584C882" w14:textId="77777777" w:rsidR="002D51DB" w:rsidRDefault="00000000">
      <w:pPr>
        <w:spacing w:after="120" w:line="276" w:lineRule="auto"/>
        <w:jc w:val="both"/>
      </w:pPr>
      <w:r>
        <w:rPr>
          <w:color w:val="333333"/>
        </w:rPr>
        <w:t xml:space="preserve">Lo schema deve supportare query efficienti per fonte, data, impresa e tema. La progettazione prevede almeno tre tabelle principali: una tabella </w:t>
      </w:r>
      <w:proofErr w:type="spellStart"/>
      <w:r>
        <w:rPr>
          <w:color w:val="333333"/>
        </w:rPr>
        <w:t>news_articles</w:t>
      </w:r>
      <w:proofErr w:type="spellEnd"/>
      <w:r>
        <w:rPr>
          <w:color w:val="333333"/>
        </w:rPr>
        <w:t xml:space="preserve"> per il corpus di notizie, una tabella sec_filings_10k per i risk </w:t>
      </w:r>
      <w:proofErr w:type="spellStart"/>
      <w:r>
        <w:rPr>
          <w:color w:val="333333"/>
        </w:rPr>
        <w:t>factor</w:t>
      </w:r>
      <w:proofErr w:type="spellEnd"/>
      <w:r>
        <w:rPr>
          <w:color w:val="333333"/>
        </w:rPr>
        <w:t xml:space="preserve"> annuali e una tabella sec_filings_8k per i </w:t>
      </w:r>
      <w:proofErr w:type="spellStart"/>
      <w:r>
        <w:rPr>
          <w:color w:val="333333"/>
        </w:rPr>
        <w:t>filing</w:t>
      </w:r>
      <w:proofErr w:type="spellEnd"/>
      <w:r>
        <w:rPr>
          <w:color w:val="333333"/>
        </w:rPr>
        <w:t xml:space="preserve"> event-</w:t>
      </w:r>
      <w:proofErr w:type="spellStart"/>
      <w:r>
        <w:rPr>
          <w:color w:val="333333"/>
        </w:rPr>
        <w:t>driven</w:t>
      </w:r>
      <w:proofErr w:type="spellEnd"/>
      <w:r>
        <w:rPr>
          <w:color w:val="333333"/>
        </w:rPr>
        <w:t xml:space="preserve">. A queste si aggiunge una tabella di anagrafica </w:t>
      </w:r>
      <w:proofErr w:type="spellStart"/>
      <w:r>
        <w:rPr>
          <w:color w:val="333333"/>
        </w:rPr>
        <w:t>firm_universe</w:t>
      </w:r>
      <w:proofErr w:type="spellEnd"/>
      <w:r>
        <w:rPr>
          <w:color w:val="333333"/>
        </w:rPr>
        <w:t xml:space="preserve"> che mappa CIK, ticker e ragione sociale delle imprese S&amp;P 500, con validità temporale per gestire le variazioni nella composizione dell’indice.</w:t>
      </w:r>
    </w:p>
    <w:p w14:paraId="420CFE7D" w14:textId="77777777" w:rsidR="002D51DB" w:rsidRDefault="00000000">
      <w:pPr>
        <w:spacing w:after="120" w:line="276" w:lineRule="auto"/>
        <w:jc w:val="both"/>
      </w:pPr>
      <w:r>
        <w:rPr>
          <w:color w:val="333333"/>
        </w:rPr>
        <w:t xml:space="preserve">Per la tabella </w:t>
      </w:r>
      <w:proofErr w:type="spellStart"/>
      <w:r>
        <w:rPr>
          <w:color w:val="333333"/>
        </w:rPr>
        <w:t>news_articles</w:t>
      </w:r>
      <w:proofErr w:type="spellEnd"/>
      <w:r>
        <w:rPr>
          <w:color w:val="333333"/>
        </w:rPr>
        <w:t xml:space="preserve">, i campi derivano direttamente dalla struttura CSV esistente: </w:t>
      </w:r>
      <w:proofErr w:type="spellStart"/>
      <w:r>
        <w:rPr>
          <w:color w:val="333333"/>
        </w:rPr>
        <w:t>title</w:t>
      </w:r>
      <w:proofErr w:type="spellEnd"/>
      <w:r>
        <w:rPr>
          <w:color w:val="333333"/>
        </w:rPr>
        <w:t xml:space="preserve">, body, </w:t>
      </w:r>
      <w:proofErr w:type="spellStart"/>
      <w:r>
        <w:rPr>
          <w:color w:val="333333"/>
        </w:rPr>
        <w:t>publication_date</w:t>
      </w:r>
      <w:proofErr w:type="spellEnd"/>
      <w:r>
        <w:rPr>
          <w:color w:val="333333"/>
        </w:rPr>
        <w:t xml:space="preserve">, </w:t>
      </w:r>
      <w:proofErr w:type="spellStart"/>
      <w:r>
        <w:rPr>
          <w:color w:val="333333"/>
        </w:rPr>
        <w:t>language</w:t>
      </w:r>
      <w:proofErr w:type="spellEnd"/>
      <w:r>
        <w:rPr>
          <w:color w:val="333333"/>
        </w:rPr>
        <w:t xml:space="preserve">, source, </w:t>
      </w:r>
      <w:proofErr w:type="spellStart"/>
      <w:r>
        <w:rPr>
          <w:color w:val="333333"/>
        </w:rPr>
        <w:t>sentiment_precomputed</w:t>
      </w:r>
      <w:proofErr w:type="spellEnd"/>
      <w:r>
        <w:rPr>
          <w:color w:val="333333"/>
        </w:rPr>
        <w:t xml:space="preserve">, </w:t>
      </w:r>
      <w:proofErr w:type="spellStart"/>
      <w:r>
        <w:rPr>
          <w:color w:val="333333"/>
        </w:rPr>
        <w:t>is_duplicate</w:t>
      </w:r>
      <w:proofErr w:type="spellEnd"/>
      <w:r>
        <w:rPr>
          <w:color w:val="333333"/>
        </w:rPr>
        <w:t xml:space="preserve">, </w:t>
      </w:r>
      <w:proofErr w:type="spellStart"/>
      <w:r>
        <w:rPr>
          <w:color w:val="333333"/>
        </w:rPr>
        <w:t>data_type</w:t>
      </w:r>
      <w:proofErr w:type="spellEnd"/>
      <w:r>
        <w:rPr>
          <w:color w:val="333333"/>
        </w:rPr>
        <w:t xml:space="preserve">, </w:t>
      </w:r>
      <w:proofErr w:type="spellStart"/>
      <w:r>
        <w:rPr>
          <w:color w:val="333333"/>
        </w:rPr>
        <w:t>url</w:t>
      </w:r>
      <w:proofErr w:type="spellEnd"/>
      <w:r>
        <w:rPr>
          <w:color w:val="333333"/>
        </w:rPr>
        <w:t xml:space="preserve">. Vanno aggiunti campi per l’identificativo univoco, per il collegamento opzionale a </w:t>
      </w:r>
      <w:proofErr w:type="spellStart"/>
      <w:r>
        <w:rPr>
          <w:color w:val="333333"/>
        </w:rPr>
        <w:t>firm_universe</w:t>
      </w:r>
      <w:proofErr w:type="spellEnd"/>
      <w:r>
        <w:rPr>
          <w:color w:val="333333"/>
        </w:rPr>
        <w:t xml:space="preserve"> (quando l’articolo menziona imprese del campione), e per i flag di </w:t>
      </w:r>
      <w:proofErr w:type="spellStart"/>
      <w:r>
        <w:rPr>
          <w:color w:val="333333"/>
        </w:rPr>
        <w:t>preprocessing</w:t>
      </w:r>
      <w:proofErr w:type="spellEnd"/>
      <w:r>
        <w:rPr>
          <w:color w:val="333333"/>
        </w:rPr>
        <w:t xml:space="preserve"> (</w:t>
      </w:r>
      <w:proofErr w:type="spellStart"/>
      <w:r>
        <w:rPr>
          <w:color w:val="333333"/>
        </w:rPr>
        <w:t>boilerplate</w:t>
      </w:r>
      <w:proofErr w:type="spellEnd"/>
      <w:r>
        <w:rPr>
          <w:color w:val="333333"/>
        </w:rPr>
        <w:t xml:space="preserve"> rimosso, lingua verificata, ecc.).</w:t>
      </w:r>
    </w:p>
    <w:p w14:paraId="078BE465" w14:textId="77777777" w:rsidR="002D51DB" w:rsidRDefault="00000000">
      <w:pPr>
        <w:spacing w:after="120" w:line="276" w:lineRule="auto"/>
        <w:jc w:val="both"/>
      </w:pPr>
      <w:r>
        <w:rPr>
          <w:color w:val="333333"/>
        </w:rPr>
        <w:t xml:space="preserve">Gli indici devono coprire almeno: </w:t>
      </w:r>
      <w:proofErr w:type="spellStart"/>
      <w:r>
        <w:rPr>
          <w:color w:val="333333"/>
        </w:rPr>
        <w:t>publication_date</w:t>
      </w:r>
      <w:proofErr w:type="spellEnd"/>
      <w:r>
        <w:rPr>
          <w:color w:val="333333"/>
        </w:rPr>
        <w:t xml:space="preserve">, source, e un indice GIN su un campo </w:t>
      </w:r>
      <w:proofErr w:type="spellStart"/>
      <w:r>
        <w:rPr>
          <w:color w:val="333333"/>
        </w:rPr>
        <w:t>tsvector</w:t>
      </w:r>
      <w:proofErr w:type="spellEnd"/>
      <w:r>
        <w:rPr>
          <w:color w:val="333333"/>
        </w:rPr>
        <w:t xml:space="preserve"> per la ricerca full-text. Per i </w:t>
      </w:r>
      <w:proofErr w:type="spellStart"/>
      <w:r>
        <w:rPr>
          <w:color w:val="333333"/>
        </w:rPr>
        <w:t>filing</w:t>
      </w:r>
      <w:proofErr w:type="spellEnd"/>
      <w:r>
        <w:rPr>
          <w:color w:val="333333"/>
        </w:rPr>
        <w:t xml:space="preserve"> SEC, gli indici coprono </w:t>
      </w:r>
      <w:proofErr w:type="spellStart"/>
      <w:r>
        <w:rPr>
          <w:color w:val="333333"/>
        </w:rPr>
        <w:t>cik</w:t>
      </w:r>
      <w:proofErr w:type="spellEnd"/>
      <w:r>
        <w:rPr>
          <w:color w:val="333333"/>
        </w:rPr>
        <w:t xml:space="preserve">, </w:t>
      </w:r>
      <w:proofErr w:type="spellStart"/>
      <w:r>
        <w:rPr>
          <w:color w:val="333333"/>
        </w:rPr>
        <w:t>filing_date</w:t>
      </w:r>
      <w:proofErr w:type="spellEnd"/>
      <w:r>
        <w:rPr>
          <w:color w:val="333333"/>
        </w:rPr>
        <w:t xml:space="preserve"> e </w:t>
      </w:r>
      <w:proofErr w:type="spellStart"/>
      <w:r>
        <w:rPr>
          <w:color w:val="333333"/>
        </w:rPr>
        <w:t>filing_type</w:t>
      </w:r>
      <w:proofErr w:type="spellEnd"/>
      <w:r>
        <w:rPr>
          <w:color w:val="333333"/>
        </w:rPr>
        <w:t>.</w:t>
      </w:r>
    </w:p>
    <w:p w14:paraId="1CC5A826" w14:textId="77777777" w:rsidR="002D51DB" w:rsidRDefault="00000000">
      <w:pPr>
        <w:pStyle w:val="Titolo3"/>
      </w:pPr>
      <w:r>
        <w:t>1.2 Ingestione dei CSV nel database</w:t>
      </w:r>
    </w:p>
    <w:p w14:paraId="65D068C8" w14:textId="77777777" w:rsidR="002D51DB" w:rsidRDefault="00000000">
      <w:pPr>
        <w:spacing w:after="120" w:line="276" w:lineRule="auto"/>
        <w:jc w:val="both"/>
      </w:pPr>
      <w:r>
        <w:rPr>
          <w:color w:val="333333"/>
        </w:rPr>
        <w:t>I file CSV pipe-</w:t>
      </w:r>
      <w:proofErr w:type="spellStart"/>
      <w:r>
        <w:rPr>
          <w:color w:val="333333"/>
        </w:rPr>
        <w:t>delimited</w:t>
      </w:r>
      <w:proofErr w:type="spellEnd"/>
      <w:r>
        <w:rPr>
          <w:color w:val="333333"/>
        </w:rPr>
        <w:t xml:space="preserve"> sono troppo grandi per essere caricati in memoria con Pandas. L’ingestione va gestita tramite il comando COPY di </w:t>
      </w:r>
      <w:proofErr w:type="spellStart"/>
      <w:r>
        <w:rPr>
          <w:color w:val="333333"/>
        </w:rPr>
        <w:t>PostgreSQL</w:t>
      </w:r>
      <w:proofErr w:type="spellEnd"/>
      <w:r>
        <w:rPr>
          <w:color w:val="333333"/>
        </w:rPr>
        <w:t xml:space="preserve"> (o il suo </w:t>
      </w:r>
      <w:proofErr w:type="spellStart"/>
      <w:r>
        <w:rPr>
          <w:color w:val="333333"/>
        </w:rPr>
        <w:t>wrapper</w:t>
      </w:r>
      <w:proofErr w:type="spellEnd"/>
      <w:r>
        <w:rPr>
          <w:color w:val="333333"/>
        </w:rPr>
        <w:t xml:space="preserve"> psycopg2 </w:t>
      </w:r>
      <w:proofErr w:type="spellStart"/>
      <w:r>
        <w:rPr>
          <w:color w:val="333333"/>
        </w:rPr>
        <w:t>copy_expert</w:t>
      </w:r>
      <w:proofErr w:type="spellEnd"/>
      <w:r>
        <w:rPr>
          <w:color w:val="333333"/>
        </w:rPr>
        <w:t xml:space="preserve">), che è ordini di grandezza più veloce di un INSERT riga per riga. Prima dell’ingestione massiva, un campione iniziale (prime 10.000 righe) va caricato per verificare la coerenza dei tipi, la corretta gestione delle codifiche (i dati mostrano artefatti UTF-8, ad es. “â‚¬” per il simbolo dell’euro), e la robustezza del </w:t>
      </w:r>
      <w:proofErr w:type="spellStart"/>
      <w:r>
        <w:rPr>
          <w:color w:val="333333"/>
        </w:rPr>
        <w:t>parsing</w:t>
      </w:r>
      <w:proofErr w:type="spellEnd"/>
      <w:r>
        <w:rPr>
          <w:color w:val="333333"/>
        </w:rPr>
        <w:t xml:space="preserve"> rispetto a campi Body che contengono pipe o </w:t>
      </w:r>
      <w:proofErr w:type="spellStart"/>
      <w:r>
        <w:rPr>
          <w:color w:val="333333"/>
        </w:rPr>
        <w:t>newline</w:t>
      </w:r>
      <w:proofErr w:type="spellEnd"/>
      <w:r>
        <w:rPr>
          <w:color w:val="333333"/>
        </w:rPr>
        <w:t>.</w:t>
      </w:r>
    </w:p>
    <w:p w14:paraId="0750BC97" w14:textId="77777777" w:rsidR="002D51DB" w:rsidRDefault="00000000">
      <w:pPr>
        <w:spacing w:after="120" w:line="276" w:lineRule="auto"/>
        <w:jc w:val="both"/>
      </w:pPr>
      <w:r>
        <w:rPr>
          <w:color w:val="333333"/>
        </w:rPr>
        <w:t xml:space="preserve">Il workflow di ingestione è: validazione dello schema su campione, correzione delle codifiche (da latin-1/cp1252 a UTF-8 pulito), creazione di una </w:t>
      </w:r>
      <w:proofErr w:type="spellStart"/>
      <w:r>
        <w:rPr>
          <w:color w:val="333333"/>
        </w:rPr>
        <w:t>staging</w:t>
      </w:r>
      <w:proofErr w:type="spellEnd"/>
      <w:r>
        <w:rPr>
          <w:color w:val="333333"/>
        </w:rPr>
        <w:t xml:space="preserve"> </w:t>
      </w:r>
      <w:proofErr w:type="spellStart"/>
      <w:r>
        <w:rPr>
          <w:color w:val="333333"/>
        </w:rPr>
        <w:t>table</w:t>
      </w:r>
      <w:proofErr w:type="spellEnd"/>
      <w:r>
        <w:rPr>
          <w:color w:val="333333"/>
        </w:rPr>
        <w:t xml:space="preserve"> senza vincoli, COPY massivo, pulizia e trasferimento nella tabella definitiva con vincoli e indici. La pipeline va implementata come script Python riproducibile con </w:t>
      </w:r>
      <w:proofErr w:type="spellStart"/>
      <w:r>
        <w:rPr>
          <w:color w:val="333333"/>
        </w:rPr>
        <w:t>logging</w:t>
      </w:r>
      <w:proofErr w:type="spellEnd"/>
      <w:r>
        <w:rPr>
          <w:color w:val="333333"/>
        </w:rPr>
        <w:t>.</w:t>
      </w:r>
    </w:p>
    <w:p w14:paraId="3F5FB0F7" w14:textId="77777777" w:rsidR="002D51DB" w:rsidRDefault="00000000">
      <w:pPr>
        <w:pStyle w:val="Titolo3"/>
      </w:pPr>
      <w:r>
        <w:t>1.3 Pulizia e deduplicazione del corpus news</w:t>
      </w:r>
    </w:p>
    <w:p w14:paraId="5514D1D7" w14:textId="77777777" w:rsidR="002D51DB" w:rsidRDefault="00000000">
      <w:pPr>
        <w:spacing w:after="120" w:line="276" w:lineRule="auto"/>
        <w:jc w:val="both"/>
      </w:pPr>
      <w:r>
        <w:rPr>
          <w:color w:val="333333"/>
        </w:rPr>
        <w:t xml:space="preserve">La pulizia del corpus news prevede quattro passaggi. Primo, la verifica e il filtraggio del campo Language: trattenere solo gli articoli in inglese. Secondo, la gestione dei duplicati: il campo </w:t>
      </w:r>
      <w:proofErr w:type="spellStart"/>
      <w:r>
        <w:rPr>
          <w:color w:val="333333"/>
        </w:rPr>
        <w:t>IsDuplicate</w:t>
      </w:r>
      <w:proofErr w:type="spellEnd"/>
      <w:r>
        <w:rPr>
          <w:color w:val="333333"/>
        </w:rPr>
        <w:t xml:space="preserve"> fornisce un flag </w:t>
      </w:r>
      <w:proofErr w:type="spellStart"/>
      <w:r>
        <w:rPr>
          <w:color w:val="333333"/>
        </w:rPr>
        <w:t>pre</w:t>
      </w:r>
      <w:proofErr w:type="spellEnd"/>
      <w:r>
        <w:rPr>
          <w:color w:val="333333"/>
        </w:rPr>
        <w:t>-calcolato, ma va integrato con un controllo aggiuntivo basato su similarità testuale (</w:t>
      </w:r>
      <w:proofErr w:type="spellStart"/>
      <w:r>
        <w:rPr>
          <w:color w:val="333333"/>
        </w:rPr>
        <w:t>MinHash</w:t>
      </w:r>
      <w:proofErr w:type="spellEnd"/>
      <w:r>
        <w:rPr>
          <w:color w:val="333333"/>
        </w:rPr>
        <w:t xml:space="preserve"> o </w:t>
      </w:r>
      <w:proofErr w:type="spellStart"/>
      <w:r>
        <w:rPr>
          <w:color w:val="333333"/>
        </w:rPr>
        <w:t>SimHash</w:t>
      </w:r>
      <w:proofErr w:type="spellEnd"/>
      <w:r>
        <w:rPr>
          <w:color w:val="333333"/>
        </w:rPr>
        <w:t xml:space="preserve">) per identificare </w:t>
      </w:r>
      <w:proofErr w:type="spellStart"/>
      <w:r>
        <w:rPr>
          <w:color w:val="333333"/>
        </w:rPr>
        <w:t>near-duplicates</w:t>
      </w:r>
      <w:proofErr w:type="spellEnd"/>
      <w:r>
        <w:rPr>
          <w:color w:val="333333"/>
        </w:rPr>
        <w:t xml:space="preserve"> non catturati dal flag originale. Terzo, la rimozione del </w:t>
      </w:r>
      <w:proofErr w:type="spellStart"/>
      <w:r>
        <w:rPr>
          <w:color w:val="333333"/>
        </w:rPr>
        <w:t>boilerplate</w:t>
      </w:r>
      <w:proofErr w:type="spellEnd"/>
      <w:r>
        <w:rPr>
          <w:color w:val="333333"/>
        </w:rPr>
        <w:t xml:space="preserve">: eliminare firme editoriali ricorrenti, disclaimer, informazioni di abbonamento e </w:t>
      </w:r>
      <w:proofErr w:type="spellStart"/>
      <w:r>
        <w:rPr>
          <w:color w:val="333333"/>
        </w:rPr>
        <w:t>footer</w:t>
      </w:r>
      <w:proofErr w:type="spellEnd"/>
      <w:r>
        <w:rPr>
          <w:color w:val="333333"/>
        </w:rPr>
        <w:t xml:space="preserve"> standardizzati che si ripetono identici tra articoli della stessa testata. Quarto, la normalizzazione delle entità nominate: applicare NER (</w:t>
      </w:r>
      <w:proofErr w:type="spellStart"/>
      <w:r>
        <w:rPr>
          <w:color w:val="333333"/>
        </w:rPr>
        <w:t>spaCy</w:t>
      </w:r>
      <w:proofErr w:type="spellEnd"/>
      <w:r>
        <w:rPr>
          <w:color w:val="333333"/>
        </w:rPr>
        <w:t xml:space="preserve">) per estrarre menzioni di società e creare il collegamento con la tabella </w:t>
      </w:r>
      <w:proofErr w:type="spellStart"/>
      <w:r>
        <w:rPr>
          <w:color w:val="333333"/>
        </w:rPr>
        <w:t>firm_universe</w:t>
      </w:r>
      <w:proofErr w:type="spellEnd"/>
      <w:r>
        <w:rPr>
          <w:color w:val="333333"/>
        </w:rPr>
        <w:t>.</w:t>
      </w:r>
    </w:p>
    <w:p w14:paraId="1AC30458" w14:textId="77777777" w:rsidR="002D51DB" w:rsidRDefault="00000000">
      <w:pPr>
        <w:pStyle w:val="Titolo3"/>
      </w:pPr>
      <w:r>
        <w:t xml:space="preserve">1.4 Download e </w:t>
      </w:r>
      <w:proofErr w:type="spellStart"/>
      <w:r>
        <w:t>parsing</w:t>
      </w:r>
      <w:proofErr w:type="spellEnd"/>
      <w:r>
        <w:t xml:space="preserve"> dei </w:t>
      </w:r>
      <w:proofErr w:type="spellStart"/>
      <w:r>
        <w:t>filing</w:t>
      </w:r>
      <w:proofErr w:type="spellEnd"/>
      <w:r>
        <w:t xml:space="preserve"> SEC (10-K e 8-K)</w:t>
      </w:r>
    </w:p>
    <w:p w14:paraId="468A5246" w14:textId="77777777" w:rsidR="002D51DB" w:rsidRDefault="00000000">
      <w:pPr>
        <w:spacing w:after="120" w:line="276" w:lineRule="auto"/>
        <w:jc w:val="both"/>
      </w:pPr>
      <w:r>
        <w:rPr>
          <w:color w:val="333333"/>
        </w:rPr>
        <w:lastRenderedPageBreak/>
        <w:t xml:space="preserve">Utilizzare il sistema EDGAR Full-Text Search e/o i bulk download per scaricare i </w:t>
      </w:r>
      <w:proofErr w:type="spellStart"/>
      <w:r>
        <w:rPr>
          <w:color w:val="333333"/>
        </w:rPr>
        <w:t>filing</w:t>
      </w:r>
      <w:proofErr w:type="spellEnd"/>
      <w:r>
        <w:rPr>
          <w:color w:val="333333"/>
        </w:rPr>
        <w:t xml:space="preserve"> 10-K (Item 1A – Risk </w:t>
      </w:r>
      <w:proofErr w:type="spellStart"/>
      <w:r>
        <w:rPr>
          <w:color w:val="333333"/>
        </w:rPr>
        <w:t>Factors</w:t>
      </w:r>
      <w:proofErr w:type="spellEnd"/>
      <w:r>
        <w:rPr>
          <w:color w:val="333333"/>
        </w:rPr>
        <w:t xml:space="preserve">) e 8-K delle società S&amp;P 500 per il periodo 2006–2025. Per i 10-K l’unità di osservazione è il </w:t>
      </w:r>
      <w:proofErr w:type="spellStart"/>
      <w:r>
        <w:rPr>
          <w:color w:val="333333"/>
        </w:rPr>
        <w:t>firm-year</w:t>
      </w:r>
      <w:proofErr w:type="spellEnd"/>
      <w:r>
        <w:rPr>
          <w:color w:val="333333"/>
        </w:rPr>
        <w:t xml:space="preserve">; per gli 8-K è il singolo evento (con data esatta del </w:t>
      </w:r>
      <w:proofErr w:type="spellStart"/>
      <w:r>
        <w:rPr>
          <w:color w:val="333333"/>
        </w:rPr>
        <w:t>filing</w:t>
      </w:r>
      <w:proofErr w:type="spellEnd"/>
      <w:r>
        <w:rPr>
          <w:color w:val="333333"/>
        </w:rPr>
        <w:t>).</w:t>
      </w:r>
    </w:p>
    <w:p w14:paraId="43832B02" w14:textId="77777777" w:rsidR="002D51DB" w:rsidRDefault="00000000">
      <w:pPr>
        <w:spacing w:after="120" w:line="276" w:lineRule="auto"/>
        <w:jc w:val="both"/>
      </w:pPr>
      <w:r>
        <w:rPr>
          <w:color w:val="333333"/>
        </w:rPr>
        <w:t>Strumenti consigliati: la libreria Python sec-</w:t>
      </w:r>
      <w:proofErr w:type="spellStart"/>
      <w:r>
        <w:rPr>
          <w:color w:val="333333"/>
        </w:rPr>
        <w:t>edgar</w:t>
      </w:r>
      <w:proofErr w:type="spellEnd"/>
      <w:r>
        <w:rPr>
          <w:color w:val="333333"/>
        </w:rPr>
        <w:t>-</w:t>
      </w:r>
      <w:proofErr w:type="spellStart"/>
      <w:r>
        <w:rPr>
          <w:color w:val="333333"/>
        </w:rPr>
        <w:t>downloader</w:t>
      </w:r>
      <w:proofErr w:type="spellEnd"/>
      <w:r>
        <w:rPr>
          <w:color w:val="333333"/>
        </w:rPr>
        <w:t xml:space="preserve"> o </w:t>
      </w:r>
      <w:proofErr w:type="spellStart"/>
      <w:r>
        <w:rPr>
          <w:color w:val="333333"/>
        </w:rPr>
        <w:t>edgar</w:t>
      </w:r>
      <w:proofErr w:type="spellEnd"/>
      <w:r>
        <w:rPr>
          <w:color w:val="333333"/>
        </w:rPr>
        <w:t xml:space="preserve"> per il download sistematico, con </w:t>
      </w:r>
      <w:proofErr w:type="spellStart"/>
      <w:r>
        <w:rPr>
          <w:color w:val="333333"/>
        </w:rPr>
        <w:t>parsing</w:t>
      </w:r>
      <w:proofErr w:type="spellEnd"/>
      <w:r>
        <w:rPr>
          <w:color w:val="333333"/>
        </w:rPr>
        <w:t xml:space="preserve"> HTML/SGML per estrarre le sezioni rilevanti. Il mapping tra CIK, ticker e ragione sociale va mantenuto attraverso il SEC Company Index e riconciliato con la tabella </w:t>
      </w:r>
      <w:proofErr w:type="spellStart"/>
      <w:r>
        <w:rPr>
          <w:color w:val="333333"/>
        </w:rPr>
        <w:t>firm_universe</w:t>
      </w:r>
      <w:proofErr w:type="spellEnd"/>
      <w:r>
        <w:rPr>
          <w:color w:val="333333"/>
        </w:rPr>
        <w:t xml:space="preserve"> nel database. I testi estratti vengono caricati nelle tabelle sec_filings_10k e sec_filings_8k con segmentazione a livello di paragrafo.</w:t>
      </w:r>
    </w:p>
    <w:p w14:paraId="1A15D4EE" w14:textId="77777777" w:rsidR="002D51DB" w:rsidRDefault="00000000">
      <w:pPr>
        <w:pStyle w:val="Titolo3"/>
      </w:pPr>
      <w:r>
        <w:t xml:space="preserve">1.5 Valutazione critica del sentiment </w:t>
      </w:r>
      <w:proofErr w:type="spellStart"/>
      <w:r>
        <w:t>pre</w:t>
      </w:r>
      <w:proofErr w:type="spellEnd"/>
      <w:r>
        <w:t>-calcolato</w:t>
      </w:r>
    </w:p>
    <w:p w14:paraId="529662D6" w14:textId="77777777" w:rsidR="002D51DB" w:rsidRDefault="00000000">
      <w:pPr>
        <w:spacing w:after="120" w:line="276" w:lineRule="auto"/>
        <w:jc w:val="both"/>
      </w:pPr>
      <w:r>
        <w:rPr>
          <w:color w:val="333333"/>
        </w:rPr>
        <w:t xml:space="preserve">Il campo Sentiment nei CSV contiene un punteggio numerico continuo (valori osservati tra −1 e 0 nel campione esaminato). Prima di procedere, va determinata la metodologia con cui è stato calcolato (dizionario generico? modello ML?) e confrontata con un benchmark finanziario. Un campione di almeno 500 articoli va </w:t>
      </w:r>
      <w:proofErr w:type="spellStart"/>
      <w:r>
        <w:rPr>
          <w:color w:val="333333"/>
        </w:rPr>
        <w:t>ri</w:t>
      </w:r>
      <w:proofErr w:type="spellEnd"/>
      <w:r>
        <w:rPr>
          <w:color w:val="333333"/>
        </w:rPr>
        <w:t xml:space="preserve">-classificato con il dizionario Loughran-McDonald e con </w:t>
      </w:r>
      <w:proofErr w:type="spellStart"/>
      <w:r>
        <w:rPr>
          <w:color w:val="333333"/>
        </w:rPr>
        <w:t>FinBERT</w:t>
      </w:r>
      <w:proofErr w:type="spellEnd"/>
      <w:r>
        <w:rPr>
          <w:color w:val="333333"/>
        </w:rPr>
        <w:t xml:space="preserve"> per valutare la correlazione. Se il sentiment </w:t>
      </w:r>
      <w:proofErr w:type="spellStart"/>
      <w:r>
        <w:rPr>
          <w:color w:val="333333"/>
        </w:rPr>
        <w:t>pre</w:t>
      </w:r>
      <w:proofErr w:type="spellEnd"/>
      <w:r>
        <w:rPr>
          <w:color w:val="333333"/>
        </w:rPr>
        <w:t>-calcolato risulta insufficientemente correlato con i benchmark finanziari, sarà utilizzato solo come feature ausiliaria, non come indicatore primario.</w:t>
      </w:r>
    </w:p>
    <w:p w14:paraId="6E5A844E" w14:textId="77777777" w:rsidR="002D51DB" w:rsidRDefault="00000000">
      <w:pPr>
        <w:pStyle w:val="Titolo2"/>
      </w:pPr>
      <w:r>
        <w:t>Deliverable</w:t>
      </w:r>
    </w:p>
    <w:p w14:paraId="21929900" w14:textId="77777777" w:rsidR="002D51DB" w:rsidRDefault="00000000">
      <w:pPr>
        <w:pStyle w:val="Paragrafoelenco"/>
        <w:numPr>
          <w:ilvl w:val="0"/>
          <w:numId w:val="2"/>
        </w:numPr>
        <w:spacing w:after="60" w:line="276" w:lineRule="auto"/>
      </w:pPr>
      <w:r>
        <w:rPr>
          <w:color w:val="333333"/>
        </w:rPr>
        <w:t xml:space="preserve">Database </w:t>
      </w:r>
      <w:proofErr w:type="spellStart"/>
      <w:r>
        <w:rPr>
          <w:color w:val="333333"/>
        </w:rPr>
        <w:t>PostgreSQL</w:t>
      </w:r>
      <w:proofErr w:type="spellEnd"/>
      <w:r>
        <w:rPr>
          <w:color w:val="333333"/>
        </w:rPr>
        <w:t xml:space="preserve"> operativo con schema documentato e indici ottimizzati</w:t>
      </w:r>
    </w:p>
    <w:p w14:paraId="100467CD" w14:textId="77777777" w:rsidR="002D51DB" w:rsidRDefault="00000000">
      <w:pPr>
        <w:pStyle w:val="Paragrafoelenco"/>
        <w:numPr>
          <w:ilvl w:val="0"/>
          <w:numId w:val="2"/>
        </w:numPr>
        <w:spacing w:after="60" w:line="276" w:lineRule="auto"/>
      </w:pPr>
      <w:r>
        <w:rPr>
          <w:color w:val="333333"/>
        </w:rPr>
        <w:t xml:space="preserve">Corpus news ingerito, pulito e </w:t>
      </w:r>
      <w:proofErr w:type="spellStart"/>
      <w:r>
        <w:rPr>
          <w:color w:val="333333"/>
        </w:rPr>
        <w:t>deduplicato</w:t>
      </w:r>
      <w:proofErr w:type="spellEnd"/>
      <w:r>
        <w:rPr>
          <w:color w:val="333333"/>
        </w:rPr>
        <w:t xml:space="preserve"> (con metriche di copertura per testata e anno)</w:t>
      </w:r>
    </w:p>
    <w:p w14:paraId="140ECBF0" w14:textId="77777777" w:rsidR="002D51DB" w:rsidRDefault="00000000">
      <w:pPr>
        <w:pStyle w:val="Paragrafoelenco"/>
        <w:numPr>
          <w:ilvl w:val="0"/>
          <w:numId w:val="2"/>
        </w:numPr>
        <w:spacing w:after="60" w:line="276" w:lineRule="auto"/>
      </w:pPr>
      <w:proofErr w:type="spellStart"/>
      <w:r>
        <w:rPr>
          <w:color w:val="333333"/>
        </w:rPr>
        <w:t>Filing</w:t>
      </w:r>
      <w:proofErr w:type="spellEnd"/>
      <w:r>
        <w:rPr>
          <w:color w:val="333333"/>
        </w:rPr>
        <w:t xml:space="preserve"> SEC scaricati, parsati e caricati nel database</w:t>
      </w:r>
    </w:p>
    <w:p w14:paraId="16B26CF7" w14:textId="77777777" w:rsidR="002D51DB" w:rsidRDefault="00000000">
      <w:pPr>
        <w:pStyle w:val="Paragrafoelenco"/>
        <w:numPr>
          <w:ilvl w:val="0"/>
          <w:numId w:val="2"/>
        </w:numPr>
        <w:spacing w:after="60" w:line="276" w:lineRule="auto"/>
      </w:pPr>
      <w:r>
        <w:rPr>
          <w:color w:val="333333"/>
        </w:rPr>
        <w:t xml:space="preserve">Tabella </w:t>
      </w:r>
      <w:proofErr w:type="spellStart"/>
      <w:r>
        <w:rPr>
          <w:color w:val="333333"/>
        </w:rPr>
        <w:t>firm_universe</w:t>
      </w:r>
      <w:proofErr w:type="spellEnd"/>
      <w:r>
        <w:rPr>
          <w:color w:val="333333"/>
        </w:rPr>
        <w:t xml:space="preserve"> con anagrafica S&amp;P 500 e validità temporale</w:t>
      </w:r>
    </w:p>
    <w:p w14:paraId="560AEABD" w14:textId="77777777" w:rsidR="002D51DB" w:rsidRDefault="00000000">
      <w:pPr>
        <w:pStyle w:val="Paragrafoelenco"/>
        <w:numPr>
          <w:ilvl w:val="0"/>
          <w:numId w:val="2"/>
        </w:numPr>
        <w:spacing w:after="60" w:line="276" w:lineRule="auto"/>
      </w:pPr>
      <w:r>
        <w:rPr>
          <w:color w:val="333333"/>
        </w:rPr>
        <w:t xml:space="preserve">Report di validazione del sentiment </w:t>
      </w:r>
      <w:proofErr w:type="spellStart"/>
      <w:r>
        <w:rPr>
          <w:color w:val="333333"/>
        </w:rPr>
        <w:t>pre</w:t>
      </w:r>
      <w:proofErr w:type="spellEnd"/>
      <w:r>
        <w:rPr>
          <w:color w:val="333333"/>
        </w:rPr>
        <w:t>-calcolato vs. benchmark finanziari</w:t>
      </w:r>
    </w:p>
    <w:p w14:paraId="7BDC3889" w14:textId="77777777" w:rsidR="002D51DB" w:rsidRDefault="00000000">
      <w:pPr>
        <w:pStyle w:val="Paragrafoelenco"/>
        <w:numPr>
          <w:ilvl w:val="0"/>
          <w:numId w:val="2"/>
        </w:numPr>
        <w:spacing w:after="60" w:line="276" w:lineRule="auto"/>
      </w:pPr>
      <w:r>
        <w:rPr>
          <w:color w:val="333333"/>
        </w:rPr>
        <w:t>Pipeline di ingestione documentata e riproducibile (script Python + README)</w:t>
      </w:r>
    </w:p>
    <w:p w14:paraId="4A71E4D8" w14:textId="77777777" w:rsidR="002D51DB" w:rsidRDefault="00000000">
      <w:pPr>
        <w:pStyle w:val="Titolo2"/>
      </w:pPr>
      <w:r>
        <w:t>Durata stimata</w:t>
      </w:r>
    </w:p>
    <w:p w14:paraId="0E64FCBA" w14:textId="77777777" w:rsidR="002D51DB" w:rsidRDefault="00000000">
      <w:pPr>
        <w:spacing w:after="120" w:line="276" w:lineRule="auto"/>
        <w:jc w:val="both"/>
      </w:pPr>
      <w:r>
        <w:rPr>
          <w:color w:val="333333"/>
        </w:rPr>
        <w:t xml:space="preserve">5–7 settimane. La durata è inferiore rispetto a un progetto con acquisizione da zero grazie alla disponibilità dei dati news. Il collo di bottiglia è il </w:t>
      </w:r>
      <w:proofErr w:type="spellStart"/>
      <w:r>
        <w:rPr>
          <w:color w:val="333333"/>
        </w:rPr>
        <w:t>parsing</w:t>
      </w:r>
      <w:proofErr w:type="spellEnd"/>
      <w:r>
        <w:rPr>
          <w:color w:val="333333"/>
        </w:rPr>
        <w:t xml:space="preserve"> dei </w:t>
      </w:r>
      <w:proofErr w:type="spellStart"/>
      <w:r>
        <w:rPr>
          <w:color w:val="333333"/>
        </w:rPr>
        <w:t>filing</w:t>
      </w:r>
      <w:proofErr w:type="spellEnd"/>
      <w:r>
        <w:rPr>
          <w:color w:val="333333"/>
        </w:rPr>
        <w:t xml:space="preserve"> SEC (formati eterogenei nel periodo 2006–2010) e la calibrazione della deduplicazione.</w:t>
      </w:r>
    </w:p>
    <w:p w14:paraId="53401F45" w14:textId="77777777" w:rsidR="002D51DB" w:rsidRDefault="00000000">
      <w:pPr>
        <w:pStyle w:val="Titolo2"/>
      </w:pPr>
      <w:r>
        <w:t>Dipendenze e rischi</w:t>
      </w:r>
    </w:p>
    <w:p w14:paraId="5DFC80A4" w14:textId="77777777" w:rsidR="002D51DB" w:rsidRDefault="00000000">
      <w:pPr>
        <w:pStyle w:val="Paragrafoelenco"/>
        <w:numPr>
          <w:ilvl w:val="0"/>
          <w:numId w:val="3"/>
        </w:numPr>
        <w:spacing w:after="60" w:line="276" w:lineRule="auto"/>
      </w:pPr>
      <w:r>
        <w:rPr>
          <w:color w:val="333333"/>
        </w:rPr>
        <w:t xml:space="preserve">Rischio principale: problemi di </w:t>
      </w:r>
      <w:proofErr w:type="spellStart"/>
      <w:r>
        <w:rPr>
          <w:color w:val="333333"/>
        </w:rPr>
        <w:t>encoding</w:t>
      </w:r>
      <w:proofErr w:type="spellEnd"/>
      <w:r>
        <w:rPr>
          <w:color w:val="333333"/>
        </w:rPr>
        <w:t xml:space="preserve"> nei CSV. I dati mostrano artefatti di codifica (simboli euro, caratteri accentati corrotti). Se pervasivi, richiedono un passaggio di pulizia aggiuntivo prima dell’ingestione.</w:t>
      </w:r>
    </w:p>
    <w:p w14:paraId="3AE006F8" w14:textId="77777777" w:rsidR="002D51DB" w:rsidRDefault="00000000">
      <w:pPr>
        <w:pStyle w:val="Paragrafoelenco"/>
        <w:numPr>
          <w:ilvl w:val="0"/>
          <w:numId w:val="3"/>
        </w:numPr>
        <w:spacing w:after="60" w:line="276" w:lineRule="auto"/>
      </w:pPr>
      <w:r>
        <w:rPr>
          <w:color w:val="333333"/>
        </w:rPr>
        <w:t xml:space="preserve">Rischio secondario: qualità del </w:t>
      </w:r>
      <w:proofErr w:type="spellStart"/>
      <w:r>
        <w:rPr>
          <w:color w:val="333333"/>
        </w:rPr>
        <w:t>parsing</w:t>
      </w:r>
      <w:proofErr w:type="spellEnd"/>
      <w:r>
        <w:rPr>
          <w:color w:val="333333"/>
        </w:rPr>
        <w:t xml:space="preserve"> SEC. I </w:t>
      </w:r>
      <w:proofErr w:type="spellStart"/>
      <w:r>
        <w:rPr>
          <w:color w:val="333333"/>
        </w:rPr>
        <w:t>filing</w:t>
      </w:r>
      <w:proofErr w:type="spellEnd"/>
      <w:r>
        <w:rPr>
          <w:color w:val="333333"/>
        </w:rPr>
        <w:t xml:space="preserve"> pre-2010 hanno formati più eterogenei; prevedere tempo aggiuntivo per il debugging.</w:t>
      </w:r>
    </w:p>
    <w:p w14:paraId="3F782771" w14:textId="77777777" w:rsidR="002D51DB" w:rsidRDefault="00000000">
      <w:pPr>
        <w:pStyle w:val="Paragrafoelenco"/>
        <w:numPr>
          <w:ilvl w:val="0"/>
          <w:numId w:val="3"/>
        </w:numPr>
        <w:spacing w:after="60" w:line="276" w:lineRule="auto"/>
      </w:pPr>
      <w:r>
        <w:rPr>
          <w:color w:val="333333"/>
        </w:rPr>
        <w:t xml:space="preserve">Rischio terziario: dimensione del database. Con centinaia di migliaia di articoli full-text più i </w:t>
      </w:r>
      <w:proofErr w:type="spellStart"/>
      <w:r>
        <w:rPr>
          <w:color w:val="333333"/>
        </w:rPr>
        <w:t>filing</w:t>
      </w:r>
      <w:proofErr w:type="spellEnd"/>
      <w:r>
        <w:rPr>
          <w:color w:val="333333"/>
        </w:rPr>
        <w:t>, il database può superare i 50–100 GB. Verificare che l’infrastruttura di storage sia adeguata e che gli indici full-text non degradino le performance.</w:t>
      </w:r>
    </w:p>
    <w:p w14:paraId="7F8E0199" w14:textId="77777777" w:rsidR="002D51DB" w:rsidRDefault="00000000">
      <w:r>
        <w:br w:type="page"/>
      </w:r>
    </w:p>
    <w:p w14:paraId="05E04BD6" w14:textId="77777777" w:rsidR="002D51DB" w:rsidRDefault="00000000">
      <w:pPr>
        <w:pStyle w:val="Titolo1"/>
      </w:pPr>
      <w:r>
        <w:lastRenderedPageBreak/>
        <w:t>Fase 2 – Costruzione degli indicatori testuali</w:t>
      </w:r>
    </w:p>
    <w:p w14:paraId="08CA10F6" w14:textId="77777777" w:rsidR="002D51DB" w:rsidRDefault="00000000">
      <w:pPr>
        <w:pStyle w:val="Titolo2"/>
      </w:pPr>
      <w:r>
        <w:t>Obiettivo</w:t>
      </w:r>
    </w:p>
    <w:p w14:paraId="4AF95408" w14:textId="77777777" w:rsidR="002D51DB" w:rsidRDefault="00000000">
      <w:pPr>
        <w:spacing w:after="120" w:line="276" w:lineRule="auto"/>
        <w:jc w:val="both"/>
      </w:pPr>
      <w:r>
        <w:rPr>
          <w:color w:val="333333"/>
        </w:rPr>
        <w:t>Trasformare il corpus strutturato nel database in serie temporali di indicatori quantitativi che catturino le dimensioni chiave dell’emergenza di un rischio: attenzione, novità semantica, diffusione tra imprese e integrazione strutturale con categorie di rischio esistenti.</w:t>
      </w:r>
    </w:p>
    <w:p w14:paraId="5A198641" w14:textId="77777777" w:rsidR="002D51DB" w:rsidRDefault="00000000">
      <w:pPr>
        <w:pStyle w:val="Titolo2"/>
      </w:pPr>
      <w:r>
        <w:t>Attività operative</w:t>
      </w:r>
    </w:p>
    <w:p w14:paraId="2040532B" w14:textId="77777777" w:rsidR="002D51DB" w:rsidRDefault="00000000">
      <w:pPr>
        <w:pStyle w:val="Titolo3"/>
      </w:pPr>
      <w:r>
        <w:t>2.1 Indicatori news-</w:t>
      </w:r>
      <w:proofErr w:type="spellStart"/>
      <w:r>
        <w:t>based</w:t>
      </w:r>
      <w:proofErr w:type="spellEnd"/>
    </w:p>
    <w:p w14:paraId="5EC34D25" w14:textId="77777777" w:rsidR="002D51DB" w:rsidRDefault="00000000">
      <w:pPr>
        <w:pStyle w:val="Paragrafoelenco"/>
        <w:numPr>
          <w:ilvl w:val="0"/>
          <w:numId w:val="4"/>
        </w:numPr>
        <w:spacing w:after="60" w:line="276" w:lineRule="auto"/>
      </w:pPr>
      <w:r>
        <w:rPr>
          <w:b/>
          <w:bCs/>
          <w:color w:val="333333"/>
        </w:rPr>
        <w:t xml:space="preserve">Coverage </w:t>
      </w:r>
      <w:proofErr w:type="spellStart"/>
      <w:r>
        <w:rPr>
          <w:b/>
          <w:bCs/>
          <w:color w:val="333333"/>
        </w:rPr>
        <w:t>intensity</w:t>
      </w:r>
      <w:proofErr w:type="spellEnd"/>
      <w:r>
        <w:rPr>
          <w:b/>
          <w:bCs/>
          <w:color w:val="333333"/>
        </w:rPr>
        <w:t xml:space="preserve">: </w:t>
      </w:r>
      <w:r>
        <w:rPr>
          <w:color w:val="333333"/>
        </w:rPr>
        <w:t>conteggio degli articoli contenenti riferimenti a un tema candidato per unità di tempo (mese o trimestre), estratto tramite query SQL dirette sul database. Il conteggio va normalizzato rispetto al volume totale di pubblicazione per fonte e per periodo, per controllare variazioni editoriali aggregate.</w:t>
      </w:r>
    </w:p>
    <w:p w14:paraId="05736AF2" w14:textId="77777777" w:rsidR="002D51DB" w:rsidRDefault="00000000">
      <w:pPr>
        <w:pStyle w:val="Paragrafoelenco"/>
        <w:numPr>
          <w:ilvl w:val="0"/>
          <w:numId w:val="4"/>
        </w:numPr>
        <w:spacing w:after="60" w:line="276" w:lineRule="auto"/>
      </w:pPr>
      <w:r>
        <w:rPr>
          <w:b/>
          <w:bCs/>
          <w:color w:val="333333"/>
        </w:rPr>
        <w:t xml:space="preserve">Burst </w:t>
      </w:r>
      <w:proofErr w:type="spellStart"/>
      <w:r>
        <w:rPr>
          <w:b/>
          <w:bCs/>
          <w:color w:val="333333"/>
        </w:rPr>
        <w:t>detection</w:t>
      </w:r>
      <w:proofErr w:type="spellEnd"/>
      <w:r>
        <w:rPr>
          <w:b/>
          <w:bCs/>
          <w:color w:val="333333"/>
        </w:rPr>
        <w:t xml:space="preserve">: </w:t>
      </w:r>
      <w:r>
        <w:rPr>
          <w:color w:val="333333"/>
        </w:rPr>
        <w:t xml:space="preserve">applicazione dell’algoritmo di Kleinberg (o varianti) per identificare intervalli temporali in cui la frequenza di menzione di un tema supera significativamente il livello di baseline. Il parametro di </w:t>
      </w:r>
      <w:proofErr w:type="spellStart"/>
      <w:r>
        <w:rPr>
          <w:color w:val="333333"/>
        </w:rPr>
        <w:t>smoothing</w:t>
      </w:r>
      <w:proofErr w:type="spellEnd"/>
      <w:r>
        <w:rPr>
          <w:color w:val="333333"/>
        </w:rPr>
        <w:t xml:space="preserve"> va calibrato tramite sensitivity </w:t>
      </w:r>
      <w:proofErr w:type="spellStart"/>
      <w:r>
        <w:rPr>
          <w:color w:val="333333"/>
        </w:rPr>
        <w:t>analysis</w:t>
      </w:r>
      <w:proofErr w:type="spellEnd"/>
      <w:r>
        <w:rPr>
          <w:color w:val="333333"/>
        </w:rPr>
        <w:t>.</w:t>
      </w:r>
    </w:p>
    <w:p w14:paraId="37DA8BF9" w14:textId="77777777" w:rsidR="002D51DB" w:rsidRDefault="00000000">
      <w:pPr>
        <w:pStyle w:val="Paragrafoelenco"/>
        <w:numPr>
          <w:ilvl w:val="0"/>
          <w:numId w:val="4"/>
        </w:numPr>
        <w:spacing w:after="60" w:line="276" w:lineRule="auto"/>
      </w:pPr>
      <w:proofErr w:type="spellStart"/>
      <w:r>
        <w:rPr>
          <w:b/>
          <w:bCs/>
          <w:color w:val="333333"/>
        </w:rPr>
        <w:t>Novelty</w:t>
      </w:r>
      <w:proofErr w:type="spellEnd"/>
      <w:r>
        <w:rPr>
          <w:b/>
          <w:bCs/>
          <w:color w:val="333333"/>
        </w:rPr>
        <w:t xml:space="preserve"> e semantic drift: </w:t>
      </w:r>
      <w:r>
        <w:rPr>
          <w:color w:val="333333"/>
        </w:rPr>
        <w:t xml:space="preserve">per ogni tema, calcolare </w:t>
      </w:r>
      <w:proofErr w:type="spellStart"/>
      <w:r>
        <w:rPr>
          <w:color w:val="333333"/>
        </w:rPr>
        <w:t>embedding</w:t>
      </w:r>
      <w:proofErr w:type="spellEnd"/>
      <w:r>
        <w:rPr>
          <w:color w:val="333333"/>
        </w:rPr>
        <w:t xml:space="preserve"> a livello di documento (tramite </w:t>
      </w:r>
      <w:proofErr w:type="spellStart"/>
      <w:r>
        <w:rPr>
          <w:color w:val="333333"/>
        </w:rPr>
        <w:t>sentence</w:t>
      </w:r>
      <w:proofErr w:type="spellEnd"/>
      <w:r>
        <w:rPr>
          <w:color w:val="333333"/>
        </w:rPr>
        <w:t xml:space="preserve">-transformers o modelli analoghi) e misurare la distanza coseno tra la rappresentazione corrente e quella di un periodo di riferimento. Un aumento di novità segnala che il significato o il contesto d’uso del tema sta evolvendo. Gli </w:t>
      </w:r>
      <w:proofErr w:type="spellStart"/>
      <w:r>
        <w:rPr>
          <w:color w:val="333333"/>
        </w:rPr>
        <w:t>embedding</w:t>
      </w:r>
      <w:proofErr w:type="spellEnd"/>
      <w:r>
        <w:rPr>
          <w:color w:val="333333"/>
        </w:rPr>
        <w:t xml:space="preserve"> vengono calcolati in batch tramite query paginata sul database e archiviati in una tabella dedicata (o in formato Parquet esterno con chiave di join).</w:t>
      </w:r>
    </w:p>
    <w:p w14:paraId="5638A2ED" w14:textId="77777777" w:rsidR="002D51DB" w:rsidRDefault="00000000">
      <w:pPr>
        <w:pStyle w:val="Paragrafoelenco"/>
        <w:numPr>
          <w:ilvl w:val="0"/>
          <w:numId w:val="4"/>
        </w:numPr>
        <w:spacing w:after="60" w:line="276" w:lineRule="auto"/>
      </w:pPr>
      <w:proofErr w:type="spellStart"/>
      <w:r>
        <w:rPr>
          <w:b/>
          <w:bCs/>
          <w:color w:val="333333"/>
        </w:rPr>
        <w:t>Entity</w:t>
      </w:r>
      <w:proofErr w:type="spellEnd"/>
      <w:r>
        <w:rPr>
          <w:b/>
          <w:bCs/>
          <w:color w:val="333333"/>
        </w:rPr>
        <w:t xml:space="preserve"> co-</w:t>
      </w:r>
      <w:proofErr w:type="spellStart"/>
      <w:r>
        <w:rPr>
          <w:b/>
          <w:bCs/>
          <w:color w:val="333333"/>
        </w:rPr>
        <w:t>mention</w:t>
      </w:r>
      <w:proofErr w:type="spellEnd"/>
      <w:r>
        <w:rPr>
          <w:b/>
          <w:bCs/>
          <w:color w:val="333333"/>
        </w:rPr>
        <w:t xml:space="preserve"> networks: </w:t>
      </w:r>
      <w:r>
        <w:rPr>
          <w:color w:val="333333"/>
        </w:rPr>
        <w:t>costruire grafi bipartiti tema–impresa e tema–industria per periodo temporale, sfruttando il collegamento news–</w:t>
      </w:r>
      <w:proofErr w:type="spellStart"/>
      <w:r>
        <w:rPr>
          <w:color w:val="333333"/>
        </w:rPr>
        <w:t>firm_universe</w:t>
      </w:r>
      <w:proofErr w:type="spellEnd"/>
      <w:r>
        <w:rPr>
          <w:color w:val="333333"/>
        </w:rPr>
        <w:t xml:space="preserve"> costruito nella Fase 1. L’espansione del grafo (nuovi nodi, aumento della densità) indica diffusione del tema attraverso settori.</w:t>
      </w:r>
    </w:p>
    <w:p w14:paraId="55CF4546" w14:textId="77777777" w:rsidR="002D51DB" w:rsidRDefault="00000000">
      <w:pPr>
        <w:pStyle w:val="Titolo3"/>
      </w:pPr>
      <w:r>
        <w:t>2.2 Indicatori disclosure-</w:t>
      </w:r>
      <w:proofErr w:type="spellStart"/>
      <w:r>
        <w:t>based</w:t>
      </w:r>
      <w:proofErr w:type="spellEnd"/>
    </w:p>
    <w:p w14:paraId="0BA16CD8" w14:textId="77777777" w:rsidR="002D51DB" w:rsidRDefault="00000000">
      <w:pPr>
        <w:pStyle w:val="Paragrafoelenco"/>
        <w:numPr>
          <w:ilvl w:val="0"/>
          <w:numId w:val="5"/>
        </w:numPr>
        <w:spacing w:after="60" w:line="276" w:lineRule="auto"/>
      </w:pPr>
      <w:r>
        <w:rPr>
          <w:b/>
          <w:bCs/>
          <w:color w:val="333333"/>
        </w:rPr>
        <w:t xml:space="preserve">Disclosure </w:t>
      </w:r>
      <w:proofErr w:type="spellStart"/>
      <w:r>
        <w:rPr>
          <w:b/>
          <w:bCs/>
          <w:color w:val="333333"/>
        </w:rPr>
        <w:t>diffusion</w:t>
      </w:r>
      <w:proofErr w:type="spellEnd"/>
      <w:r>
        <w:rPr>
          <w:b/>
          <w:bCs/>
          <w:color w:val="333333"/>
        </w:rPr>
        <w:t xml:space="preserve"> Dr(t): </w:t>
      </w:r>
      <w:r>
        <w:rPr>
          <w:color w:val="333333"/>
        </w:rPr>
        <w:t>la frazione di imprese che menzionano il rischio r nel proprio 10-K Item 1A al tempo t. Questa è la variabile chiave per definire t* (cfr. Appendice B del progetto). Va calcolata anche una versione condizionata per settore.</w:t>
      </w:r>
    </w:p>
    <w:p w14:paraId="4AD948D9" w14:textId="77777777" w:rsidR="002D51DB" w:rsidRDefault="00000000">
      <w:pPr>
        <w:pStyle w:val="Paragrafoelenco"/>
        <w:numPr>
          <w:ilvl w:val="0"/>
          <w:numId w:val="5"/>
        </w:numPr>
        <w:spacing w:after="60" w:line="276" w:lineRule="auto"/>
      </w:pPr>
      <w:r>
        <w:rPr>
          <w:b/>
          <w:bCs/>
          <w:color w:val="333333"/>
        </w:rPr>
        <w:t xml:space="preserve">Disclosure </w:t>
      </w:r>
      <w:proofErr w:type="spellStart"/>
      <w:r>
        <w:rPr>
          <w:b/>
          <w:bCs/>
          <w:color w:val="333333"/>
        </w:rPr>
        <w:t>intensity</w:t>
      </w:r>
      <w:proofErr w:type="spellEnd"/>
      <w:r>
        <w:rPr>
          <w:b/>
          <w:bCs/>
          <w:color w:val="333333"/>
        </w:rPr>
        <w:t xml:space="preserve">: </w:t>
      </w:r>
      <w:r>
        <w:rPr>
          <w:color w:val="333333"/>
        </w:rPr>
        <w:t xml:space="preserve">il numero di paragrafi o frasi dedicate al rischio r all’interno del </w:t>
      </w:r>
      <w:proofErr w:type="spellStart"/>
      <w:r>
        <w:rPr>
          <w:color w:val="333333"/>
        </w:rPr>
        <w:t>filing</w:t>
      </w:r>
      <w:proofErr w:type="spellEnd"/>
      <w:r>
        <w:rPr>
          <w:color w:val="333333"/>
        </w:rPr>
        <w:t>, normalizzato per la lunghezza totale della sezione Item 1A. Cattura la profondità della trattazione.</w:t>
      </w:r>
    </w:p>
    <w:p w14:paraId="0CCC9762" w14:textId="77777777" w:rsidR="002D51DB" w:rsidRDefault="00000000">
      <w:pPr>
        <w:pStyle w:val="Paragrafoelenco"/>
        <w:numPr>
          <w:ilvl w:val="0"/>
          <w:numId w:val="5"/>
        </w:numPr>
        <w:spacing w:after="60" w:line="276" w:lineRule="auto"/>
      </w:pPr>
      <w:r>
        <w:rPr>
          <w:b/>
          <w:bCs/>
          <w:color w:val="333333"/>
        </w:rPr>
        <w:t>Co-</w:t>
      </w:r>
      <w:proofErr w:type="spellStart"/>
      <w:r>
        <w:rPr>
          <w:b/>
          <w:bCs/>
          <w:color w:val="333333"/>
        </w:rPr>
        <w:t>occurrence</w:t>
      </w:r>
      <w:proofErr w:type="spellEnd"/>
      <w:r>
        <w:rPr>
          <w:b/>
          <w:bCs/>
          <w:color w:val="333333"/>
        </w:rPr>
        <w:t xml:space="preserve"> patterns: </w:t>
      </w:r>
      <w:r>
        <w:rPr>
          <w:color w:val="333333"/>
        </w:rPr>
        <w:t xml:space="preserve">matrice di co-occorrenza tra rischi diversi all’interno dello stesso </w:t>
      </w:r>
      <w:proofErr w:type="spellStart"/>
      <w:r>
        <w:rPr>
          <w:color w:val="333333"/>
        </w:rPr>
        <w:t>filing</w:t>
      </w:r>
      <w:proofErr w:type="spellEnd"/>
      <w:r>
        <w:rPr>
          <w:color w:val="333333"/>
        </w:rPr>
        <w:t>. Permette di distinguere tra rischi “satellitari” (che emergono sempre insieme a un rischio noto) e rischi “autonomizzati” (che acquisiscono una sezione propria).</w:t>
      </w:r>
    </w:p>
    <w:p w14:paraId="1FD84952" w14:textId="77777777" w:rsidR="002D51DB" w:rsidRDefault="00000000">
      <w:pPr>
        <w:pStyle w:val="Paragrafoelenco"/>
        <w:numPr>
          <w:ilvl w:val="0"/>
          <w:numId w:val="5"/>
        </w:numPr>
        <w:spacing w:after="60" w:line="276" w:lineRule="auto"/>
      </w:pPr>
      <w:r>
        <w:rPr>
          <w:b/>
          <w:bCs/>
          <w:color w:val="333333"/>
        </w:rPr>
        <w:t xml:space="preserve">Lead–lag 8-K → 10-K: </w:t>
      </w:r>
      <w:r>
        <w:rPr>
          <w:color w:val="333333"/>
        </w:rPr>
        <w:t>per ogni tema, misurare il ritardo temporale tra la prima menzione in un 8-K e la successiva inclusione nel 10-K della stessa impresa. Un lead sistematico degli 8-K indica che questi fungono da segnale anticipatore.</w:t>
      </w:r>
    </w:p>
    <w:p w14:paraId="4781838A" w14:textId="77777777" w:rsidR="002D51DB" w:rsidRDefault="00000000">
      <w:pPr>
        <w:pStyle w:val="Titolo3"/>
      </w:pPr>
      <w:r>
        <w:lastRenderedPageBreak/>
        <w:t xml:space="preserve">2.3 Confronto sentiment: </w:t>
      </w:r>
      <w:proofErr w:type="spellStart"/>
      <w:r>
        <w:t>pre</w:t>
      </w:r>
      <w:proofErr w:type="spellEnd"/>
      <w:r>
        <w:t xml:space="preserve">-calcolato vs. </w:t>
      </w:r>
      <w:proofErr w:type="spellStart"/>
      <w:r>
        <w:t>FinBERT</w:t>
      </w:r>
      <w:proofErr w:type="spellEnd"/>
      <w:r>
        <w:t xml:space="preserve"> vs. Loughran-McDonald</w:t>
      </w:r>
    </w:p>
    <w:p w14:paraId="4EA01A2D" w14:textId="77777777" w:rsidR="002D51DB" w:rsidRDefault="00000000">
      <w:pPr>
        <w:spacing w:after="120" w:line="276" w:lineRule="auto"/>
        <w:jc w:val="both"/>
      </w:pPr>
      <w:r>
        <w:rPr>
          <w:color w:val="333333"/>
        </w:rPr>
        <w:t xml:space="preserve">Sulla base della valutazione preliminare condotta nella Fase 1, implementare il calcolo sistematico del sentiment tramite </w:t>
      </w:r>
      <w:proofErr w:type="spellStart"/>
      <w:r>
        <w:rPr>
          <w:color w:val="333333"/>
        </w:rPr>
        <w:t>FinBERT</w:t>
      </w:r>
      <w:proofErr w:type="spellEnd"/>
      <w:r>
        <w:rPr>
          <w:color w:val="333333"/>
        </w:rPr>
        <w:t xml:space="preserve"> e dizionario Loughran-McDonald su tutto il corpus. Il processing avviene in batch dal database, con risultati scritti in colonne aggiuntive della tabella </w:t>
      </w:r>
      <w:proofErr w:type="spellStart"/>
      <w:r>
        <w:rPr>
          <w:color w:val="333333"/>
        </w:rPr>
        <w:t>news_articles</w:t>
      </w:r>
      <w:proofErr w:type="spellEnd"/>
      <w:r>
        <w:rPr>
          <w:color w:val="333333"/>
        </w:rPr>
        <w:t xml:space="preserve"> (o in una tabella satellite). Il confronto tra i tre segnali di sentiment (</w:t>
      </w:r>
      <w:proofErr w:type="spellStart"/>
      <w:r>
        <w:rPr>
          <w:color w:val="333333"/>
        </w:rPr>
        <w:t>pre</w:t>
      </w:r>
      <w:proofErr w:type="spellEnd"/>
      <w:r>
        <w:rPr>
          <w:color w:val="333333"/>
        </w:rPr>
        <w:t xml:space="preserve">-calcolato, </w:t>
      </w:r>
      <w:proofErr w:type="spellStart"/>
      <w:r>
        <w:rPr>
          <w:color w:val="333333"/>
        </w:rPr>
        <w:t>FinBERT</w:t>
      </w:r>
      <w:proofErr w:type="spellEnd"/>
      <w:r>
        <w:rPr>
          <w:color w:val="333333"/>
        </w:rPr>
        <w:t>, LM) viene condotto per fonte, per periodo e per tema, e costituirà un input per la scelta del segnale da utilizzare nelle fasi successive.</w:t>
      </w:r>
    </w:p>
    <w:p w14:paraId="6F191067" w14:textId="77777777" w:rsidR="002D51DB" w:rsidRDefault="00000000">
      <w:pPr>
        <w:pStyle w:val="Titolo3"/>
      </w:pPr>
      <w:r>
        <w:t>2.4 Tagging dei temi candidati</w:t>
      </w:r>
    </w:p>
    <w:p w14:paraId="2F973A60" w14:textId="77777777" w:rsidR="002D51DB" w:rsidRDefault="00000000">
      <w:pPr>
        <w:spacing w:after="120" w:line="276" w:lineRule="auto"/>
        <w:jc w:val="both"/>
      </w:pPr>
      <w:r>
        <w:rPr>
          <w:color w:val="333333"/>
        </w:rPr>
        <w:t xml:space="preserve">I temi identificati nella fase di burst </w:t>
      </w:r>
      <w:proofErr w:type="spellStart"/>
      <w:r>
        <w:rPr>
          <w:color w:val="333333"/>
        </w:rPr>
        <w:t>detection</w:t>
      </w:r>
      <w:proofErr w:type="spellEnd"/>
      <w:r>
        <w:rPr>
          <w:color w:val="333333"/>
        </w:rPr>
        <w:t xml:space="preserve"> devono essere mappati sistematicamente sui documenti del corpus. Due approcci complementari vanno implementati e confrontati: classificazione </w:t>
      </w:r>
      <w:proofErr w:type="spellStart"/>
      <w:r>
        <w:rPr>
          <w:color w:val="333333"/>
        </w:rPr>
        <w:t>weakly</w:t>
      </w:r>
      <w:proofErr w:type="spellEnd"/>
      <w:r>
        <w:rPr>
          <w:color w:val="333333"/>
        </w:rPr>
        <w:t xml:space="preserve"> </w:t>
      </w:r>
      <w:proofErr w:type="spellStart"/>
      <w:r>
        <w:rPr>
          <w:color w:val="333333"/>
        </w:rPr>
        <w:t>supervised</w:t>
      </w:r>
      <w:proofErr w:type="spellEnd"/>
      <w:r>
        <w:rPr>
          <w:color w:val="333333"/>
        </w:rPr>
        <w:t xml:space="preserve"> (basata su </w:t>
      </w:r>
      <w:proofErr w:type="spellStart"/>
      <w:r>
        <w:rPr>
          <w:color w:val="333333"/>
        </w:rPr>
        <w:t>seed</w:t>
      </w:r>
      <w:proofErr w:type="spellEnd"/>
      <w:r>
        <w:rPr>
          <w:color w:val="333333"/>
        </w:rPr>
        <w:t xml:space="preserve"> words + espansione tramite similarità semantica) e classificazione supervisionata (con un campione manualmente annotato di almeno 500–1.000 documenti per tema). Il </w:t>
      </w:r>
      <w:proofErr w:type="spellStart"/>
      <w:r>
        <w:rPr>
          <w:color w:val="333333"/>
        </w:rPr>
        <w:t>tagger</w:t>
      </w:r>
      <w:proofErr w:type="spellEnd"/>
      <w:r>
        <w:rPr>
          <w:color w:val="333333"/>
        </w:rPr>
        <w:t xml:space="preserve"> deve produrre uno score continuo a livello di documento, non solo una label binaria. I risultati del tagging vengono archiviati nel database per garantire la tracciabilità.</w:t>
      </w:r>
    </w:p>
    <w:p w14:paraId="57A7518F" w14:textId="77777777" w:rsidR="002D51DB" w:rsidRDefault="00000000">
      <w:pPr>
        <w:pStyle w:val="Titolo2"/>
      </w:pPr>
      <w:r>
        <w:t>Deliverable</w:t>
      </w:r>
    </w:p>
    <w:p w14:paraId="48F0CF3D" w14:textId="77777777" w:rsidR="002D51DB" w:rsidRDefault="00000000">
      <w:pPr>
        <w:pStyle w:val="Paragrafoelenco"/>
        <w:numPr>
          <w:ilvl w:val="0"/>
          <w:numId w:val="6"/>
        </w:numPr>
        <w:spacing w:after="60" w:line="276" w:lineRule="auto"/>
      </w:pPr>
      <w:r>
        <w:rPr>
          <w:color w:val="333333"/>
        </w:rPr>
        <w:t>Dataset di serie temporali per ciascun indicatore, indicizzato per tema × tempo (× impresa dove applicabile), archiviato nel database</w:t>
      </w:r>
    </w:p>
    <w:p w14:paraId="594B2D67" w14:textId="77777777" w:rsidR="002D51DB" w:rsidRDefault="00000000">
      <w:pPr>
        <w:pStyle w:val="Paragrafoelenco"/>
        <w:numPr>
          <w:ilvl w:val="0"/>
          <w:numId w:val="6"/>
        </w:numPr>
        <w:spacing w:after="60" w:line="276" w:lineRule="auto"/>
      </w:pPr>
      <w:r>
        <w:rPr>
          <w:color w:val="333333"/>
        </w:rPr>
        <w:t xml:space="preserve">Colonne di sentiment </w:t>
      </w:r>
      <w:proofErr w:type="spellStart"/>
      <w:r>
        <w:rPr>
          <w:color w:val="333333"/>
        </w:rPr>
        <w:t>FinBERT</w:t>
      </w:r>
      <w:proofErr w:type="spellEnd"/>
      <w:r>
        <w:rPr>
          <w:color w:val="333333"/>
        </w:rPr>
        <w:t xml:space="preserve"> e LM calcolate sull’intero corpus, con report di confronto</w:t>
      </w:r>
    </w:p>
    <w:p w14:paraId="3419A4E1" w14:textId="77777777" w:rsidR="002D51DB" w:rsidRDefault="00000000">
      <w:pPr>
        <w:pStyle w:val="Paragrafoelenco"/>
        <w:numPr>
          <w:ilvl w:val="0"/>
          <w:numId w:val="6"/>
        </w:numPr>
        <w:spacing w:after="60" w:line="276" w:lineRule="auto"/>
      </w:pPr>
      <w:r>
        <w:rPr>
          <w:color w:val="333333"/>
        </w:rPr>
        <w:t xml:space="preserve">Codice modulare per il calcolo degli indicatori, con </w:t>
      </w:r>
      <w:proofErr w:type="spellStart"/>
      <w:r>
        <w:rPr>
          <w:color w:val="333333"/>
        </w:rPr>
        <w:t>unit</w:t>
      </w:r>
      <w:proofErr w:type="spellEnd"/>
      <w:r>
        <w:rPr>
          <w:color w:val="333333"/>
        </w:rPr>
        <w:t xml:space="preserve"> test e query SQL documentate</w:t>
      </w:r>
    </w:p>
    <w:p w14:paraId="56D72B1F" w14:textId="77777777" w:rsidR="002D51DB" w:rsidRDefault="00000000">
      <w:pPr>
        <w:pStyle w:val="Paragrafoelenco"/>
        <w:numPr>
          <w:ilvl w:val="0"/>
          <w:numId w:val="6"/>
        </w:numPr>
        <w:spacing w:after="60" w:line="276" w:lineRule="auto"/>
      </w:pPr>
      <w:r>
        <w:rPr>
          <w:color w:val="333333"/>
        </w:rPr>
        <w:t>Report di validazione qualitativa: confronto degli indicatori con narrative storiche note (es. emergenza del cyber risk, rischio climatico, rischio pandemico)</w:t>
      </w:r>
    </w:p>
    <w:p w14:paraId="179E26DF" w14:textId="77777777" w:rsidR="002D51DB" w:rsidRDefault="00000000">
      <w:pPr>
        <w:pStyle w:val="Titolo2"/>
      </w:pPr>
      <w:r>
        <w:t>Durata stimata</w:t>
      </w:r>
    </w:p>
    <w:p w14:paraId="2945EDFD" w14:textId="77777777" w:rsidR="002D51DB" w:rsidRDefault="00000000">
      <w:pPr>
        <w:spacing w:after="120" w:line="276" w:lineRule="auto"/>
        <w:jc w:val="both"/>
      </w:pPr>
      <w:r>
        <w:rPr>
          <w:color w:val="333333"/>
        </w:rPr>
        <w:t xml:space="preserve">6–8 settimane. Il punto critico è il calcolo degli </w:t>
      </w:r>
      <w:proofErr w:type="spellStart"/>
      <w:r>
        <w:rPr>
          <w:color w:val="333333"/>
        </w:rPr>
        <w:t>embedding</w:t>
      </w:r>
      <w:proofErr w:type="spellEnd"/>
      <w:r>
        <w:rPr>
          <w:color w:val="333333"/>
        </w:rPr>
        <w:t xml:space="preserve"> e del sentiment </w:t>
      </w:r>
      <w:proofErr w:type="spellStart"/>
      <w:r>
        <w:rPr>
          <w:color w:val="333333"/>
        </w:rPr>
        <w:t>FinBERT</w:t>
      </w:r>
      <w:proofErr w:type="spellEnd"/>
      <w:r>
        <w:rPr>
          <w:color w:val="333333"/>
        </w:rPr>
        <w:t xml:space="preserve"> sull’intero corpus (</w:t>
      </w:r>
      <w:proofErr w:type="spellStart"/>
      <w:r>
        <w:rPr>
          <w:color w:val="333333"/>
        </w:rPr>
        <w:t>computazionalmente</w:t>
      </w:r>
      <w:proofErr w:type="spellEnd"/>
      <w:r>
        <w:rPr>
          <w:color w:val="333333"/>
        </w:rPr>
        <w:t xml:space="preserve"> intensivo su dataset grandi) e la calibrazione del </w:t>
      </w:r>
      <w:proofErr w:type="spellStart"/>
      <w:r>
        <w:rPr>
          <w:color w:val="333333"/>
        </w:rPr>
        <w:t>tagger</w:t>
      </w:r>
      <w:proofErr w:type="spellEnd"/>
      <w:r>
        <w:rPr>
          <w:color w:val="333333"/>
        </w:rPr>
        <w:t>.</w:t>
      </w:r>
    </w:p>
    <w:p w14:paraId="7AC7C67E" w14:textId="77777777" w:rsidR="002D51DB" w:rsidRDefault="00000000">
      <w:pPr>
        <w:pStyle w:val="Titolo2"/>
      </w:pPr>
      <w:r>
        <w:t>Dipendenze</w:t>
      </w:r>
    </w:p>
    <w:p w14:paraId="5D16C9D5" w14:textId="77777777" w:rsidR="002D51DB" w:rsidRDefault="00000000">
      <w:pPr>
        <w:spacing w:after="120" w:line="276" w:lineRule="auto"/>
        <w:jc w:val="both"/>
      </w:pPr>
      <w:r>
        <w:rPr>
          <w:color w:val="333333"/>
        </w:rPr>
        <w:t>Richiede il completamento della Fase 1 (database operativo). Gli indicatori disclosure-</w:t>
      </w:r>
      <w:proofErr w:type="spellStart"/>
      <w:r>
        <w:rPr>
          <w:color w:val="333333"/>
        </w:rPr>
        <w:t>based</w:t>
      </w:r>
      <w:proofErr w:type="spellEnd"/>
      <w:r>
        <w:rPr>
          <w:color w:val="333333"/>
        </w:rPr>
        <w:t xml:space="preserve"> possono essere avviati non appena i </w:t>
      </w:r>
      <w:proofErr w:type="spellStart"/>
      <w:r>
        <w:rPr>
          <w:color w:val="333333"/>
        </w:rPr>
        <w:t>filing</w:t>
      </w:r>
      <w:proofErr w:type="spellEnd"/>
      <w:r>
        <w:rPr>
          <w:color w:val="333333"/>
        </w:rPr>
        <w:t xml:space="preserve"> SEC sono nel database, anche prima del completamento della pulizia news.</w:t>
      </w:r>
    </w:p>
    <w:p w14:paraId="4E49C62C" w14:textId="77777777" w:rsidR="002D51DB" w:rsidRDefault="00000000">
      <w:r>
        <w:br w:type="page"/>
      </w:r>
    </w:p>
    <w:p w14:paraId="7F445EFF" w14:textId="77777777" w:rsidR="002D51DB" w:rsidRDefault="00000000">
      <w:pPr>
        <w:pStyle w:val="Titolo1"/>
      </w:pPr>
      <w:r>
        <w:lastRenderedPageBreak/>
        <w:t>Fase 3 – Analisi retrospettiva e stima dei meccanismi di emergenza</w:t>
      </w:r>
    </w:p>
    <w:p w14:paraId="7CFD54BE" w14:textId="77777777" w:rsidR="002D51DB" w:rsidRDefault="00000000">
      <w:pPr>
        <w:pStyle w:val="Titolo2"/>
      </w:pPr>
      <w:r>
        <w:t>Obiettivo</w:t>
      </w:r>
    </w:p>
    <w:p w14:paraId="1DA903D2" w14:textId="77777777" w:rsidR="002D51DB" w:rsidRDefault="00000000">
      <w:pPr>
        <w:spacing w:after="120" w:line="276" w:lineRule="auto"/>
        <w:jc w:val="both"/>
      </w:pPr>
      <w:r>
        <w:rPr>
          <w:color w:val="333333"/>
        </w:rPr>
        <w:t>Rispondere alla RQ1: ricostruire i pattern storici di emergenza dei rischi finanziari, stimare il tempo di emergenza t* per ciascun tema, e identificare le regolarità empiriche nei rapporti lead–lag tra canali informativi.</w:t>
      </w:r>
    </w:p>
    <w:p w14:paraId="7804606F" w14:textId="77777777" w:rsidR="002D51DB" w:rsidRDefault="00000000">
      <w:pPr>
        <w:pStyle w:val="Titolo2"/>
      </w:pPr>
      <w:r>
        <w:t>Attività operative</w:t>
      </w:r>
    </w:p>
    <w:p w14:paraId="5AF477A9" w14:textId="77777777" w:rsidR="002D51DB" w:rsidRDefault="00000000">
      <w:pPr>
        <w:pStyle w:val="Titolo3"/>
      </w:pPr>
      <w:r>
        <w:t>3.1 Stima del tempo di emergenza t*</w:t>
      </w:r>
    </w:p>
    <w:p w14:paraId="6F9F799D" w14:textId="77777777" w:rsidR="002D51DB" w:rsidRDefault="00000000">
      <w:pPr>
        <w:spacing w:after="120" w:line="276" w:lineRule="auto"/>
        <w:jc w:val="both"/>
      </w:pPr>
      <w:r>
        <w:rPr>
          <w:color w:val="333333"/>
        </w:rPr>
        <w:t xml:space="preserve">Per ciascun tema candidato, applicare metodi di </w:t>
      </w:r>
      <w:proofErr w:type="spellStart"/>
      <w:r>
        <w:rPr>
          <w:color w:val="333333"/>
        </w:rPr>
        <w:t>change</w:t>
      </w:r>
      <w:proofErr w:type="spellEnd"/>
      <w:r>
        <w:rPr>
          <w:color w:val="333333"/>
        </w:rPr>
        <w:t xml:space="preserve">-point </w:t>
      </w:r>
      <w:proofErr w:type="spellStart"/>
      <w:r>
        <w:rPr>
          <w:color w:val="333333"/>
        </w:rPr>
        <w:t>detection</w:t>
      </w:r>
      <w:proofErr w:type="spellEnd"/>
      <w:r>
        <w:rPr>
          <w:color w:val="333333"/>
        </w:rPr>
        <w:t xml:space="preserve"> alla curva di diffusione Dr(t). L’approccio primario è il </w:t>
      </w:r>
      <w:proofErr w:type="spellStart"/>
      <w:r>
        <w:rPr>
          <w:color w:val="333333"/>
        </w:rPr>
        <w:t>Pruned</w:t>
      </w:r>
      <w:proofErr w:type="spellEnd"/>
      <w:r>
        <w:rPr>
          <w:color w:val="333333"/>
        </w:rPr>
        <w:t xml:space="preserve"> </w:t>
      </w:r>
      <w:proofErr w:type="spellStart"/>
      <w:r>
        <w:rPr>
          <w:color w:val="333333"/>
        </w:rPr>
        <w:t>Exact</w:t>
      </w:r>
      <w:proofErr w:type="spellEnd"/>
      <w:r>
        <w:rPr>
          <w:color w:val="333333"/>
        </w:rPr>
        <w:t xml:space="preserve"> Linear Time (PELT) con funzione di costo basata su </w:t>
      </w:r>
      <w:proofErr w:type="spellStart"/>
      <w:r>
        <w:rPr>
          <w:color w:val="333333"/>
        </w:rPr>
        <w:t>mean</w:t>
      </w:r>
      <w:proofErr w:type="spellEnd"/>
      <w:r>
        <w:rPr>
          <w:color w:val="333333"/>
        </w:rPr>
        <w:t xml:space="preserve">-shift o su un modello di Poisson. Vanno testati almeno due metodi alternativi (e.g. </w:t>
      </w:r>
      <w:proofErr w:type="spellStart"/>
      <w:r>
        <w:rPr>
          <w:color w:val="333333"/>
        </w:rPr>
        <w:t>Binary</w:t>
      </w:r>
      <w:proofErr w:type="spellEnd"/>
      <w:r>
        <w:rPr>
          <w:color w:val="333333"/>
        </w:rPr>
        <w:t xml:space="preserve"> </w:t>
      </w:r>
      <w:proofErr w:type="spellStart"/>
      <w:r>
        <w:rPr>
          <w:color w:val="333333"/>
        </w:rPr>
        <w:t>Segmentation</w:t>
      </w:r>
      <w:proofErr w:type="spellEnd"/>
      <w:r>
        <w:rPr>
          <w:color w:val="333333"/>
        </w:rPr>
        <w:t>, BOCPD) per verificare la robustezza della stima.</w:t>
      </w:r>
    </w:p>
    <w:p w14:paraId="54097977" w14:textId="77777777" w:rsidR="002D51DB" w:rsidRDefault="00000000">
      <w:pPr>
        <w:spacing w:after="120" w:line="276" w:lineRule="auto"/>
        <w:jc w:val="both"/>
      </w:pPr>
      <w:r>
        <w:rPr>
          <w:color w:val="333333"/>
        </w:rPr>
        <w:t>La stima di t* va validata qualitativamente confrontandola con la cronologia documentata degli eventi: regolamentazione, incidenti rilevanti, pubblicazioni influenti. Questa validazione non entra nel modello ma supporta l’interpretazione.</w:t>
      </w:r>
    </w:p>
    <w:p w14:paraId="0A85A6C5" w14:textId="77777777" w:rsidR="002D51DB" w:rsidRDefault="00000000">
      <w:pPr>
        <w:pStyle w:val="Titolo3"/>
      </w:pPr>
      <w:r>
        <w:t>3.2 Modelli event-history (hazard)</w:t>
      </w:r>
    </w:p>
    <w:p w14:paraId="445B938E" w14:textId="77777777" w:rsidR="002D51DB" w:rsidRDefault="00000000">
      <w:pPr>
        <w:spacing w:after="120" w:line="276" w:lineRule="auto"/>
        <w:jc w:val="both"/>
      </w:pPr>
      <w:r>
        <w:rPr>
          <w:color w:val="333333"/>
        </w:rPr>
        <w:t xml:space="preserve">Stimare modelli di Cox a rischi proporzionali in cui l’evento è la prima menzione di un rischio r da parte dell’impresa </w:t>
      </w:r>
      <w:proofErr w:type="gramStart"/>
      <w:r>
        <w:rPr>
          <w:color w:val="333333"/>
        </w:rPr>
        <w:t>i nel</w:t>
      </w:r>
      <w:proofErr w:type="gramEnd"/>
      <w:r>
        <w:rPr>
          <w:color w:val="333333"/>
        </w:rPr>
        <w:t xml:space="preserve"> proprio 10-K. Le </w:t>
      </w:r>
      <w:proofErr w:type="spellStart"/>
      <w:r>
        <w:rPr>
          <w:color w:val="333333"/>
        </w:rPr>
        <w:t>covariate</w:t>
      </w:r>
      <w:proofErr w:type="spellEnd"/>
      <w:r>
        <w:rPr>
          <w:color w:val="333333"/>
        </w:rPr>
        <w:t xml:space="preserve"> includono: indicatori news-</w:t>
      </w:r>
      <w:proofErr w:type="spellStart"/>
      <w:r>
        <w:rPr>
          <w:color w:val="333333"/>
        </w:rPr>
        <w:t>based</w:t>
      </w:r>
      <w:proofErr w:type="spellEnd"/>
      <w:r>
        <w:rPr>
          <w:color w:val="333333"/>
        </w:rPr>
        <w:t xml:space="preserve"> (coverage </w:t>
      </w:r>
      <w:proofErr w:type="spellStart"/>
      <w:r>
        <w:rPr>
          <w:color w:val="333333"/>
        </w:rPr>
        <w:t>intensity</w:t>
      </w:r>
      <w:proofErr w:type="spellEnd"/>
      <w:r>
        <w:rPr>
          <w:color w:val="333333"/>
        </w:rPr>
        <w:t xml:space="preserve">, burst, novità) con lag appropriati; caratteristiche d’impresa (dimensione, settore, complessità operativa); disclosure </w:t>
      </w:r>
      <w:proofErr w:type="spellStart"/>
      <w:r>
        <w:rPr>
          <w:color w:val="333333"/>
        </w:rPr>
        <w:t>intensity</w:t>
      </w:r>
      <w:proofErr w:type="spellEnd"/>
      <w:r>
        <w:rPr>
          <w:color w:val="333333"/>
        </w:rPr>
        <w:t xml:space="preserve"> pregressa su rischi correlati. I modelli vanno stratificati per settore e stimati con standard </w:t>
      </w:r>
      <w:proofErr w:type="spellStart"/>
      <w:r>
        <w:rPr>
          <w:color w:val="333333"/>
        </w:rPr>
        <w:t>error</w:t>
      </w:r>
      <w:proofErr w:type="spellEnd"/>
      <w:r>
        <w:rPr>
          <w:color w:val="333333"/>
        </w:rPr>
        <w:t xml:space="preserve"> </w:t>
      </w:r>
      <w:proofErr w:type="spellStart"/>
      <w:r>
        <w:rPr>
          <w:color w:val="333333"/>
        </w:rPr>
        <w:t>clustered</w:t>
      </w:r>
      <w:proofErr w:type="spellEnd"/>
      <w:r>
        <w:rPr>
          <w:color w:val="333333"/>
        </w:rPr>
        <w:t xml:space="preserve"> per impresa.</w:t>
      </w:r>
    </w:p>
    <w:p w14:paraId="08388D13" w14:textId="77777777" w:rsidR="002D51DB" w:rsidRDefault="00000000">
      <w:pPr>
        <w:spacing w:after="120" w:line="276" w:lineRule="auto"/>
        <w:jc w:val="both"/>
      </w:pPr>
      <w:r>
        <w:rPr>
          <w:color w:val="333333"/>
        </w:rPr>
        <w:t xml:space="preserve">I dati per i modelli Cox vengono estratti dal database tramite query strutturate che costruiscono il panel impresa–tempo con le </w:t>
      </w:r>
      <w:proofErr w:type="spellStart"/>
      <w:r>
        <w:rPr>
          <w:color w:val="333333"/>
        </w:rPr>
        <w:t>covariate</w:t>
      </w:r>
      <w:proofErr w:type="spellEnd"/>
      <w:r>
        <w:rPr>
          <w:color w:val="333333"/>
        </w:rPr>
        <w:t xml:space="preserve"> time-</w:t>
      </w:r>
      <w:proofErr w:type="spellStart"/>
      <w:r>
        <w:rPr>
          <w:color w:val="333333"/>
        </w:rPr>
        <w:t>varying</w:t>
      </w:r>
      <w:proofErr w:type="spellEnd"/>
      <w:r>
        <w:rPr>
          <w:color w:val="333333"/>
        </w:rPr>
        <w:t>.</w:t>
      </w:r>
    </w:p>
    <w:p w14:paraId="7C88C73F" w14:textId="77777777" w:rsidR="002D51DB" w:rsidRDefault="00000000">
      <w:pPr>
        <w:pStyle w:val="Titolo3"/>
      </w:pPr>
      <w:r>
        <w:t xml:space="preserve">3.3 Analisi di Granger </w:t>
      </w:r>
      <w:proofErr w:type="spellStart"/>
      <w:r>
        <w:t>causality</w:t>
      </w:r>
      <w:proofErr w:type="spellEnd"/>
    </w:p>
    <w:p w14:paraId="2650C8AE" w14:textId="77777777" w:rsidR="002D51DB" w:rsidRDefault="00000000">
      <w:pPr>
        <w:spacing w:after="120" w:line="276" w:lineRule="auto"/>
        <w:jc w:val="both"/>
      </w:pPr>
      <w:r>
        <w:rPr>
          <w:color w:val="333333"/>
        </w:rPr>
        <w:t>Testare la direzione della relazione temporale tra indicatori news-</w:t>
      </w:r>
      <w:proofErr w:type="spellStart"/>
      <w:r>
        <w:rPr>
          <w:color w:val="333333"/>
        </w:rPr>
        <w:t>based</w:t>
      </w:r>
      <w:proofErr w:type="spellEnd"/>
      <w:r>
        <w:rPr>
          <w:color w:val="333333"/>
        </w:rPr>
        <w:t xml:space="preserve"> e disclosure-</w:t>
      </w:r>
      <w:proofErr w:type="spellStart"/>
      <w:r>
        <w:rPr>
          <w:color w:val="333333"/>
        </w:rPr>
        <w:t>based</w:t>
      </w:r>
      <w:proofErr w:type="spellEnd"/>
      <w:r>
        <w:rPr>
          <w:color w:val="333333"/>
        </w:rPr>
        <w:t xml:space="preserve"> tramite Granger </w:t>
      </w:r>
      <w:proofErr w:type="spellStart"/>
      <w:r>
        <w:rPr>
          <w:color w:val="333333"/>
        </w:rPr>
        <w:t>causality</w:t>
      </w:r>
      <w:proofErr w:type="spellEnd"/>
      <w:r>
        <w:rPr>
          <w:color w:val="333333"/>
        </w:rPr>
        <w:t xml:space="preserve"> test su panel VAR. L’ipotesi di lavoro è che le news precedano sistematicamente i </w:t>
      </w:r>
      <w:proofErr w:type="spellStart"/>
      <w:r>
        <w:rPr>
          <w:color w:val="333333"/>
        </w:rPr>
        <w:t>filing</w:t>
      </w:r>
      <w:proofErr w:type="spellEnd"/>
      <w:r>
        <w:rPr>
          <w:color w:val="333333"/>
        </w:rPr>
        <w:t>, ma la struttura temporale può variare per tipo di rischio e per fase del ciclo di emergenza.</w:t>
      </w:r>
    </w:p>
    <w:p w14:paraId="042F7A61" w14:textId="77777777" w:rsidR="002D51DB" w:rsidRDefault="00000000">
      <w:pPr>
        <w:pStyle w:val="Titolo3"/>
      </w:pPr>
      <w:r>
        <w:t>3.4 Case studies retrospettivi</w:t>
      </w:r>
    </w:p>
    <w:p w14:paraId="2C769370" w14:textId="77777777" w:rsidR="002D51DB" w:rsidRDefault="00000000">
      <w:pPr>
        <w:spacing w:after="120" w:line="276" w:lineRule="auto"/>
        <w:jc w:val="both"/>
      </w:pPr>
      <w:r>
        <w:rPr>
          <w:color w:val="333333"/>
        </w:rPr>
        <w:t xml:space="preserve">Selezionare 3–5 episodi storici di emergenza di rischio ben documentati (candidati: cyber risk ~2013–2016, rischio climatico ~2017–2020, rischio pandemico ~2020, rischio di supply chain ~2020–2021) e produrre analisi approfondite che combinino gli indicatori quantitativi con narrative qualitative. </w:t>
      </w:r>
      <w:proofErr w:type="gramStart"/>
      <w:r>
        <w:rPr>
          <w:color w:val="333333"/>
        </w:rPr>
        <w:t>Questi case</w:t>
      </w:r>
      <w:proofErr w:type="gramEnd"/>
      <w:r>
        <w:rPr>
          <w:color w:val="333333"/>
        </w:rPr>
        <w:t xml:space="preserve"> studies servono sia come validazione sia come materiale illustrativo per il paper.</w:t>
      </w:r>
    </w:p>
    <w:p w14:paraId="5C02EC01" w14:textId="77777777" w:rsidR="002D51DB" w:rsidRDefault="00000000">
      <w:pPr>
        <w:pStyle w:val="Titolo2"/>
      </w:pPr>
      <w:r>
        <w:t>Deliverable</w:t>
      </w:r>
    </w:p>
    <w:p w14:paraId="7724C4AB" w14:textId="77777777" w:rsidR="002D51DB" w:rsidRDefault="00000000">
      <w:pPr>
        <w:pStyle w:val="Paragrafoelenco"/>
        <w:numPr>
          <w:ilvl w:val="0"/>
          <w:numId w:val="7"/>
        </w:numPr>
        <w:spacing w:after="60" w:line="276" w:lineRule="auto"/>
      </w:pPr>
      <w:r>
        <w:rPr>
          <w:color w:val="333333"/>
        </w:rPr>
        <w:t xml:space="preserve">Stime di t* per ciascun tema, con intervalli di confidenza e </w:t>
      </w:r>
      <w:proofErr w:type="spellStart"/>
      <w:r>
        <w:rPr>
          <w:color w:val="333333"/>
        </w:rPr>
        <w:t>robustness</w:t>
      </w:r>
      <w:proofErr w:type="spellEnd"/>
      <w:r>
        <w:rPr>
          <w:color w:val="333333"/>
        </w:rPr>
        <w:t xml:space="preserve"> check</w:t>
      </w:r>
    </w:p>
    <w:p w14:paraId="5899B9F3" w14:textId="77777777" w:rsidR="002D51DB" w:rsidRDefault="00000000">
      <w:pPr>
        <w:pStyle w:val="Paragrafoelenco"/>
        <w:numPr>
          <w:ilvl w:val="0"/>
          <w:numId w:val="7"/>
        </w:numPr>
        <w:spacing w:after="60" w:line="276" w:lineRule="auto"/>
      </w:pPr>
      <w:r>
        <w:rPr>
          <w:color w:val="333333"/>
        </w:rPr>
        <w:t>Tabelle di regressione Cox con interpretazione dei coefficienti</w:t>
      </w:r>
    </w:p>
    <w:p w14:paraId="1C7F736D" w14:textId="77777777" w:rsidR="002D51DB" w:rsidRDefault="00000000">
      <w:pPr>
        <w:pStyle w:val="Paragrafoelenco"/>
        <w:numPr>
          <w:ilvl w:val="0"/>
          <w:numId w:val="7"/>
        </w:numPr>
        <w:spacing w:after="60" w:line="276" w:lineRule="auto"/>
      </w:pPr>
      <w:r>
        <w:rPr>
          <w:color w:val="333333"/>
        </w:rPr>
        <w:lastRenderedPageBreak/>
        <w:t xml:space="preserve">Risultati Granger </w:t>
      </w:r>
      <w:proofErr w:type="spellStart"/>
      <w:r>
        <w:rPr>
          <w:color w:val="333333"/>
        </w:rPr>
        <w:t>causality</w:t>
      </w:r>
      <w:proofErr w:type="spellEnd"/>
      <w:r>
        <w:rPr>
          <w:color w:val="333333"/>
        </w:rPr>
        <w:t xml:space="preserve"> con visualizzazione dei lead–lag</w:t>
      </w:r>
    </w:p>
    <w:p w14:paraId="607BCF66" w14:textId="77777777" w:rsidR="002D51DB" w:rsidRDefault="00000000">
      <w:pPr>
        <w:pStyle w:val="Paragrafoelenco"/>
        <w:numPr>
          <w:ilvl w:val="0"/>
          <w:numId w:val="7"/>
        </w:numPr>
        <w:spacing w:after="60" w:line="276" w:lineRule="auto"/>
      </w:pPr>
      <w:r>
        <w:rPr>
          <w:color w:val="333333"/>
        </w:rPr>
        <w:t>3–5 case studies retrospettivi dettagliati</w:t>
      </w:r>
    </w:p>
    <w:p w14:paraId="08D05BBE" w14:textId="77777777" w:rsidR="002D51DB" w:rsidRDefault="00000000">
      <w:pPr>
        <w:pStyle w:val="Titolo2"/>
      </w:pPr>
      <w:r>
        <w:t>Durata stimata</w:t>
      </w:r>
    </w:p>
    <w:p w14:paraId="3C5C39C7" w14:textId="77777777" w:rsidR="002D51DB" w:rsidRDefault="00000000">
      <w:pPr>
        <w:spacing w:after="120" w:line="276" w:lineRule="auto"/>
        <w:jc w:val="both"/>
      </w:pPr>
      <w:r>
        <w:rPr>
          <w:color w:val="333333"/>
        </w:rPr>
        <w:t>8–10 settimane. È la fase analiticamente più densa e quella che produce il nucleo dei risultati empirici.</w:t>
      </w:r>
    </w:p>
    <w:p w14:paraId="39215226" w14:textId="77777777" w:rsidR="002D51DB" w:rsidRDefault="00000000">
      <w:pPr>
        <w:pStyle w:val="Titolo2"/>
      </w:pPr>
      <w:r>
        <w:t>Dipendenze</w:t>
      </w:r>
    </w:p>
    <w:p w14:paraId="4E5940E3" w14:textId="77777777" w:rsidR="002D51DB" w:rsidRDefault="00000000">
      <w:pPr>
        <w:spacing w:after="120" w:line="276" w:lineRule="auto"/>
        <w:jc w:val="both"/>
      </w:pPr>
      <w:r>
        <w:rPr>
          <w:color w:val="333333"/>
        </w:rPr>
        <w:t xml:space="preserve">Richiede il completamento della Fase 2. I case studies </w:t>
      </w:r>
      <w:proofErr w:type="gramStart"/>
      <w:r>
        <w:rPr>
          <w:color w:val="333333"/>
        </w:rPr>
        <w:t>possono essere avviati anche</w:t>
      </w:r>
      <w:proofErr w:type="gramEnd"/>
      <w:r>
        <w:rPr>
          <w:color w:val="333333"/>
        </w:rPr>
        <w:t xml:space="preserve"> con indicatori preliminari.</w:t>
      </w:r>
    </w:p>
    <w:p w14:paraId="511B3070" w14:textId="77777777" w:rsidR="002D51DB" w:rsidRDefault="00000000">
      <w:pPr>
        <w:pStyle w:val="Titolo2"/>
      </w:pPr>
      <w:r>
        <w:t>Nota strategica</w:t>
      </w:r>
    </w:p>
    <w:p w14:paraId="1B1E08B7" w14:textId="77777777" w:rsidR="002D51DB" w:rsidRDefault="00000000">
      <w:pPr>
        <w:spacing w:after="120" w:line="276" w:lineRule="auto"/>
        <w:jc w:val="both"/>
      </w:pPr>
      <w:r>
        <w:rPr>
          <w:color w:val="333333"/>
        </w:rPr>
        <w:t>Al termine di questa fase, il materiale è sufficiente per un primo paper focalizzato sulla componente retrospettiva (RQ1). Questo consente una strategia di pubblicazione in due tempi, riducendo il rischio di un paper troppo lungo o con troppi contributi simultanei.</w:t>
      </w:r>
    </w:p>
    <w:p w14:paraId="6A4107A7" w14:textId="77777777" w:rsidR="002D51DB" w:rsidRDefault="00000000">
      <w:r>
        <w:br w:type="page"/>
      </w:r>
    </w:p>
    <w:p w14:paraId="5BCF9431" w14:textId="77777777" w:rsidR="002D51DB" w:rsidRPr="00B90B4A" w:rsidRDefault="00000000">
      <w:pPr>
        <w:pStyle w:val="Titolo1"/>
        <w:rPr>
          <w:lang w:val="en-GB"/>
        </w:rPr>
      </w:pPr>
      <w:r w:rsidRPr="00B90B4A">
        <w:rPr>
          <w:lang w:val="en-GB"/>
        </w:rPr>
        <w:lastRenderedPageBreak/>
        <w:t>Fase 4 – Framework di early warning forward-looking</w:t>
      </w:r>
    </w:p>
    <w:p w14:paraId="457505AD" w14:textId="77777777" w:rsidR="002D51DB" w:rsidRDefault="00000000">
      <w:pPr>
        <w:pStyle w:val="Titolo2"/>
      </w:pPr>
      <w:r>
        <w:t>Obiettivo</w:t>
      </w:r>
    </w:p>
    <w:p w14:paraId="35678A93" w14:textId="77777777" w:rsidR="002D51DB" w:rsidRDefault="00000000">
      <w:pPr>
        <w:spacing w:after="120" w:line="276" w:lineRule="auto"/>
        <w:jc w:val="both"/>
      </w:pPr>
      <w:r>
        <w:rPr>
          <w:color w:val="333333"/>
        </w:rPr>
        <w:t>Costruire e validare un modello che, utilizzando solo informazione disponibile fino alla data di previsione, stimi la probabilità che un tema candidato diventi un rischio istituzionalizzato entro orizzonti di 3, 6 e 12 mesi.</w:t>
      </w:r>
    </w:p>
    <w:p w14:paraId="603C033D" w14:textId="77777777" w:rsidR="002D51DB" w:rsidRDefault="00000000">
      <w:pPr>
        <w:pStyle w:val="Titolo2"/>
      </w:pPr>
      <w:r>
        <w:t>Attività operative</w:t>
      </w:r>
    </w:p>
    <w:p w14:paraId="79553331" w14:textId="77777777" w:rsidR="002D51DB" w:rsidRDefault="00000000">
      <w:pPr>
        <w:pStyle w:val="Titolo3"/>
      </w:pPr>
      <w:r>
        <w:t>4.1 Design del modello predittivo</w:t>
      </w:r>
    </w:p>
    <w:p w14:paraId="5499DE8D" w14:textId="77777777" w:rsidR="002D51DB" w:rsidRDefault="00000000">
      <w:pPr>
        <w:spacing w:after="120" w:line="276" w:lineRule="auto"/>
        <w:jc w:val="both"/>
      </w:pPr>
      <w:r>
        <w:rPr>
          <w:color w:val="333333"/>
        </w:rPr>
        <w:t>L’architettura del modello deve integrare gli indicatori costruiti nella Fase 2 in un framework di classificazione o regressione temporale. Due approcci vanno sviluppati e confrontati: un modello parametrico (</w:t>
      </w:r>
      <w:proofErr w:type="spellStart"/>
      <w:r>
        <w:rPr>
          <w:color w:val="333333"/>
        </w:rPr>
        <w:t>logit</w:t>
      </w:r>
      <w:proofErr w:type="spellEnd"/>
      <w:r>
        <w:rPr>
          <w:color w:val="333333"/>
        </w:rPr>
        <w:t xml:space="preserve"> panel o hazard con </w:t>
      </w:r>
      <w:proofErr w:type="spellStart"/>
      <w:r>
        <w:rPr>
          <w:color w:val="333333"/>
        </w:rPr>
        <w:t>covariate</w:t>
      </w:r>
      <w:proofErr w:type="spellEnd"/>
      <w:r>
        <w:rPr>
          <w:color w:val="333333"/>
        </w:rPr>
        <w:t xml:space="preserve"> time-</w:t>
      </w:r>
      <w:proofErr w:type="spellStart"/>
      <w:r>
        <w:rPr>
          <w:color w:val="333333"/>
        </w:rPr>
        <w:t>varying</w:t>
      </w:r>
      <w:proofErr w:type="spellEnd"/>
      <w:r>
        <w:rPr>
          <w:color w:val="333333"/>
        </w:rPr>
        <w:t>) e un modello a ensemble (</w:t>
      </w:r>
      <w:proofErr w:type="spellStart"/>
      <w:r>
        <w:rPr>
          <w:color w:val="333333"/>
        </w:rPr>
        <w:t>gradient</w:t>
      </w:r>
      <w:proofErr w:type="spellEnd"/>
      <w:r>
        <w:rPr>
          <w:color w:val="333333"/>
        </w:rPr>
        <w:t xml:space="preserve"> </w:t>
      </w:r>
      <w:proofErr w:type="spellStart"/>
      <w:r>
        <w:rPr>
          <w:color w:val="333333"/>
        </w:rPr>
        <w:t>boosting</w:t>
      </w:r>
      <w:proofErr w:type="spellEnd"/>
      <w:r>
        <w:rPr>
          <w:color w:val="333333"/>
        </w:rPr>
        <w:t xml:space="preserve"> o random </w:t>
      </w:r>
      <w:proofErr w:type="spellStart"/>
      <w:r>
        <w:rPr>
          <w:color w:val="333333"/>
        </w:rPr>
        <w:t>forest</w:t>
      </w:r>
      <w:proofErr w:type="spellEnd"/>
      <w:r>
        <w:rPr>
          <w:color w:val="333333"/>
        </w:rPr>
        <w:t>) con feature engineering basata sugli indicatori testuali.</w:t>
      </w:r>
    </w:p>
    <w:p w14:paraId="2DFBBBE3" w14:textId="77777777" w:rsidR="002D51DB" w:rsidRDefault="00000000">
      <w:pPr>
        <w:spacing w:after="120" w:line="276" w:lineRule="auto"/>
        <w:jc w:val="both"/>
      </w:pPr>
      <w:r>
        <w:rPr>
          <w:color w:val="333333"/>
        </w:rPr>
        <w:t>La variabile target è binaria: il tema candidato ha superato la soglia di diffusione Dr(t) &gt; δ entro l’orizzonte h? La soglia δ va calibrata in base alla distribuzione empirica di Dr(t) osservata nella Fase 3.</w:t>
      </w:r>
    </w:p>
    <w:p w14:paraId="2D63C630" w14:textId="77777777" w:rsidR="002D51DB" w:rsidRDefault="00000000">
      <w:pPr>
        <w:pStyle w:val="Titolo3"/>
      </w:pPr>
      <w:r>
        <w:t xml:space="preserve">4.2 Protocollo di validazione </w:t>
      </w:r>
      <w:proofErr w:type="spellStart"/>
      <w:r>
        <w:t>rolling</w:t>
      </w:r>
      <w:proofErr w:type="spellEnd"/>
      <w:r>
        <w:t>-window</w:t>
      </w:r>
    </w:p>
    <w:p w14:paraId="67B6E74B" w14:textId="77777777" w:rsidR="002D51DB" w:rsidRDefault="00000000">
      <w:pPr>
        <w:spacing w:after="120" w:line="276" w:lineRule="auto"/>
        <w:jc w:val="both"/>
      </w:pPr>
      <w:r>
        <w:rPr>
          <w:color w:val="333333"/>
        </w:rPr>
        <w:t xml:space="preserve">Il modello deve essere valutato in un setting strettamente out-of-sample con espansione progressiva della finestra di training. Per ogni data di forecast t, il modello usa solo informazione fino a t e predice la diffusione nell’intervallo [t, </w:t>
      </w:r>
      <w:proofErr w:type="spellStart"/>
      <w:r>
        <w:rPr>
          <w:color w:val="333333"/>
        </w:rPr>
        <w:t>t+h</w:t>
      </w:r>
      <w:proofErr w:type="spellEnd"/>
      <w:r>
        <w:rPr>
          <w:color w:val="333333"/>
        </w:rPr>
        <w:t xml:space="preserve">]. Le metriche di valutazione includono: AUC-ROC, </w:t>
      </w:r>
      <w:proofErr w:type="spellStart"/>
      <w:r>
        <w:rPr>
          <w:color w:val="333333"/>
        </w:rPr>
        <w:t>precision</w:t>
      </w:r>
      <w:proofErr w:type="spellEnd"/>
      <w:r>
        <w:rPr>
          <w:color w:val="333333"/>
        </w:rPr>
        <w:t>-recall curve, calibrazione delle probabilità, e Brier score.</w:t>
      </w:r>
    </w:p>
    <w:p w14:paraId="6ED40980" w14:textId="77777777" w:rsidR="002D51DB" w:rsidRDefault="00000000">
      <w:pPr>
        <w:spacing w:after="120" w:line="276" w:lineRule="auto"/>
        <w:jc w:val="both"/>
      </w:pPr>
      <w:r>
        <w:rPr>
          <w:color w:val="333333"/>
        </w:rPr>
        <w:t>La finestra iniziale di training deve contenere almeno 2–3 episodi completi di emergenza per garantire una stima affidabile dei parametri.</w:t>
      </w:r>
    </w:p>
    <w:p w14:paraId="577D6ADC" w14:textId="77777777" w:rsidR="002D51DB" w:rsidRDefault="00000000">
      <w:pPr>
        <w:pStyle w:val="Titolo3"/>
      </w:pPr>
      <w:r>
        <w:t xml:space="preserve">4.3 Feature </w:t>
      </w:r>
      <w:proofErr w:type="spellStart"/>
      <w:r>
        <w:t>importance</w:t>
      </w:r>
      <w:proofErr w:type="spellEnd"/>
      <w:r>
        <w:t xml:space="preserve"> e interpretabilità</w:t>
      </w:r>
    </w:p>
    <w:p w14:paraId="01796167" w14:textId="77777777" w:rsidR="002D51DB" w:rsidRDefault="00000000">
      <w:pPr>
        <w:spacing w:after="120" w:line="276" w:lineRule="auto"/>
        <w:jc w:val="both"/>
      </w:pPr>
      <w:r>
        <w:rPr>
          <w:color w:val="333333"/>
        </w:rPr>
        <w:t xml:space="preserve">Utilizzare SHAP </w:t>
      </w:r>
      <w:proofErr w:type="spellStart"/>
      <w:r>
        <w:rPr>
          <w:color w:val="333333"/>
        </w:rPr>
        <w:t>values</w:t>
      </w:r>
      <w:proofErr w:type="spellEnd"/>
      <w:r>
        <w:rPr>
          <w:color w:val="333333"/>
        </w:rPr>
        <w:t xml:space="preserve"> per quantificare il contributo marginale di ciascun indicatore alla previsione. Questo passaggio è cruciale sia per la validazione scientifica (il modello cattura dinamiche economicamente sensate?) sia per l’utilizzo pratico (quali segnali monitorare?).</w:t>
      </w:r>
    </w:p>
    <w:p w14:paraId="289A59FA" w14:textId="77777777" w:rsidR="002D51DB" w:rsidRDefault="00000000">
      <w:pPr>
        <w:pStyle w:val="Titolo2"/>
      </w:pPr>
      <w:r>
        <w:t>Deliverable</w:t>
      </w:r>
    </w:p>
    <w:p w14:paraId="447A9015" w14:textId="77777777" w:rsidR="002D51DB" w:rsidRDefault="00000000">
      <w:pPr>
        <w:pStyle w:val="Paragrafoelenco"/>
        <w:numPr>
          <w:ilvl w:val="0"/>
          <w:numId w:val="8"/>
        </w:numPr>
        <w:spacing w:after="60" w:line="276" w:lineRule="auto"/>
      </w:pPr>
      <w:r>
        <w:rPr>
          <w:color w:val="333333"/>
        </w:rPr>
        <w:t>Modello predittivo implementato con codice riproducibile</w:t>
      </w:r>
    </w:p>
    <w:p w14:paraId="2CF646D1" w14:textId="77777777" w:rsidR="002D51DB" w:rsidRDefault="00000000">
      <w:pPr>
        <w:pStyle w:val="Paragrafoelenco"/>
        <w:numPr>
          <w:ilvl w:val="0"/>
          <w:numId w:val="8"/>
        </w:numPr>
        <w:spacing w:after="60" w:line="276" w:lineRule="auto"/>
      </w:pPr>
      <w:r>
        <w:rPr>
          <w:color w:val="333333"/>
        </w:rPr>
        <w:t xml:space="preserve">Risultati di validazione </w:t>
      </w:r>
      <w:proofErr w:type="spellStart"/>
      <w:r>
        <w:rPr>
          <w:color w:val="333333"/>
        </w:rPr>
        <w:t>rolling</w:t>
      </w:r>
      <w:proofErr w:type="spellEnd"/>
      <w:r>
        <w:rPr>
          <w:color w:val="333333"/>
        </w:rPr>
        <w:t>-window con metriche di performance</w:t>
      </w:r>
    </w:p>
    <w:p w14:paraId="7F077F29" w14:textId="77777777" w:rsidR="002D51DB" w:rsidRDefault="00000000">
      <w:pPr>
        <w:pStyle w:val="Paragrafoelenco"/>
        <w:numPr>
          <w:ilvl w:val="0"/>
          <w:numId w:val="8"/>
        </w:numPr>
        <w:spacing w:after="60" w:line="276" w:lineRule="auto"/>
      </w:pPr>
      <w:r>
        <w:rPr>
          <w:color w:val="333333"/>
        </w:rPr>
        <w:t>Analisi SHAP con ranking delle feature per orizzonte di previsione</w:t>
      </w:r>
    </w:p>
    <w:p w14:paraId="5DA653C9" w14:textId="77777777" w:rsidR="002D51DB" w:rsidRDefault="00000000">
      <w:pPr>
        <w:pStyle w:val="Paragrafoelenco"/>
        <w:numPr>
          <w:ilvl w:val="0"/>
          <w:numId w:val="8"/>
        </w:numPr>
        <w:spacing w:after="60" w:line="276" w:lineRule="auto"/>
      </w:pPr>
      <w:r>
        <w:rPr>
          <w:color w:val="333333"/>
        </w:rPr>
        <w:t>Confronto tra approccio parametrico e machine learning</w:t>
      </w:r>
    </w:p>
    <w:p w14:paraId="50E924A7" w14:textId="77777777" w:rsidR="002D51DB" w:rsidRDefault="00000000">
      <w:pPr>
        <w:pStyle w:val="Titolo2"/>
      </w:pPr>
      <w:r>
        <w:t>Durata stimata</w:t>
      </w:r>
    </w:p>
    <w:p w14:paraId="1B300452" w14:textId="77777777" w:rsidR="002D51DB" w:rsidRDefault="00000000">
      <w:pPr>
        <w:spacing w:after="120" w:line="276" w:lineRule="auto"/>
        <w:jc w:val="both"/>
      </w:pPr>
      <w:r>
        <w:rPr>
          <w:color w:val="333333"/>
        </w:rPr>
        <w:t>6–8 settimane. Il tempo dipende dalla complessità del tuning e dalla necessità di iterare sulla definizione della variabile target.</w:t>
      </w:r>
    </w:p>
    <w:p w14:paraId="1C22759D" w14:textId="77777777" w:rsidR="002D51DB" w:rsidRDefault="00000000">
      <w:r>
        <w:br w:type="page"/>
      </w:r>
    </w:p>
    <w:p w14:paraId="7106C7DF" w14:textId="77777777" w:rsidR="002D51DB" w:rsidRDefault="00000000">
      <w:pPr>
        <w:pStyle w:val="Titolo1"/>
      </w:pPr>
      <w:r>
        <w:lastRenderedPageBreak/>
        <w:t>Fase 5 – Applicazione al rischio AI</w:t>
      </w:r>
    </w:p>
    <w:p w14:paraId="2C2EACED" w14:textId="77777777" w:rsidR="002D51DB" w:rsidRDefault="00000000">
      <w:pPr>
        <w:pStyle w:val="Titolo2"/>
      </w:pPr>
      <w:r>
        <w:t>Obiettivo</w:t>
      </w:r>
    </w:p>
    <w:p w14:paraId="15ACBDC4" w14:textId="77777777" w:rsidR="002D51DB" w:rsidRDefault="00000000">
      <w:pPr>
        <w:spacing w:after="120" w:line="276" w:lineRule="auto"/>
        <w:jc w:val="both"/>
      </w:pPr>
      <w:r>
        <w:rPr>
          <w:color w:val="333333"/>
        </w:rPr>
        <w:t xml:space="preserve">Applicare il framework </w:t>
      </w:r>
      <w:proofErr w:type="spellStart"/>
      <w:r>
        <w:rPr>
          <w:color w:val="333333"/>
        </w:rPr>
        <w:t>forward-looking</w:t>
      </w:r>
      <w:proofErr w:type="spellEnd"/>
      <w:r>
        <w:rPr>
          <w:color w:val="333333"/>
        </w:rPr>
        <w:t xml:space="preserve"> sviluppato nella Fase 4 al caso del rischio legato all’intelligenza artificiale, producendo una stima corrente della probabilità che l’AI risk diventi una categoria di rischio finanziario istituzionalizzata e ampiamente disclosure.</w:t>
      </w:r>
    </w:p>
    <w:p w14:paraId="1EF8CE7D" w14:textId="77777777" w:rsidR="002D51DB" w:rsidRDefault="00000000">
      <w:pPr>
        <w:pStyle w:val="Titolo2"/>
      </w:pPr>
      <w:r>
        <w:t>Attività operative</w:t>
      </w:r>
    </w:p>
    <w:p w14:paraId="4A16536C" w14:textId="77777777" w:rsidR="002D51DB" w:rsidRDefault="00000000">
      <w:pPr>
        <w:pStyle w:val="Titolo3"/>
      </w:pPr>
      <w:r>
        <w:t>5.1 Scomposizione in sotto-temi</w:t>
      </w:r>
    </w:p>
    <w:p w14:paraId="558B310C" w14:textId="77777777" w:rsidR="002D51DB" w:rsidRDefault="00000000">
      <w:pPr>
        <w:spacing w:after="120" w:line="276" w:lineRule="auto"/>
        <w:jc w:val="both"/>
      </w:pPr>
      <w:r>
        <w:rPr>
          <w:color w:val="333333"/>
        </w:rPr>
        <w:t xml:space="preserve">L’AI risk non è monolitico. Va analizzato attraverso le sue componenti: model risk (affidabilità e </w:t>
      </w:r>
      <w:proofErr w:type="spellStart"/>
      <w:r>
        <w:rPr>
          <w:color w:val="333333"/>
        </w:rPr>
        <w:t>bias</w:t>
      </w:r>
      <w:proofErr w:type="spellEnd"/>
      <w:r>
        <w:rPr>
          <w:color w:val="333333"/>
        </w:rPr>
        <w:t xml:space="preserve"> dei sistemi AI), rischio regolatorio (EU </w:t>
      </w:r>
      <w:proofErr w:type="gramStart"/>
      <w:r>
        <w:rPr>
          <w:color w:val="333333"/>
        </w:rPr>
        <w:t>AI</w:t>
      </w:r>
      <w:proofErr w:type="gramEnd"/>
      <w:r>
        <w:rPr>
          <w:color w:val="333333"/>
        </w:rPr>
        <w:t xml:space="preserve"> Act, esecutività in US), data governance (privacy, qualità dei dati di training), vulnerabilità di sicurezza (attacchi </w:t>
      </w:r>
      <w:proofErr w:type="spellStart"/>
      <w:r>
        <w:rPr>
          <w:color w:val="333333"/>
        </w:rPr>
        <w:t>adversarial</w:t>
      </w:r>
      <w:proofErr w:type="spellEnd"/>
      <w:r>
        <w:rPr>
          <w:color w:val="333333"/>
        </w:rPr>
        <w:t xml:space="preserve">, </w:t>
      </w:r>
      <w:proofErr w:type="spellStart"/>
      <w:r>
        <w:rPr>
          <w:color w:val="333333"/>
        </w:rPr>
        <w:t>deepfakes</w:t>
      </w:r>
      <w:proofErr w:type="spellEnd"/>
      <w:r>
        <w:rPr>
          <w:color w:val="333333"/>
        </w:rPr>
        <w:t>), proprietà intellettuale (</w:t>
      </w:r>
      <w:proofErr w:type="gramStart"/>
      <w:r>
        <w:rPr>
          <w:color w:val="333333"/>
        </w:rPr>
        <w:t>copyright</w:t>
      </w:r>
      <w:proofErr w:type="gramEnd"/>
      <w:r>
        <w:rPr>
          <w:color w:val="333333"/>
        </w:rPr>
        <w:t xml:space="preserve"> su output generati), e impatto sulla forza lavoro (automazione, riqualificazione).</w:t>
      </w:r>
    </w:p>
    <w:p w14:paraId="57E578E4" w14:textId="77777777" w:rsidR="002D51DB" w:rsidRDefault="00000000">
      <w:pPr>
        <w:spacing w:after="120" w:line="276" w:lineRule="auto"/>
        <w:jc w:val="both"/>
      </w:pPr>
      <w:r>
        <w:rPr>
          <w:color w:val="333333"/>
        </w:rPr>
        <w:t>Per ciascun sotto-tema, calcolare gli indicatori della Fase 2 e posizionarli sulla traiettoria di emergenza stimata dalla Fase 3. Le query al database vanno parametrizzate per sotto-tema, consentendo un’analisi modulare.</w:t>
      </w:r>
    </w:p>
    <w:p w14:paraId="195BB360" w14:textId="77777777" w:rsidR="002D51DB" w:rsidRDefault="00000000">
      <w:pPr>
        <w:pStyle w:val="Titolo3"/>
      </w:pPr>
      <w:r>
        <w:t>5.2 Scoring predittivo</w:t>
      </w:r>
    </w:p>
    <w:p w14:paraId="6DFD169B" w14:textId="77777777" w:rsidR="002D51DB" w:rsidRDefault="00000000">
      <w:pPr>
        <w:spacing w:after="120" w:line="276" w:lineRule="auto"/>
        <w:jc w:val="both"/>
      </w:pPr>
      <w:r>
        <w:rPr>
          <w:color w:val="333333"/>
        </w:rPr>
        <w:t>Applicare il modello della Fase 4 a ciascun sotto-tema AI, ottenendo una probabilità stimata di istituzionalizzazione a 3, 6 e 12 mesi. Produrre una “</w:t>
      </w:r>
      <w:proofErr w:type="spellStart"/>
      <w:r>
        <w:rPr>
          <w:color w:val="333333"/>
        </w:rPr>
        <w:t>heat</w:t>
      </w:r>
      <w:proofErr w:type="spellEnd"/>
      <w:r>
        <w:rPr>
          <w:color w:val="333333"/>
        </w:rPr>
        <w:t xml:space="preserve"> </w:t>
      </w:r>
      <w:proofErr w:type="spellStart"/>
      <w:r>
        <w:rPr>
          <w:color w:val="333333"/>
        </w:rPr>
        <w:t>map</w:t>
      </w:r>
      <w:proofErr w:type="spellEnd"/>
      <w:r>
        <w:rPr>
          <w:color w:val="333333"/>
        </w:rPr>
        <w:t>” che sintetizzi lo stato corrente di emergenza per sotto-tema.</w:t>
      </w:r>
    </w:p>
    <w:p w14:paraId="21592302" w14:textId="77777777" w:rsidR="002D51DB" w:rsidRDefault="00000000">
      <w:pPr>
        <w:pStyle w:val="Titolo3"/>
      </w:pPr>
      <w:r>
        <w:t>5.3 Confronto con la traiettoria di rischi storici</w:t>
      </w:r>
    </w:p>
    <w:p w14:paraId="73A0D060" w14:textId="77777777" w:rsidR="002D51DB" w:rsidRDefault="00000000">
      <w:pPr>
        <w:spacing w:after="120" w:line="276" w:lineRule="auto"/>
        <w:jc w:val="both"/>
      </w:pPr>
      <w:r>
        <w:rPr>
          <w:color w:val="333333"/>
        </w:rPr>
        <w:t>Confrontare la posizione attuale dell’AI risk sulla curva di emergenza con le posizioni equivalenti di rischi già istituzionalizzati (cyber, clima) allo stesso stadio di evoluzione. Questo confronto fornisce un benchmark intuitivo: se l’AI risk oggi è “dove il cyber risk era nel 2014”, le implicazioni per la traiettoria futura sono concrete.</w:t>
      </w:r>
    </w:p>
    <w:p w14:paraId="7B66EC1B" w14:textId="77777777" w:rsidR="002D51DB" w:rsidRDefault="00000000">
      <w:pPr>
        <w:pStyle w:val="Titolo2"/>
      </w:pPr>
      <w:r>
        <w:t>Deliverable</w:t>
      </w:r>
    </w:p>
    <w:p w14:paraId="367CC41E" w14:textId="77777777" w:rsidR="002D51DB" w:rsidRDefault="00000000">
      <w:pPr>
        <w:pStyle w:val="Paragrafoelenco"/>
        <w:numPr>
          <w:ilvl w:val="0"/>
          <w:numId w:val="9"/>
        </w:numPr>
        <w:spacing w:after="60" w:line="276" w:lineRule="auto"/>
      </w:pPr>
      <w:r>
        <w:rPr>
          <w:color w:val="333333"/>
        </w:rPr>
        <w:t>Analisi disaggregata per sotto-tema AI con indicatori correnti</w:t>
      </w:r>
    </w:p>
    <w:p w14:paraId="6B7C738F" w14:textId="77777777" w:rsidR="002D51DB" w:rsidRDefault="00000000">
      <w:pPr>
        <w:pStyle w:val="Paragrafoelenco"/>
        <w:numPr>
          <w:ilvl w:val="0"/>
          <w:numId w:val="9"/>
        </w:numPr>
        <w:spacing w:after="60" w:line="276" w:lineRule="auto"/>
      </w:pPr>
      <w:r>
        <w:rPr>
          <w:color w:val="333333"/>
        </w:rPr>
        <w:t>Probabilità di emergenza stimate dal modello predittivo</w:t>
      </w:r>
    </w:p>
    <w:p w14:paraId="206A2BCA" w14:textId="77777777" w:rsidR="002D51DB" w:rsidRDefault="00000000">
      <w:pPr>
        <w:pStyle w:val="Paragrafoelenco"/>
        <w:numPr>
          <w:ilvl w:val="0"/>
          <w:numId w:val="9"/>
        </w:numPr>
        <w:spacing w:after="60" w:line="276" w:lineRule="auto"/>
      </w:pPr>
      <w:r>
        <w:rPr>
          <w:color w:val="333333"/>
        </w:rPr>
        <w:t>Confronto visuale con le traiettorie di rischi storici</w:t>
      </w:r>
    </w:p>
    <w:p w14:paraId="241E9B28" w14:textId="77777777" w:rsidR="002D51DB" w:rsidRDefault="00000000">
      <w:pPr>
        <w:pStyle w:val="Paragrafoelenco"/>
        <w:numPr>
          <w:ilvl w:val="0"/>
          <w:numId w:val="9"/>
        </w:numPr>
        <w:spacing w:after="60" w:line="276" w:lineRule="auto"/>
      </w:pPr>
      <w:r>
        <w:rPr>
          <w:color w:val="333333"/>
        </w:rPr>
        <w:t xml:space="preserve">Sezione di </w:t>
      </w:r>
      <w:proofErr w:type="spellStart"/>
      <w:r>
        <w:rPr>
          <w:color w:val="333333"/>
        </w:rPr>
        <w:t>discussion</w:t>
      </w:r>
      <w:proofErr w:type="spellEnd"/>
      <w:r>
        <w:rPr>
          <w:color w:val="333333"/>
        </w:rPr>
        <w:t xml:space="preserve"> pronta per il paper</w:t>
      </w:r>
    </w:p>
    <w:p w14:paraId="45331EE7" w14:textId="77777777" w:rsidR="002D51DB" w:rsidRDefault="00000000">
      <w:pPr>
        <w:pStyle w:val="Titolo2"/>
      </w:pPr>
      <w:r>
        <w:t>Durata stimata</w:t>
      </w:r>
    </w:p>
    <w:p w14:paraId="553567CC" w14:textId="77777777" w:rsidR="002D51DB" w:rsidRDefault="00000000">
      <w:pPr>
        <w:spacing w:after="120" w:line="276" w:lineRule="auto"/>
        <w:jc w:val="both"/>
      </w:pPr>
      <w:r>
        <w:rPr>
          <w:color w:val="333333"/>
        </w:rPr>
        <w:t>4–6 settimane. Questa fase è più breve perché si appoggia interamente sull’infrastruttura delle fasi precedenti.</w:t>
      </w:r>
    </w:p>
    <w:p w14:paraId="7CDBDBD1" w14:textId="77777777" w:rsidR="002D51DB" w:rsidRDefault="00000000">
      <w:r>
        <w:br w:type="page"/>
      </w:r>
    </w:p>
    <w:p w14:paraId="198CD18C" w14:textId="77777777" w:rsidR="002D51DB" w:rsidRDefault="00000000">
      <w:pPr>
        <w:pStyle w:val="Titolo1"/>
      </w:pPr>
      <w:r>
        <w:lastRenderedPageBreak/>
        <w:t xml:space="preserve">Fase 6 – Scrittura, </w:t>
      </w:r>
      <w:proofErr w:type="spellStart"/>
      <w:r>
        <w:t>robustness</w:t>
      </w:r>
      <w:proofErr w:type="spellEnd"/>
      <w:r>
        <w:t xml:space="preserve"> check e </w:t>
      </w:r>
      <w:proofErr w:type="spellStart"/>
      <w:r>
        <w:t>submission</w:t>
      </w:r>
      <w:proofErr w:type="spellEnd"/>
    </w:p>
    <w:p w14:paraId="4A4F9BA2" w14:textId="77777777" w:rsidR="002D51DB" w:rsidRDefault="00000000">
      <w:pPr>
        <w:pStyle w:val="Titolo2"/>
      </w:pPr>
      <w:r>
        <w:t>Obiettivo</w:t>
      </w:r>
    </w:p>
    <w:p w14:paraId="6B128365" w14:textId="77777777" w:rsidR="002D51DB" w:rsidRDefault="00000000">
      <w:pPr>
        <w:spacing w:after="120" w:line="276" w:lineRule="auto"/>
        <w:jc w:val="both"/>
      </w:pPr>
      <w:r>
        <w:rPr>
          <w:color w:val="333333"/>
        </w:rPr>
        <w:t xml:space="preserve">Produrre un paper completo, con risultati robusti, pronto per la </w:t>
      </w:r>
      <w:proofErr w:type="spellStart"/>
      <w:r>
        <w:rPr>
          <w:color w:val="333333"/>
        </w:rPr>
        <w:t>submission</w:t>
      </w:r>
      <w:proofErr w:type="spellEnd"/>
      <w:r>
        <w:rPr>
          <w:color w:val="333333"/>
        </w:rPr>
        <w:t xml:space="preserve"> a un journal di primo livello.</w:t>
      </w:r>
    </w:p>
    <w:p w14:paraId="4047A8F6" w14:textId="77777777" w:rsidR="002D51DB" w:rsidRDefault="00000000">
      <w:pPr>
        <w:pStyle w:val="Titolo2"/>
      </w:pPr>
      <w:r>
        <w:t>Attività operative</w:t>
      </w:r>
    </w:p>
    <w:p w14:paraId="1829B52B" w14:textId="77777777" w:rsidR="002D51DB" w:rsidRDefault="00000000">
      <w:pPr>
        <w:pStyle w:val="Titolo3"/>
      </w:pPr>
      <w:r>
        <w:t>6.1 Struttura del paper</w:t>
      </w:r>
    </w:p>
    <w:p w14:paraId="1317F742" w14:textId="77777777" w:rsidR="002D51DB" w:rsidRDefault="00000000">
      <w:pPr>
        <w:spacing w:after="120" w:line="276" w:lineRule="auto"/>
        <w:jc w:val="both"/>
      </w:pPr>
      <w:r>
        <w:rPr>
          <w:color w:val="333333"/>
        </w:rPr>
        <w:t xml:space="preserve">La struttura suggerita segue lo standard dei journal target (JFE, RFS, JFQA): </w:t>
      </w:r>
      <w:proofErr w:type="spellStart"/>
      <w:r>
        <w:rPr>
          <w:color w:val="333333"/>
        </w:rPr>
        <w:t>Introduction</w:t>
      </w:r>
      <w:proofErr w:type="spellEnd"/>
      <w:r>
        <w:rPr>
          <w:color w:val="333333"/>
        </w:rPr>
        <w:t xml:space="preserve"> con motivazione e posizionamento; Literature review focalizzata su text-</w:t>
      </w:r>
      <w:proofErr w:type="spellStart"/>
      <w:r>
        <w:rPr>
          <w:color w:val="333333"/>
        </w:rPr>
        <w:t>based</w:t>
      </w:r>
      <w:proofErr w:type="spellEnd"/>
      <w:r>
        <w:rPr>
          <w:color w:val="333333"/>
        </w:rPr>
        <w:t xml:space="preserve"> risk </w:t>
      </w:r>
      <w:proofErr w:type="spellStart"/>
      <w:r>
        <w:rPr>
          <w:color w:val="333333"/>
        </w:rPr>
        <w:t>measurement</w:t>
      </w:r>
      <w:proofErr w:type="spellEnd"/>
      <w:r>
        <w:rPr>
          <w:color w:val="333333"/>
        </w:rPr>
        <w:t xml:space="preserve">, disclosure literature, </w:t>
      </w:r>
      <w:proofErr w:type="gramStart"/>
      <w:r>
        <w:rPr>
          <w:color w:val="333333"/>
        </w:rPr>
        <w:t>e</w:t>
      </w:r>
      <w:proofErr w:type="gramEnd"/>
      <w:r>
        <w:rPr>
          <w:color w:val="333333"/>
        </w:rPr>
        <w:t xml:space="preserve"> </w:t>
      </w:r>
      <w:proofErr w:type="spellStart"/>
      <w:r>
        <w:rPr>
          <w:color w:val="333333"/>
        </w:rPr>
        <w:t>early</w:t>
      </w:r>
      <w:proofErr w:type="spellEnd"/>
      <w:r>
        <w:rPr>
          <w:color w:val="333333"/>
        </w:rPr>
        <w:t xml:space="preserve">-warning systems in </w:t>
      </w:r>
      <w:proofErr w:type="spellStart"/>
      <w:r>
        <w:rPr>
          <w:color w:val="333333"/>
        </w:rPr>
        <w:t>finance</w:t>
      </w:r>
      <w:proofErr w:type="spellEnd"/>
      <w:r>
        <w:rPr>
          <w:color w:val="333333"/>
        </w:rPr>
        <w:t xml:space="preserve">; Data and </w:t>
      </w:r>
      <w:proofErr w:type="spellStart"/>
      <w:r>
        <w:rPr>
          <w:color w:val="333333"/>
        </w:rPr>
        <w:t>methodology</w:t>
      </w:r>
      <w:proofErr w:type="spellEnd"/>
      <w:r>
        <w:rPr>
          <w:color w:val="333333"/>
        </w:rPr>
        <w:t xml:space="preserve">; </w:t>
      </w:r>
      <w:proofErr w:type="spellStart"/>
      <w:r>
        <w:rPr>
          <w:color w:val="333333"/>
        </w:rPr>
        <w:t>Results</w:t>
      </w:r>
      <w:proofErr w:type="spellEnd"/>
      <w:r>
        <w:rPr>
          <w:color w:val="333333"/>
        </w:rPr>
        <w:t xml:space="preserve"> (retrospettivi); Forward-</w:t>
      </w:r>
      <w:proofErr w:type="spellStart"/>
      <w:r>
        <w:rPr>
          <w:color w:val="333333"/>
        </w:rPr>
        <w:t>looking</w:t>
      </w:r>
      <w:proofErr w:type="spellEnd"/>
      <w:r>
        <w:rPr>
          <w:color w:val="333333"/>
        </w:rPr>
        <w:t xml:space="preserve"> framework e applicazione AI; </w:t>
      </w:r>
      <w:proofErr w:type="spellStart"/>
      <w:r>
        <w:rPr>
          <w:color w:val="333333"/>
        </w:rPr>
        <w:t>Robustness</w:t>
      </w:r>
      <w:proofErr w:type="spellEnd"/>
      <w:r>
        <w:rPr>
          <w:color w:val="333333"/>
        </w:rPr>
        <w:t xml:space="preserve">; </w:t>
      </w:r>
      <w:proofErr w:type="spellStart"/>
      <w:r>
        <w:rPr>
          <w:color w:val="333333"/>
        </w:rPr>
        <w:t>Conclusion</w:t>
      </w:r>
      <w:proofErr w:type="spellEnd"/>
      <w:r>
        <w:rPr>
          <w:color w:val="333333"/>
        </w:rPr>
        <w:t>.</w:t>
      </w:r>
    </w:p>
    <w:p w14:paraId="19756124" w14:textId="77777777" w:rsidR="002D51DB" w:rsidRDefault="00000000">
      <w:pPr>
        <w:pStyle w:val="Titolo3"/>
      </w:pPr>
      <w:r>
        <w:t xml:space="preserve">6.2 </w:t>
      </w:r>
      <w:proofErr w:type="spellStart"/>
      <w:r>
        <w:t>Robustness</w:t>
      </w:r>
      <w:proofErr w:type="spellEnd"/>
      <w:r>
        <w:t xml:space="preserve"> check sistematici</w:t>
      </w:r>
    </w:p>
    <w:p w14:paraId="471C6477" w14:textId="77777777" w:rsidR="002D51DB" w:rsidRDefault="00000000">
      <w:pPr>
        <w:pStyle w:val="Paragrafoelenco"/>
        <w:numPr>
          <w:ilvl w:val="0"/>
          <w:numId w:val="10"/>
        </w:numPr>
        <w:spacing w:after="60" w:line="276" w:lineRule="auto"/>
      </w:pPr>
      <w:r>
        <w:rPr>
          <w:b/>
          <w:bCs/>
          <w:color w:val="333333"/>
        </w:rPr>
        <w:t xml:space="preserve">Definizione di t*: </w:t>
      </w:r>
      <w:r>
        <w:rPr>
          <w:color w:val="333333"/>
        </w:rPr>
        <w:t xml:space="preserve">variare il metodo di </w:t>
      </w:r>
      <w:proofErr w:type="spellStart"/>
      <w:r>
        <w:rPr>
          <w:color w:val="333333"/>
        </w:rPr>
        <w:t>change</w:t>
      </w:r>
      <w:proofErr w:type="spellEnd"/>
      <w:r>
        <w:rPr>
          <w:color w:val="333333"/>
        </w:rPr>
        <w:t xml:space="preserve">-point </w:t>
      </w:r>
      <w:proofErr w:type="spellStart"/>
      <w:r>
        <w:rPr>
          <w:color w:val="333333"/>
        </w:rPr>
        <w:t>detection</w:t>
      </w:r>
      <w:proofErr w:type="spellEnd"/>
      <w:r>
        <w:rPr>
          <w:color w:val="333333"/>
        </w:rPr>
        <w:t xml:space="preserve"> (PELT vs. BOCPD vs. </w:t>
      </w:r>
      <w:proofErr w:type="spellStart"/>
      <w:r>
        <w:rPr>
          <w:color w:val="333333"/>
        </w:rPr>
        <w:t>Binary</w:t>
      </w:r>
      <w:proofErr w:type="spellEnd"/>
      <w:r>
        <w:rPr>
          <w:color w:val="333333"/>
        </w:rPr>
        <w:t xml:space="preserve"> </w:t>
      </w:r>
      <w:proofErr w:type="spellStart"/>
      <w:r>
        <w:rPr>
          <w:color w:val="333333"/>
        </w:rPr>
        <w:t>Segmentation</w:t>
      </w:r>
      <w:proofErr w:type="spellEnd"/>
      <w:r>
        <w:rPr>
          <w:color w:val="333333"/>
        </w:rPr>
        <w:t>) e la soglia di diffusione.</w:t>
      </w:r>
    </w:p>
    <w:p w14:paraId="27470086" w14:textId="77777777" w:rsidR="002D51DB" w:rsidRDefault="00000000">
      <w:pPr>
        <w:pStyle w:val="Paragrafoelenco"/>
        <w:numPr>
          <w:ilvl w:val="0"/>
          <w:numId w:val="10"/>
        </w:numPr>
        <w:spacing w:after="60" w:line="276" w:lineRule="auto"/>
      </w:pPr>
      <w:r>
        <w:rPr>
          <w:b/>
          <w:bCs/>
          <w:color w:val="333333"/>
        </w:rPr>
        <w:t xml:space="preserve">Indicatori: </w:t>
      </w:r>
      <w:r>
        <w:rPr>
          <w:color w:val="333333"/>
        </w:rPr>
        <w:t xml:space="preserve">sostituire </w:t>
      </w:r>
      <w:proofErr w:type="spellStart"/>
      <w:r>
        <w:rPr>
          <w:color w:val="333333"/>
        </w:rPr>
        <w:t>sentence</w:t>
      </w:r>
      <w:proofErr w:type="spellEnd"/>
      <w:r>
        <w:rPr>
          <w:color w:val="333333"/>
        </w:rPr>
        <w:t xml:space="preserve">-transformers con modelli alternativi per la novità semantica; usare </w:t>
      </w:r>
      <w:proofErr w:type="spellStart"/>
      <w:r>
        <w:rPr>
          <w:color w:val="333333"/>
        </w:rPr>
        <w:t>topic</w:t>
      </w:r>
      <w:proofErr w:type="spellEnd"/>
      <w:r>
        <w:rPr>
          <w:color w:val="333333"/>
        </w:rPr>
        <w:t xml:space="preserve"> models (LDA, </w:t>
      </w:r>
      <w:proofErr w:type="spellStart"/>
      <w:r>
        <w:rPr>
          <w:color w:val="333333"/>
        </w:rPr>
        <w:t>BERTopic</w:t>
      </w:r>
      <w:proofErr w:type="spellEnd"/>
      <w:r>
        <w:rPr>
          <w:color w:val="333333"/>
        </w:rPr>
        <w:t xml:space="preserve">) come alternativa al </w:t>
      </w:r>
      <w:proofErr w:type="spellStart"/>
      <w:r>
        <w:rPr>
          <w:color w:val="333333"/>
        </w:rPr>
        <w:t>tagger</w:t>
      </w:r>
      <w:proofErr w:type="spellEnd"/>
      <w:r>
        <w:rPr>
          <w:color w:val="333333"/>
        </w:rPr>
        <w:t xml:space="preserve"> supervisionato.</w:t>
      </w:r>
    </w:p>
    <w:p w14:paraId="69EBDF9B" w14:textId="77777777" w:rsidR="002D51DB" w:rsidRDefault="00000000">
      <w:pPr>
        <w:pStyle w:val="Paragrafoelenco"/>
        <w:numPr>
          <w:ilvl w:val="0"/>
          <w:numId w:val="10"/>
        </w:numPr>
        <w:spacing w:after="60" w:line="276" w:lineRule="auto"/>
      </w:pPr>
      <w:r>
        <w:rPr>
          <w:b/>
          <w:bCs/>
          <w:color w:val="333333"/>
        </w:rPr>
        <w:t xml:space="preserve">Sentiment: </w:t>
      </w:r>
      <w:r>
        <w:rPr>
          <w:color w:val="333333"/>
        </w:rPr>
        <w:t xml:space="preserve">confrontare i risultati ottenuti con il sentiment </w:t>
      </w:r>
      <w:proofErr w:type="spellStart"/>
      <w:r>
        <w:rPr>
          <w:color w:val="333333"/>
        </w:rPr>
        <w:t>pre</w:t>
      </w:r>
      <w:proofErr w:type="spellEnd"/>
      <w:r>
        <w:rPr>
          <w:color w:val="333333"/>
        </w:rPr>
        <w:t xml:space="preserve">-calcolato nei CSV, con </w:t>
      </w:r>
      <w:proofErr w:type="spellStart"/>
      <w:r>
        <w:rPr>
          <w:color w:val="333333"/>
        </w:rPr>
        <w:t>FinBERT</w:t>
      </w:r>
      <w:proofErr w:type="spellEnd"/>
      <w:r>
        <w:rPr>
          <w:color w:val="333333"/>
        </w:rPr>
        <w:t xml:space="preserve"> e con Loughran-McDonald, verificando la sensitività dei risultati alla scelta del segnale.</w:t>
      </w:r>
    </w:p>
    <w:p w14:paraId="18EE2FBA" w14:textId="77777777" w:rsidR="002D51DB" w:rsidRDefault="00000000">
      <w:pPr>
        <w:pStyle w:val="Paragrafoelenco"/>
        <w:numPr>
          <w:ilvl w:val="0"/>
          <w:numId w:val="10"/>
        </w:numPr>
        <w:spacing w:after="60" w:line="276" w:lineRule="auto"/>
      </w:pPr>
      <w:r>
        <w:rPr>
          <w:b/>
          <w:bCs/>
          <w:color w:val="333333"/>
        </w:rPr>
        <w:t xml:space="preserve">Modello predittivo: </w:t>
      </w:r>
      <w:r>
        <w:rPr>
          <w:color w:val="333333"/>
        </w:rPr>
        <w:t>testare specifiche alternative (finestra di training, insieme di feature, funzionale del modello).</w:t>
      </w:r>
    </w:p>
    <w:p w14:paraId="04A9B410" w14:textId="77777777" w:rsidR="002D51DB" w:rsidRDefault="00000000">
      <w:pPr>
        <w:pStyle w:val="Paragrafoelenco"/>
        <w:numPr>
          <w:ilvl w:val="0"/>
          <w:numId w:val="10"/>
        </w:numPr>
        <w:spacing w:after="60" w:line="276" w:lineRule="auto"/>
      </w:pPr>
      <w:r>
        <w:rPr>
          <w:b/>
          <w:bCs/>
          <w:color w:val="333333"/>
        </w:rPr>
        <w:t xml:space="preserve">Campione: </w:t>
      </w:r>
      <w:r>
        <w:rPr>
          <w:color w:val="333333"/>
        </w:rPr>
        <w:t>escludere imprese del settore finanziario; restringere a large-</w:t>
      </w:r>
      <w:proofErr w:type="spellStart"/>
      <w:r>
        <w:rPr>
          <w:color w:val="333333"/>
        </w:rPr>
        <w:t>cap</w:t>
      </w:r>
      <w:proofErr w:type="spellEnd"/>
      <w:r>
        <w:rPr>
          <w:color w:val="333333"/>
        </w:rPr>
        <w:t>; variare il periodo di stima.</w:t>
      </w:r>
    </w:p>
    <w:p w14:paraId="7D6D73D8" w14:textId="77777777" w:rsidR="002D51DB" w:rsidRDefault="00000000">
      <w:pPr>
        <w:pStyle w:val="Titolo3"/>
      </w:pPr>
      <w:r>
        <w:t>6.3 Visualizzazioni e tabelle</w:t>
      </w:r>
    </w:p>
    <w:p w14:paraId="6B0221D9" w14:textId="77777777" w:rsidR="002D51DB" w:rsidRDefault="00000000">
      <w:pPr>
        <w:spacing w:after="120" w:line="276" w:lineRule="auto"/>
        <w:jc w:val="both"/>
      </w:pPr>
      <w:r>
        <w:rPr>
          <w:color w:val="333333"/>
        </w:rPr>
        <w:t xml:space="preserve">Preparare figure </w:t>
      </w:r>
      <w:proofErr w:type="spellStart"/>
      <w:r>
        <w:rPr>
          <w:color w:val="333333"/>
        </w:rPr>
        <w:t>publication</w:t>
      </w:r>
      <w:proofErr w:type="spellEnd"/>
      <w:r>
        <w:rPr>
          <w:color w:val="333333"/>
        </w:rPr>
        <w:t xml:space="preserve">-ready: curve di diffusione con t* marcato, </w:t>
      </w:r>
      <w:proofErr w:type="spellStart"/>
      <w:r>
        <w:rPr>
          <w:color w:val="333333"/>
        </w:rPr>
        <w:t>heatmap</w:t>
      </w:r>
      <w:proofErr w:type="spellEnd"/>
      <w:r>
        <w:rPr>
          <w:color w:val="333333"/>
        </w:rPr>
        <w:t xml:space="preserve"> di co-occorrenza, grafici SHAP, confronto delle traiettorie AI vs. rischi storici. Le tabelle di regressione devono seguire il formato standard del journal target.</w:t>
      </w:r>
    </w:p>
    <w:p w14:paraId="4BD96FC0" w14:textId="77777777" w:rsidR="002D51DB" w:rsidRDefault="00000000">
      <w:pPr>
        <w:pStyle w:val="Titolo3"/>
      </w:pPr>
      <w:r>
        <w:t xml:space="preserve">6.4 </w:t>
      </w:r>
      <w:proofErr w:type="spellStart"/>
      <w:r>
        <w:t>Submission</w:t>
      </w:r>
      <w:proofErr w:type="spellEnd"/>
      <w:r>
        <w:t xml:space="preserve"> e materiale supplementare</w:t>
      </w:r>
    </w:p>
    <w:p w14:paraId="6FA10492" w14:textId="77777777" w:rsidR="002D51DB" w:rsidRDefault="00000000">
      <w:pPr>
        <w:spacing w:after="120" w:line="276" w:lineRule="auto"/>
        <w:jc w:val="both"/>
      </w:pPr>
      <w:r>
        <w:rPr>
          <w:color w:val="333333"/>
        </w:rPr>
        <w:t xml:space="preserve">Preparare: paper principale (entro i limiti di pagina del journal target), Online </w:t>
      </w:r>
      <w:proofErr w:type="spellStart"/>
      <w:r>
        <w:rPr>
          <w:color w:val="333333"/>
        </w:rPr>
        <w:t>Appendix</w:t>
      </w:r>
      <w:proofErr w:type="spellEnd"/>
      <w:r>
        <w:rPr>
          <w:color w:val="333333"/>
        </w:rPr>
        <w:t xml:space="preserve"> con risultati supplementari e dettagli metodologici, pacchetto di </w:t>
      </w:r>
      <w:proofErr w:type="spellStart"/>
      <w:r>
        <w:rPr>
          <w:color w:val="333333"/>
        </w:rPr>
        <w:t>replication</w:t>
      </w:r>
      <w:proofErr w:type="spellEnd"/>
      <w:r>
        <w:rPr>
          <w:color w:val="333333"/>
        </w:rPr>
        <w:t xml:space="preserve"> (codice + istruzioni per l’accesso ai dati, con query SQL documentate per la riproduzione dei dataset analitici dal database).</w:t>
      </w:r>
    </w:p>
    <w:p w14:paraId="0F393D7E" w14:textId="77777777" w:rsidR="002D51DB" w:rsidRDefault="00000000">
      <w:pPr>
        <w:pStyle w:val="Titolo2"/>
      </w:pPr>
      <w:r>
        <w:t>Deliverable</w:t>
      </w:r>
    </w:p>
    <w:p w14:paraId="21F8C658" w14:textId="77777777" w:rsidR="002D51DB" w:rsidRDefault="00000000">
      <w:pPr>
        <w:pStyle w:val="Paragrafoelenco"/>
        <w:numPr>
          <w:ilvl w:val="0"/>
          <w:numId w:val="11"/>
        </w:numPr>
        <w:spacing w:after="60" w:line="276" w:lineRule="auto"/>
      </w:pPr>
      <w:r>
        <w:rPr>
          <w:color w:val="333333"/>
        </w:rPr>
        <w:t>Paper completo in formato LaTeX</w:t>
      </w:r>
    </w:p>
    <w:p w14:paraId="5FDDE0F4" w14:textId="77777777" w:rsidR="002D51DB" w:rsidRDefault="00000000">
      <w:pPr>
        <w:pStyle w:val="Paragrafoelenco"/>
        <w:numPr>
          <w:ilvl w:val="0"/>
          <w:numId w:val="11"/>
        </w:numPr>
        <w:spacing w:after="60" w:line="276" w:lineRule="auto"/>
      </w:pPr>
      <w:r>
        <w:rPr>
          <w:color w:val="333333"/>
        </w:rPr>
        <w:t xml:space="preserve">Online </w:t>
      </w:r>
      <w:proofErr w:type="spellStart"/>
      <w:r>
        <w:rPr>
          <w:color w:val="333333"/>
        </w:rPr>
        <w:t>Appendix</w:t>
      </w:r>
      <w:proofErr w:type="spellEnd"/>
    </w:p>
    <w:p w14:paraId="5E0BD950" w14:textId="77777777" w:rsidR="002D51DB" w:rsidRDefault="00000000">
      <w:pPr>
        <w:pStyle w:val="Paragrafoelenco"/>
        <w:numPr>
          <w:ilvl w:val="0"/>
          <w:numId w:val="11"/>
        </w:numPr>
        <w:spacing w:after="60" w:line="276" w:lineRule="auto"/>
      </w:pPr>
      <w:r>
        <w:rPr>
          <w:color w:val="333333"/>
        </w:rPr>
        <w:t xml:space="preserve">Pacchetto di </w:t>
      </w:r>
      <w:proofErr w:type="spellStart"/>
      <w:r>
        <w:rPr>
          <w:color w:val="333333"/>
        </w:rPr>
        <w:t>replication</w:t>
      </w:r>
      <w:proofErr w:type="spellEnd"/>
      <w:r>
        <w:rPr>
          <w:color w:val="333333"/>
        </w:rPr>
        <w:t xml:space="preserve"> con documentazione e query SQL</w:t>
      </w:r>
    </w:p>
    <w:p w14:paraId="079CC8C1" w14:textId="77777777" w:rsidR="002D51DB" w:rsidRDefault="00000000">
      <w:pPr>
        <w:pStyle w:val="Titolo2"/>
      </w:pPr>
      <w:r>
        <w:lastRenderedPageBreak/>
        <w:t>Durata stimata</w:t>
      </w:r>
    </w:p>
    <w:p w14:paraId="24CE3CCD" w14:textId="77777777" w:rsidR="002D51DB" w:rsidRDefault="00000000">
      <w:pPr>
        <w:spacing w:after="120" w:line="276" w:lineRule="auto"/>
        <w:jc w:val="both"/>
      </w:pPr>
      <w:r>
        <w:rPr>
          <w:color w:val="333333"/>
        </w:rPr>
        <w:t>6–8 settimane di scrittura concentrata, assumendo che i risultati delle fasi precedenti siano consolidati.</w:t>
      </w:r>
    </w:p>
    <w:p w14:paraId="16FF5027" w14:textId="77777777" w:rsidR="002D51DB" w:rsidRDefault="00000000">
      <w:r>
        <w:br w:type="page"/>
      </w:r>
    </w:p>
    <w:p w14:paraId="5BB2AD2D" w14:textId="77777777" w:rsidR="002D51DB" w:rsidRDefault="00000000">
      <w:pPr>
        <w:pStyle w:val="Titolo1"/>
      </w:pPr>
      <w:r>
        <w:lastRenderedPageBreak/>
        <w:t>Percorso critico e parallelismi</w:t>
      </w:r>
    </w:p>
    <w:p w14:paraId="70AA7C59" w14:textId="77777777" w:rsidR="002D51DB" w:rsidRDefault="00000000">
      <w:pPr>
        <w:spacing w:after="120" w:line="276" w:lineRule="auto"/>
        <w:jc w:val="both"/>
      </w:pPr>
      <w:r>
        <w:rPr>
          <w:color w:val="333333"/>
        </w:rPr>
        <w:t>La sequenza delle fasi è sostanzialmente lineare, con alcune possibilità di sovrapposizione parziale:</w:t>
      </w:r>
    </w:p>
    <w:p w14:paraId="57715CD7" w14:textId="77777777" w:rsidR="002D51DB" w:rsidRDefault="00000000">
      <w:pPr>
        <w:pStyle w:val="Paragrafoelenco"/>
        <w:numPr>
          <w:ilvl w:val="0"/>
          <w:numId w:val="12"/>
        </w:numPr>
        <w:spacing w:after="60" w:line="276" w:lineRule="auto"/>
      </w:pPr>
      <w:r>
        <w:rPr>
          <w:b/>
          <w:bCs/>
          <w:color w:val="333333"/>
        </w:rPr>
        <w:t xml:space="preserve">Fasi 1–2: </w:t>
      </w:r>
      <w:r>
        <w:rPr>
          <w:color w:val="333333"/>
        </w:rPr>
        <w:t>parzialmente parallelizzabili. Gli indicatori disclosure-</w:t>
      </w:r>
      <w:proofErr w:type="spellStart"/>
      <w:r>
        <w:rPr>
          <w:color w:val="333333"/>
        </w:rPr>
        <w:t>based</w:t>
      </w:r>
      <w:proofErr w:type="spellEnd"/>
      <w:r>
        <w:rPr>
          <w:color w:val="333333"/>
        </w:rPr>
        <w:t xml:space="preserve"> possono essere avviati non appena i </w:t>
      </w:r>
      <w:proofErr w:type="spellStart"/>
      <w:r>
        <w:rPr>
          <w:color w:val="333333"/>
        </w:rPr>
        <w:t>filing</w:t>
      </w:r>
      <w:proofErr w:type="spellEnd"/>
      <w:r>
        <w:rPr>
          <w:color w:val="333333"/>
        </w:rPr>
        <w:t xml:space="preserve"> SEC sono nel database, anche prima del completamento della pulizia e deduplicazione del corpus news.</w:t>
      </w:r>
    </w:p>
    <w:p w14:paraId="33037D59" w14:textId="77777777" w:rsidR="002D51DB" w:rsidRDefault="00000000">
      <w:pPr>
        <w:pStyle w:val="Paragrafoelenco"/>
        <w:numPr>
          <w:ilvl w:val="0"/>
          <w:numId w:val="12"/>
        </w:numPr>
        <w:spacing w:after="60" w:line="276" w:lineRule="auto"/>
      </w:pPr>
      <w:r>
        <w:rPr>
          <w:b/>
          <w:bCs/>
          <w:color w:val="333333"/>
        </w:rPr>
        <w:t xml:space="preserve">Fasi 3–4: </w:t>
      </w:r>
      <w:r>
        <w:rPr>
          <w:color w:val="333333"/>
        </w:rPr>
        <w:t>la Fase 4 può iniziare non appena gli indicatori principali e alcune stime di t* sono disponibili, senza attendere il completamento dei case studies.</w:t>
      </w:r>
    </w:p>
    <w:p w14:paraId="27EC7F9F" w14:textId="77777777" w:rsidR="002D51DB" w:rsidRDefault="00000000">
      <w:pPr>
        <w:pStyle w:val="Paragrafoelenco"/>
        <w:numPr>
          <w:ilvl w:val="0"/>
          <w:numId w:val="12"/>
        </w:numPr>
        <w:spacing w:after="60" w:line="276" w:lineRule="auto"/>
      </w:pPr>
      <w:r>
        <w:rPr>
          <w:b/>
          <w:bCs/>
          <w:color w:val="333333"/>
        </w:rPr>
        <w:t xml:space="preserve">Fase 5: </w:t>
      </w:r>
      <w:r>
        <w:rPr>
          <w:color w:val="333333"/>
        </w:rPr>
        <w:t>dipende criticamente dalla Fase 4, ma il lavoro di scomposizione tematica dell’AI risk può iniziare durante la Fase 3.</w:t>
      </w:r>
    </w:p>
    <w:p w14:paraId="36E8CAC2" w14:textId="77777777" w:rsidR="002D51DB" w:rsidRDefault="00000000">
      <w:pPr>
        <w:pStyle w:val="Paragrafoelenco"/>
        <w:numPr>
          <w:ilvl w:val="0"/>
          <w:numId w:val="12"/>
        </w:numPr>
        <w:spacing w:after="60" w:line="276" w:lineRule="auto"/>
      </w:pPr>
      <w:r>
        <w:rPr>
          <w:b/>
          <w:bCs/>
          <w:color w:val="333333"/>
        </w:rPr>
        <w:t xml:space="preserve">Fase 6: </w:t>
      </w:r>
      <w:r>
        <w:rPr>
          <w:color w:val="333333"/>
        </w:rPr>
        <w:t>la scrittura delle sezioni metodologiche può iniziare già durante la Fase 3. Se si opta per una pubblicazione in due tempi, il paper retrospettivo può essere completato al termine della Fase 3.</w:t>
      </w:r>
    </w:p>
    <w:p w14:paraId="1BB73FB5" w14:textId="77777777" w:rsidR="002D51DB" w:rsidRDefault="002D51DB">
      <w:pPr>
        <w:spacing w:after="60"/>
      </w:pPr>
    </w:p>
    <w:p w14:paraId="6013C451" w14:textId="77777777" w:rsidR="002D51DB" w:rsidRDefault="00000000">
      <w:pPr>
        <w:pStyle w:val="Titolo2"/>
      </w:pPr>
      <w:r>
        <w:t>Stack tecnologico di riferimento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2D51DB" w14:paraId="7F99C8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5F2ECA" w14:textId="77777777" w:rsidR="002D51DB" w:rsidRDefault="00000000">
            <w:pPr>
              <w:jc w:val="center"/>
            </w:pPr>
            <w:r>
              <w:rPr>
                <w:b/>
                <w:bCs/>
                <w:color w:val="FFFFFF"/>
                <w:sz w:val="20"/>
                <w:szCs w:val="20"/>
              </w:rPr>
              <w:t>Componente</w:t>
            </w:r>
          </w:p>
        </w:tc>
        <w:tc>
          <w:tcPr>
            <w:tcW w:w="62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92F3A4" w14:textId="77777777" w:rsidR="002D51DB" w:rsidRDefault="00000000">
            <w:pPr>
              <w:jc w:val="center"/>
            </w:pPr>
            <w:r>
              <w:rPr>
                <w:b/>
                <w:bCs/>
                <w:color w:val="FFFFFF"/>
                <w:sz w:val="20"/>
                <w:szCs w:val="20"/>
              </w:rPr>
              <w:t>Strumenti</w:t>
            </w:r>
          </w:p>
        </w:tc>
      </w:tr>
      <w:tr w:rsidR="002D51DB" w:rsidRPr="00B90B4A" w14:paraId="17497B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BEDB2F" w14:textId="77777777" w:rsidR="002D51DB" w:rsidRDefault="00000000">
            <w:r>
              <w:rPr>
                <w:b/>
                <w:bCs/>
                <w:color w:val="333333"/>
                <w:sz w:val="20"/>
                <w:szCs w:val="20"/>
              </w:rPr>
              <w:t>Database</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EB69E0" w14:textId="77777777" w:rsidR="002D51DB" w:rsidRPr="00B90B4A" w:rsidRDefault="00000000">
            <w:pPr>
              <w:rPr>
                <w:lang w:val="en-GB"/>
              </w:rPr>
            </w:pPr>
            <w:r w:rsidRPr="00B90B4A">
              <w:rPr>
                <w:color w:val="333333"/>
                <w:sz w:val="20"/>
                <w:szCs w:val="20"/>
                <w:lang w:val="en-GB"/>
              </w:rPr>
              <w:t xml:space="preserve">PostgreSQL (con </w:t>
            </w:r>
            <w:proofErr w:type="spellStart"/>
            <w:r w:rsidRPr="00B90B4A">
              <w:rPr>
                <w:color w:val="333333"/>
                <w:sz w:val="20"/>
                <w:szCs w:val="20"/>
                <w:lang w:val="en-GB"/>
              </w:rPr>
              <w:t>estensione</w:t>
            </w:r>
            <w:proofErr w:type="spellEnd"/>
            <w:r w:rsidRPr="00B90B4A">
              <w:rPr>
                <w:color w:val="333333"/>
                <w:sz w:val="20"/>
                <w:szCs w:val="20"/>
                <w:lang w:val="en-GB"/>
              </w:rPr>
              <w:t xml:space="preserve"> </w:t>
            </w:r>
            <w:proofErr w:type="spellStart"/>
            <w:r w:rsidRPr="00B90B4A">
              <w:rPr>
                <w:color w:val="333333"/>
                <w:sz w:val="20"/>
                <w:szCs w:val="20"/>
                <w:lang w:val="en-GB"/>
              </w:rPr>
              <w:t>pg_trgm</w:t>
            </w:r>
            <w:proofErr w:type="spellEnd"/>
            <w:r w:rsidRPr="00B90B4A">
              <w:rPr>
                <w:color w:val="333333"/>
                <w:sz w:val="20"/>
                <w:szCs w:val="20"/>
                <w:lang w:val="en-GB"/>
              </w:rPr>
              <w:t xml:space="preserve"> per full-text search), psycopg2, </w:t>
            </w:r>
            <w:proofErr w:type="spellStart"/>
            <w:r w:rsidRPr="00B90B4A">
              <w:rPr>
                <w:color w:val="333333"/>
                <w:sz w:val="20"/>
                <w:szCs w:val="20"/>
                <w:lang w:val="en-GB"/>
              </w:rPr>
              <w:t>SQLAlchemy</w:t>
            </w:r>
            <w:proofErr w:type="spellEnd"/>
          </w:p>
        </w:tc>
      </w:tr>
      <w:tr w:rsidR="002D51DB" w:rsidRPr="00B90B4A" w14:paraId="0F405B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0E440" w14:textId="77777777" w:rsidR="002D51DB" w:rsidRDefault="00000000">
            <w:r>
              <w:rPr>
                <w:b/>
                <w:bCs/>
                <w:color w:val="333333"/>
                <w:sz w:val="20"/>
                <w:szCs w:val="20"/>
              </w:rPr>
              <w:t xml:space="preserve">Data </w:t>
            </w:r>
            <w:proofErr w:type="spellStart"/>
            <w:r>
              <w:rPr>
                <w:b/>
                <w:bCs/>
                <w:color w:val="333333"/>
                <w:sz w:val="20"/>
                <w:szCs w:val="20"/>
              </w:rPr>
              <w:t>ingestion</w:t>
            </w:r>
            <w:proofErr w:type="spellEnd"/>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15400" w14:textId="77777777" w:rsidR="002D51DB" w:rsidRPr="00B90B4A" w:rsidRDefault="00000000">
            <w:pPr>
              <w:rPr>
                <w:lang w:val="en-GB"/>
              </w:rPr>
            </w:pPr>
            <w:r w:rsidRPr="00B90B4A">
              <w:rPr>
                <w:color w:val="333333"/>
                <w:sz w:val="20"/>
                <w:szCs w:val="20"/>
                <w:lang w:val="en-GB"/>
              </w:rPr>
              <w:t>Python (COPY via psycopg2, sec-</w:t>
            </w:r>
            <w:proofErr w:type="spellStart"/>
            <w:r w:rsidRPr="00B90B4A">
              <w:rPr>
                <w:color w:val="333333"/>
                <w:sz w:val="20"/>
                <w:szCs w:val="20"/>
                <w:lang w:val="en-GB"/>
              </w:rPr>
              <w:t>edgar</w:t>
            </w:r>
            <w:proofErr w:type="spellEnd"/>
            <w:r w:rsidRPr="00B90B4A">
              <w:rPr>
                <w:color w:val="333333"/>
                <w:sz w:val="20"/>
                <w:szCs w:val="20"/>
                <w:lang w:val="en-GB"/>
              </w:rPr>
              <w:t xml:space="preserve">-downloader, </w:t>
            </w:r>
            <w:proofErr w:type="spellStart"/>
            <w:r w:rsidRPr="00B90B4A">
              <w:rPr>
                <w:color w:val="333333"/>
                <w:sz w:val="20"/>
                <w:szCs w:val="20"/>
                <w:lang w:val="en-GB"/>
              </w:rPr>
              <w:t>BeautifulSoup</w:t>
            </w:r>
            <w:proofErr w:type="spellEnd"/>
            <w:r w:rsidRPr="00B90B4A">
              <w:rPr>
                <w:color w:val="333333"/>
                <w:sz w:val="20"/>
                <w:szCs w:val="20"/>
                <w:lang w:val="en-GB"/>
              </w:rPr>
              <w:t xml:space="preserve"> per parsing SEC)</w:t>
            </w:r>
          </w:p>
        </w:tc>
      </w:tr>
      <w:tr w:rsidR="002D51DB" w:rsidRPr="00B90B4A" w14:paraId="6E6A02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00D6EB" w14:textId="77777777" w:rsidR="002D51DB" w:rsidRDefault="00000000">
            <w:r>
              <w:rPr>
                <w:b/>
                <w:bCs/>
                <w:color w:val="333333"/>
                <w:sz w:val="20"/>
                <w:szCs w:val="20"/>
              </w:rPr>
              <w:t xml:space="preserve">NLP / </w:t>
            </w:r>
            <w:proofErr w:type="spellStart"/>
            <w:r>
              <w:rPr>
                <w:b/>
                <w:bCs/>
                <w:color w:val="333333"/>
                <w:sz w:val="20"/>
                <w:szCs w:val="20"/>
              </w:rPr>
              <w:t>Embedding</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41B92E" w14:textId="77777777" w:rsidR="002D51DB" w:rsidRPr="00B90B4A" w:rsidRDefault="00000000">
            <w:pPr>
              <w:rPr>
                <w:lang w:val="en-GB"/>
              </w:rPr>
            </w:pPr>
            <w:r w:rsidRPr="00B90B4A">
              <w:rPr>
                <w:color w:val="333333"/>
                <w:sz w:val="20"/>
                <w:szCs w:val="20"/>
                <w:lang w:val="en-GB"/>
              </w:rPr>
              <w:t xml:space="preserve">sentence-transformers, </w:t>
            </w:r>
            <w:proofErr w:type="spellStart"/>
            <w:r w:rsidRPr="00B90B4A">
              <w:rPr>
                <w:color w:val="333333"/>
                <w:sz w:val="20"/>
                <w:szCs w:val="20"/>
                <w:lang w:val="en-GB"/>
              </w:rPr>
              <w:t>FinBERT</w:t>
            </w:r>
            <w:proofErr w:type="spellEnd"/>
            <w:r w:rsidRPr="00B90B4A">
              <w:rPr>
                <w:color w:val="333333"/>
                <w:sz w:val="20"/>
                <w:szCs w:val="20"/>
                <w:lang w:val="en-GB"/>
              </w:rPr>
              <w:t xml:space="preserve">, </w:t>
            </w:r>
            <w:proofErr w:type="spellStart"/>
            <w:r w:rsidRPr="00B90B4A">
              <w:rPr>
                <w:color w:val="333333"/>
                <w:sz w:val="20"/>
                <w:szCs w:val="20"/>
                <w:lang w:val="en-GB"/>
              </w:rPr>
              <w:t>spaCy</w:t>
            </w:r>
            <w:proofErr w:type="spellEnd"/>
            <w:r w:rsidRPr="00B90B4A">
              <w:rPr>
                <w:color w:val="333333"/>
                <w:sz w:val="20"/>
                <w:szCs w:val="20"/>
                <w:lang w:val="en-GB"/>
              </w:rPr>
              <w:t xml:space="preserve"> (NER), Loughran-McDonald dictionary</w:t>
            </w:r>
          </w:p>
        </w:tc>
      </w:tr>
      <w:tr w:rsidR="002D51DB" w14:paraId="2778BD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7806A" w14:textId="77777777" w:rsidR="002D51DB" w:rsidRDefault="00000000">
            <w:r>
              <w:rPr>
                <w:b/>
                <w:bCs/>
                <w:color w:val="333333"/>
                <w:sz w:val="20"/>
                <w:szCs w:val="20"/>
              </w:rPr>
              <w:t xml:space="preserve">Topic </w:t>
            </w:r>
            <w:proofErr w:type="spellStart"/>
            <w:r>
              <w:rPr>
                <w:b/>
                <w:bCs/>
                <w:color w:val="333333"/>
                <w:sz w:val="20"/>
                <w:szCs w:val="20"/>
              </w:rPr>
              <w:t>modeling</w:t>
            </w:r>
            <w:proofErr w:type="spellEnd"/>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65C1F" w14:textId="77777777" w:rsidR="002D51DB" w:rsidRDefault="00000000">
            <w:proofErr w:type="spellStart"/>
            <w:r>
              <w:rPr>
                <w:color w:val="333333"/>
                <w:sz w:val="20"/>
                <w:szCs w:val="20"/>
              </w:rPr>
              <w:t>BERTopic</w:t>
            </w:r>
            <w:proofErr w:type="spellEnd"/>
            <w:r>
              <w:rPr>
                <w:color w:val="333333"/>
                <w:sz w:val="20"/>
                <w:szCs w:val="20"/>
              </w:rPr>
              <w:t xml:space="preserve">, </w:t>
            </w:r>
            <w:proofErr w:type="spellStart"/>
            <w:r>
              <w:rPr>
                <w:color w:val="333333"/>
                <w:sz w:val="20"/>
                <w:szCs w:val="20"/>
              </w:rPr>
              <w:t>Gensim</w:t>
            </w:r>
            <w:proofErr w:type="spellEnd"/>
            <w:r>
              <w:rPr>
                <w:color w:val="333333"/>
                <w:sz w:val="20"/>
                <w:szCs w:val="20"/>
              </w:rPr>
              <w:t xml:space="preserve"> (LDA), Top2Vec</w:t>
            </w:r>
          </w:p>
        </w:tc>
      </w:tr>
      <w:tr w:rsidR="002D51DB" w:rsidRPr="00B90B4A" w14:paraId="2F3467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00E543" w14:textId="77777777" w:rsidR="002D51DB" w:rsidRDefault="00000000">
            <w:r>
              <w:rPr>
                <w:b/>
                <w:bCs/>
                <w:color w:val="333333"/>
                <w:sz w:val="20"/>
                <w:szCs w:val="20"/>
              </w:rPr>
              <w:t xml:space="preserve">Change-point </w:t>
            </w:r>
            <w:proofErr w:type="spellStart"/>
            <w:r>
              <w:rPr>
                <w:b/>
                <w:bCs/>
                <w:color w:val="333333"/>
                <w:sz w:val="20"/>
                <w:szCs w:val="20"/>
              </w:rPr>
              <w:t>detection</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683133" w14:textId="77777777" w:rsidR="002D51DB" w:rsidRPr="00B90B4A" w:rsidRDefault="00000000">
            <w:pPr>
              <w:rPr>
                <w:lang w:val="en-GB"/>
              </w:rPr>
            </w:pPr>
            <w:r w:rsidRPr="00B90B4A">
              <w:rPr>
                <w:color w:val="333333"/>
                <w:sz w:val="20"/>
                <w:szCs w:val="20"/>
                <w:lang w:val="en-GB"/>
              </w:rPr>
              <w:t>ruptures (Python), BOCPD, Kleinberg burst detection</w:t>
            </w:r>
          </w:p>
        </w:tc>
      </w:tr>
      <w:tr w:rsidR="002D51DB" w:rsidRPr="00B90B4A" w14:paraId="648DBF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0D71A" w14:textId="77777777" w:rsidR="002D51DB" w:rsidRDefault="00000000">
            <w:r>
              <w:rPr>
                <w:b/>
                <w:bCs/>
                <w:color w:val="333333"/>
                <w:sz w:val="20"/>
                <w:szCs w:val="20"/>
              </w:rPr>
              <w:t>Econometria</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8C156" w14:textId="77777777" w:rsidR="002D51DB" w:rsidRPr="00B90B4A" w:rsidRDefault="00000000">
            <w:pPr>
              <w:rPr>
                <w:lang w:val="en-GB"/>
              </w:rPr>
            </w:pPr>
            <w:r w:rsidRPr="00B90B4A">
              <w:rPr>
                <w:color w:val="333333"/>
                <w:sz w:val="20"/>
                <w:szCs w:val="20"/>
                <w:lang w:val="en-GB"/>
              </w:rPr>
              <w:t xml:space="preserve">lifelines (Cox PH), </w:t>
            </w:r>
            <w:proofErr w:type="spellStart"/>
            <w:r w:rsidRPr="00B90B4A">
              <w:rPr>
                <w:color w:val="333333"/>
                <w:sz w:val="20"/>
                <w:szCs w:val="20"/>
                <w:lang w:val="en-GB"/>
              </w:rPr>
              <w:t>statsmodels</w:t>
            </w:r>
            <w:proofErr w:type="spellEnd"/>
            <w:r w:rsidRPr="00B90B4A">
              <w:rPr>
                <w:color w:val="333333"/>
                <w:sz w:val="20"/>
                <w:szCs w:val="20"/>
                <w:lang w:val="en-GB"/>
              </w:rPr>
              <w:t xml:space="preserve"> (panel VAR, Granger), </w:t>
            </w:r>
            <w:proofErr w:type="spellStart"/>
            <w:r w:rsidRPr="00B90B4A">
              <w:rPr>
                <w:color w:val="333333"/>
                <w:sz w:val="20"/>
                <w:szCs w:val="20"/>
                <w:lang w:val="en-GB"/>
              </w:rPr>
              <w:t>linearmodels</w:t>
            </w:r>
            <w:proofErr w:type="spellEnd"/>
          </w:p>
        </w:tc>
      </w:tr>
      <w:tr w:rsidR="002D51DB" w:rsidRPr="00B90B4A" w14:paraId="3DE9BD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EF179A" w14:textId="77777777" w:rsidR="002D51DB" w:rsidRDefault="00000000">
            <w:r>
              <w:rPr>
                <w:b/>
                <w:bCs/>
                <w:color w:val="333333"/>
                <w:sz w:val="20"/>
                <w:szCs w:val="20"/>
              </w:rPr>
              <w:t>ML / Interpretabilità</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693381" w14:textId="77777777" w:rsidR="002D51DB" w:rsidRPr="00B90B4A" w:rsidRDefault="00000000">
            <w:pPr>
              <w:rPr>
                <w:lang w:val="en-GB"/>
              </w:rPr>
            </w:pPr>
            <w:r w:rsidRPr="00B90B4A">
              <w:rPr>
                <w:color w:val="333333"/>
                <w:sz w:val="20"/>
                <w:szCs w:val="20"/>
                <w:lang w:val="en-GB"/>
              </w:rPr>
              <w:t xml:space="preserve">scikit-learn, </w:t>
            </w:r>
            <w:proofErr w:type="spellStart"/>
            <w:r w:rsidRPr="00B90B4A">
              <w:rPr>
                <w:color w:val="333333"/>
                <w:sz w:val="20"/>
                <w:szCs w:val="20"/>
                <w:lang w:val="en-GB"/>
              </w:rPr>
              <w:t>XGBoost</w:t>
            </w:r>
            <w:proofErr w:type="spellEnd"/>
            <w:r w:rsidRPr="00B90B4A">
              <w:rPr>
                <w:color w:val="333333"/>
                <w:sz w:val="20"/>
                <w:szCs w:val="20"/>
                <w:lang w:val="en-GB"/>
              </w:rPr>
              <w:t>/</w:t>
            </w:r>
            <w:proofErr w:type="spellStart"/>
            <w:r w:rsidRPr="00B90B4A">
              <w:rPr>
                <w:color w:val="333333"/>
                <w:sz w:val="20"/>
                <w:szCs w:val="20"/>
                <w:lang w:val="en-GB"/>
              </w:rPr>
              <w:t>LightGBM</w:t>
            </w:r>
            <w:proofErr w:type="spellEnd"/>
            <w:r w:rsidRPr="00B90B4A">
              <w:rPr>
                <w:color w:val="333333"/>
                <w:sz w:val="20"/>
                <w:szCs w:val="20"/>
                <w:lang w:val="en-GB"/>
              </w:rPr>
              <w:t>, SHAP</w:t>
            </w:r>
          </w:p>
        </w:tc>
      </w:tr>
      <w:tr w:rsidR="002D51DB" w:rsidRPr="00B90B4A" w14:paraId="054F80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49EE4" w14:textId="77777777" w:rsidR="002D51DB" w:rsidRDefault="00000000">
            <w:r>
              <w:rPr>
                <w:b/>
                <w:bCs/>
                <w:color w:val="333333"/>
                <w:sz w:val="20"/>
                <w:szCs w:val="20"/>
              </w:rPr>
              <w:t>Scrittura</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075AE" w14:textId="77777777" w:rsidR="002D51DB" w:rsidRPr="00B90B4A" w:rsidRDefault="00000000">
            <w:pPr>
              <w:rPr>
                <w:lang w:val="en-GB"/>
              </w:rPr>
            </w:pPr>
            <w:r w:rsidRPr="00B90B4A">
              <w:rPr>
                <w:color w:val="333333"/>
                <w:sz w:val="20"/>
                <w:szCs w:val="20"/>
                <w:lang w:val="en-GB"/>
              </w:rPr>
              <w:t xml:space="preserve">LaTeX (Overleaf), </w:t>
            </w:r>
            <w:proofErr w:type="spellStart"/>
            <w:r w:rsidRPr="00B90B4A">
              <w:rPr>
                <w:color w:val="333333"/>
                <w:sz w:val="20"/>
                <w:szCs w:val="20"/>
                <w:lang w:val="en-GB"/>
              </w:rPr>
              <w:t>BibTeX</w:t>
            </w:r>
            <w:proofErr w:type="spellEnd"/>
            <w:r w:rsidRPr="00B90B4A">
              <w:rPr>
                <w:color w:val="333333"/>
                <w:sz w:val="20"/>
                <w:szCs w:val="20"/>
                <w:lang w:val="en-GB"/>
              </w:rPr>
              <w:t>, matplotlib/seaborn per figure</w:t>
            </w:r>
          </w:p>
        </w:tc>
      </w:tr>
    </w:tbl>
    <w:p w14:paraId="560C5A23" w14:textId="77777777" w:rsidR="002D51DB" w:rsidRPr="00B90B4A" w:rsidRDefault="002D51DB">
      <w:pPr>
        <w:spacing w:after="60"/>
        <w:rPr>
          <w:lang w:val="en-GB"/>
        </w:rPr>
      </w:pPr>
    </w:p>
    <w:p w14:paraId="32EAD69E" w14:textId="77777777" w:rsidR="002D51DB" w:rsidRDefault="00000000">
      <w:pPr>
        <w:pStyle w:val="Titolo2"/>
      </w:pPr>
      <w:r>
        <w:t>Milestones decisionali</w:t>
      </w:r>
    </w:p>
    <w:p w14:paraId="7638466F" w14:textId="77777777" w:rsidR="002D51DB" w:rsidRDefault="00000000">
      <w:pPr>
        <w:spacing w:after="120" w:line="276" w:lineRule="auto"/>
        <w:jc w:val="both"/>
      </w:pPr>
      <w:r>
        <w:rPr>
          <w:color w:val="333333"/>
        </w:rPr>
        <w:t>Il piano include tre punti di decisione espliciti in cui valutare il proseguimento e l’eventuale ricalibrazione:</w:t>
      </w:r>
    </w:p>
    <w:p w14:paraId="67F304C3" w14:textId="77777777" w:rsidR="002D51DB" w:rsidRDefault="00000000">
      <w:pPr>
        <w:pStyle w:val="Paragrafoelenco"/>
        <w:numPr>
          <w:ilvl w:val="0"/>
          <w:numId w:val="13"/>
        </w:numPr>
        <w:spacing w:after="60" w:line="276" w:lineRule="auto"/>
      </w:pPr>
      <w:r>
        <w:rPr>
          <w:b/>
          <w:bCs/>
          <w:color w:val="333333"/>
        </w:rPr>
        <w:t xml:space="preserve">Fine Fase 1 (Mese 2): </w:t>
      </w:r>
      <w:r>
        <w:rPr>
          <w:color w:val="333333"/>
        </w:rPr>
        <w:t xml:space="preserve">il database è operativo e la copertura è adeguata? I problemi di </w:t>
      </w:r>
      <w:proofErr w:type="spellStart"/>
      <w:r>
        <w:rPr>
          <w:color w:val="333333"/>
        </w:rPr>
        <w:t>encoding</w:t>
      </w:r>
      <w:proofErr w:type="spellEnd"/>
      <w:r>
        <w:rPr>
          <w:color w:val="333333"/>
        </w:rPr>
        <w:t xml:space="preserve"> nei CSV sono stati risolti? La copertura temporale delle cinque testate è uniforme o presenta </w:t>
      </w:r>
      <w:proofErr w:type="gramStart"/>
      <w:r>
        <w:rPr>
          <w:color w:val="333333"/>
        </w:rPr>
        <w:t>gap</w:t>
      </w:r>
      <w:proofErr w:type="gramEnd"/>
      <w:r>
        <w:rPr>
          <w:color w:val="333333"/>
        </w:rPr>
        <w:t xml:space="preserve"> significativi? Se la copertura di alcune testate è fortemente sbilanciata, decidere se normalizzare per fonte o restringere il campione.</w:t>
      </w:r>
    </w:p>
    <w:p w14:paraId="710A912B" w14:textId="77777777" w:rsidR="002D51DB" w:rsidRDefault="00000000">
      <w:pPr>
        <w:pStyle w:val="Paragrafoelenco"/>
        <w:numPr>
          <w:ilvl w:val="0"/>
          <w:numId w:val="13"/>
        </w:numPr>
        <w:spacing w:after="60" w:line="276" w:lineRule="auto"/>
      </w:pPr>
      <w:r>
        <w:rPr>
          <w:b/>
          <w:bCs/>
          <w:color w:val="333333"/>
        </w:rPr>
        <w:t xml:space="preserve">Fine Fase 3 (Mese 7): </w:t>
      </w:r>
      <w:r>
        <w:rPr>
          <w:color w:val="333333"/>
        </w:rPr>
        <w:t xml:space="preserve">i risultati retrospettivi sono sufficientemente solidi per un primo paper? Se sì, valutare una </w:t>
      </w:r>
      <w:proofErr w:type="spellStart"/>
      <w:r>
        <w:rPr>
          <w:color w:val="333333"/>
        </w:rPr>
        <w:t>submission</w:t>
      </w:r>
      <w:proofErr w:type="spellEnd"/>
      <w:r>
        <w:rPr>
          <w:color w:val="333333"/>
        </w:rPr>
        <w:t xml:space="preserve"> anticipata del paper retrospettivo. Se i risultati sono deboli (es. t* instabile, lead–lag non significativi), riconsiderare la definizione degli indicatori.</w:t>
      </w:r>
    </w:p>
    <w:p w14:paraId="3D7000C7" w14:textId="77777777" w:rsidR="002D51DB" w:rsidRDefault="00000000">
      <w:pPr>
        <w:pStyle w:val="Paragrafoelenco"/>
        <w:numPr>
          <w:ilvl w:val="0"/>
          <w:numId w:val="13"/>
        </w:numPr>
        <w:spacing w:after="60" w:line="276" w:lineRule="auto"/>
      </w:pPr>
      <w:r>
        <w:rPr>
          <w:b/>
          <w:bCs/>
          <w:color w:val="333333"/>
        </w:rPr>
        <w:lastRenderedPageBreak/>
        <w:t xml:space="preserve">Fine Fase 4 (Mese 9): </w:t>
      </w:r>
      <w:r>
        <w:rPr>
          <w:color w:val="333333"/>
        </w:rPr>
        <w:t xml:space="preserve">il modello </w:t>
      </w:r>
      <w:proofErr w:type="spellStart"/>
      <w:r>
        <w:rPr>
          <w:color w:val="333333"/>
        </w:rPr>
        <w:t>forward-looking</w:t>
      </w:r>
      <w:proofErr w:type="spellEnd"/>
      <w:r>
        <w:rPr>
          <w:color w:val="333333"/>
        </w:rPr>
        <w:t xml:space="preserve"> ha performance predittiva accettabile? Se l’AUC-ROC è basso, il contributo potrebbe essere più metodologico (framework + indicatori) che predittivo, e il framing del paper va adattato di conseguenza.</w:t>
      </w:r>
    </w:p>
    <w:sectPr w:rsidR="002D51DB">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2EACE" w14:textId="77777777" w:rsidR="00EF2BCB" w:rsidRDefault="00EF2BCB">
      <w:r>
        <w:separator/>
      </w:r>
    </w:p>
  </w:endnote>
  <w:endnote w:type="continuationSeparator" w:id="0">
    <w:p w14:paraId="2DA38346" w14:textId="77777777" w:rsidR="00EF2BCB" w:rsidRDefault="00EF2B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87AB9" w14:textId="49806496" w:rsidR="002D51DB" w:rsidRDefault="00000000">
    <w:pPr>
      <w:pBdr>
        <w:top w:val="single" w:sz="4" w:space="4" w:color="2E75B6"/>
      </w:pBdr>
      <w:jc w:val="center"/>
    </w:pPr>
    <w:r>
      <w:rPr>
        <w:color w:val="999999"/>
        <w:sz w:val="18"/>
        <w:szCs w:val="18"/>
      </w:rPr>
      <w:t xml:space="preserve">Pagina </w:t>
    </w:r>
    <w:r>
      <w:rPr>
        <w:color w:val="999999"/>
        <w:sz w:val="18"/>
        <w:szCs w:val="18"/>
      </w:rPr>
      <w:fldChar w:fldCharType="begin"/>
    </w:r>
    <w:r>
      <w:rPr>
        <w:color w:val="999999"/>
        <w:sz w:val="18"/>
        <w:szCs w:val="18"/>
      </w:rPr>
      <w:instrText>PAGE</w:instrText>
    </w:r>
    <w:r>
      <w:rPr>
        <w:color w:val="999999"/>
        <w:sz w:val="18"/>
        <w:szCs w:val="18"/>
      </w:rPr>
      <w:fldChar w:fldCharType="separate"/>
    </w:r>
    <w:r w:rsidR="00B90B4A">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96CBE" w14:textId="77777777" w:rsidR="00EF2BCB" w:rsidRDefault="00EF2BCB">
      <w:r>
        <w:separator/>
      </w:r>
    </w:p>
  </w:footnote>
  <w:footnote w:type="continuationSeparator" w:id="0">
    <w:p w14:paraId="6B1D723E" w14:textId="77777777" w:rsidR="00EF2BCB" w:rsidRDefault="00EF2B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365DD" w14:textId="77777777" w:rsidR="002D51DB" w:rsidRDefault="00000000">
    <w:pPr>
      <w:pBdr>
        <w:bottom w:val="single" w:sz="4" w:space="4" w:color="2E75B6"/>
      </w:pBdr>
    </w:pPr>
    <w:r>
      <w:rPr>
        <w:i/>
        <w:iCs/>
        <w:color w:val="999999"/>
        <w:sz w:val="18"/>
        <w:szCs w:val="18"/>
      </w:rPr>
      <w:t xml:space="preserve">Piano Operativo – Risk </w:t>
    </w:r>
    <w:proofErr w:type="spellStart"/>
    <w:r>
      <w:rPr>
        <w:i/>
        <w:iCs/>
        <w:color w:val="999999"/>
        <w:sz w:val="18"/>
        <w:szCs w:val="18"/>
      </w:rPr>
      <w:t>Emergence</w:t>
    </w:r>
    <w:proofErr w:type="spellEnd"/>
    <w:r>
      <w:rPr>
        <w:i/>
        <w:iCs/>
        <w:color w:val="999999"/>
        <w:sz w:val="18"/>
        <w:szCs w:val="18"/>
      </w:rPr>
      <w:t xml:space="preserv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42806"/>
    <w:multiLevelType w:val="hybridMultilevel"/>
    <w:tmpl w:val="4DF89C1A"/>
    <w:lvl w:ilvl="0" w:tplc="36E429D4">
      <w:start w:val="1"/>
      <w:numFmt w:val="decimal"/>
      <w:lvlText w:val="%1."/>
      <w:lvlJc w:val="left"/>
      <w:pPr>
        <w:ind w:left="720" w:hanging="360"/>
      </w:pPr>
    </w:lvl>
    <w:lvl w:ilvl="1" w:tplc="1A9E7A70">
      <w:numFmt w:val="decimal"/>
      <w:lvlText w:val=""/>
      <w:lvlJc w:val="left"/>
    </w:lvl>
    <w:lvl w:ilvl="2" w:tplc="B2E6B976">
      <w:numFmt w:val="decimal"/>
      <w:lvlText w:val=""/>
      <w:lvlJc w:val="left"/>
    </w:lvl>
    <w:lvl w:ilvl="3" w:tplc="5C36E104">
      <w:numFmt w:val="decimal"/>
      <w:lvlText w:val=""/>
      <w:lvlJc w:val="left"/>
    </w:lvl>
    <w:lvl w:ilvl="4" w:tplc="ED8E0D8A">
      <w:numFmt w:val="decimal"/>
      <w:lvlText w:val=""/>
      <w:lvlJc w:val="left"/>
    </w:lvl>
    <w:lvl w:ilvl="5" w:tplc="E8886D9E">
      <w:numFmt w:val="decimal"/>
      <w:lvlText w:val=""/>
      <w:lvlJc w:val="left"/>
    </w:lvl>
    <w:lvl w:ilvl="6" w:tplc="DE2A8262">
      <w:numFmt w:val="decimal"/>
      <w:lvlText w:val=""/>
      <w:lvlJc w:val="left"/>
    </w:lvl>
    <w:lvl w:ilvl="7" w:tplc="8AEE3C78">
      <w:numFmt w:val="decimal"/>
      <w:lvlText w:val=""/>
      <w:lvlJc w:val="left"/>
    </w:lvl>
    <w:lvl w:ilvl="8" w:tplc="4C4A071A">
      <w:numFmt w:val="decimal"/>
      <w:lvlText w:val=""/>
      <w:lvlJc w:val="left"/>
    </w:lvl>
  </w:abstractNum>
  <w:abstractNum w:abstractNumId="1" w15:restartNumberingAfterBreak="0">
    <w:nsid w:val="1365326F"/>
    <w:multiLevelType w:val="hybridMultilevel"/>
    <w:tmpl w:val="EF38F522"/>
    <w:lvl w:ilvl="0" w:tplc="BE9AB1F0">
      <w:start w:val="1"/>
      <w:numFmt w:val="decimal"/>
      <w:lvlText w:val="%1."/>
      <w:lvlJc w:val="left"/>
      <w:pPr>
        <w:ind w:left="720" w:hanging="360"/>
      </w:pPr>
    </w:lvl>
    <w:lvl w:ilvl="1" w:tplc="E7A68264">
      <w:numFmt w:val="decimal"/>
      <w:lvlText w:val=""/>
      <w:lvlJc w:val="left"/>
    </w:lvl>
    <w:lvl w:ilvl="2" w:tplc="C11AAD96">
      <w:numFmt w:val="decimal"/>
      <w:lvlText w:val=""/>
      <w:lvlJc w:val="left"/>
    </w:lvl>
    <w:lvl w:ilvl="3" w:tplc="E1400768">
      <w:numFmt w:val="decimal"/>
      <w:lvlText w:val=""/>
      <w:lvlJc w:val="left"/>
    </w:lvl>
    <w:lvl w:ilvl="4" w:tplc="743463FE">
      <w:numFmt w:val="decimal"/>
      <w:lvlText w:val=""/>
      <w:lvlJc w:val="left"/>
    </w:lvl>
    <w:lvl w:ilvl="5" w:tplc="666E0430">
      <w:numFmt w:val="decimal"/>
      <w:lvlText w:val=""/>
      <w:lvlJc w:val="left"/>
    </w:lvl>
    <w:lvl w:ilvl="6" w:tplc="1326200C">
      <w:numFmt w:val="decimal"/>
      <w:lvlText w:val=""/>
      <w:lvlJc w:val="left"/>
    </w:lvl>
    <w:lvl w:ilvl="7" w:tplc="D48A5C5C">
      <w:numFmt w:val="decimal"/>
      <w:lvlText w:val=""/>
      <w:lvlJc w:val="left"/>
    </w:lvl>
    <w:lvl w:ilvl="8" w:tplc="AF8283BA">
      <w:numFmt w:val="decimal"/>
      <w:lvlText w:val=""/>
      <w:lvlJc w:val="left"/>
    </w:lvl>
  </w:abstractNum>
  <w:abstractNum w:abstractNumId="2" w15:restartNumberingAfterBreak="0">
    <w:nsid w:val="1ABC4D61"/>
    <w:multiLevelType w:val="hybridMultilevel"/>
    <w:tmpl w:val="705602D8"/>
    <w:lvl w:ilvl="0" w:tplc="7E2CF166">
      <w:start w:val="1"/>
      <w:numFmt w:val="decimal"/>
      <w:lvlText w:val="%1."/>
      <w:lvlJc w:val="left"/>
      <w:pPr>
        <w:ind w:left="720" w:hanging="360"/>
      </w:pPr>
    </w:lvl>
    <w:lvl w:ilvl="1" w:tplc="8AAC8048">
      <w:numFmt w:val="decimal"/>
      <w:lvlText w:val=""/>
      <w:lvlJc w:val="left"/>
    </w:lvl>
    <w:lvl w:ilvl="2" w:tplc="C5167274">
      <w:numFmt w:val="decimal"/>
      <w:lvlText w:val=""/>
      <w:lvlJc w:val="left"/>
    </w:lvl>
    <w:lvl w:ilvl="3" w:tplc="417243FA">
      <w:numFmt w:val="decimal"/>
      <w:lvlText w:val=""/>
      <w:lvlJc w:val="left"/>
    </w:lvl>
    <w:lvl w:ilvl="4" w:tplc="20F018B2">
      <w:numFmt w:val="decimal"/>
      <w:lvlText w:val=""/>
      <w:lvlJc w:val="left"/>
    </w:lvl>
    <w:lvl w:ilvl="5" w:tplc="BCE422F2">
      <w:numFmt w:val="decimal"/>
      <w:lvlText w:val=""/>
      <w:lvlJc w:val="left"/>
    </w:lvl>
    <w:lvl w:ilvl="6" w:tplc="F56A9E08">
      <w:numFmt w:val="decimal"/>
      <w:lvlText w:val=""/>
      <w:lvlJc w:val="left"/>
    </w:lvl>
    <w:lvl w:ilvl="7" w:tplc="38CA28DC">
      <w:numFmt w:val="decimal"/>
      <w:lvlText w:val=""/>
      <w:lvlJc w:val="left"/>
    </w:lvl>
    <w:lvl w:ilvl="8" w:tplc="ECECB58E">
      <w:numFmt w:val="decimal"/>
      <w:lvlText w:val=""/>
      <w:lvlJc w:val="left"/>
    </w:lvl>
  </w:abstractNum>
  <w:abstractNum w:abstractNumId="3" w15:restartNumberingAfterBreak="0">
    <w:nsid w:val="1D6F6FC6"/>
    <w:multiLevelType w:val="hybridMultilevel"/>
    <w:tmpl w:val="B5446972"/>
    <w:lvl w:ilvl="0" w:tplc="C20A79DC">
      <w:start w:val="1"/>
      <w:numFmt w:val="decimal"/>
      <w:lvlText w:val="%1."/>
      <w:lvlJc w:val="left"/>
      <w:pPr>
        <w:ind w:left="720" w:hanging="360"/>
      </w:pPr>
    </w:lvl>
    <w:lvl w:ilvl="1" w:tplc="611A8FFE">
      <w:numFmt w:val="decimal"/>
      <w:lvlText w:val=""/>
      <w:lvlJc w:val="left"/>
    </w:lvl>
    <w:lvl w:ilvl="2" w:tplc="84B0D90A">
      <w:numFmt w:val="decimal"/>
      <w:lvlText w:val=""/>
      <w:lvlJc w:val="left"/>
    </w:lvl>
    <w:lvl w:ilvl="3" w:tplc="F382578C">
      <w:numFmt w:val="decimal"/>
      <w:lvlText w:val=""/>
      <w:lvlJc w:val="left"/>
    </w:lvl>
    <w:lvl w:ilvl="4" w:tplc="1A6AAAA0">
      <w:numFmt w:val="decimal"/>
      <w:lvlText w:val=""/>
      <w:lvlJc w:val="left"/>
    </w:lvl>
    <w:lvl w:ilvl="5" w:tplc="3AECF086">
      <w:numFmt w:val="decimal"/>
      <w:lvlText w:val=""/>
      <w:lvlJc w:val="left"/>
    </w:lvl>
    <w:lvl w:ilvl="6" w:tplc="04941AD2">
      <w:numFmt w:val="decimal"/>
      <w:lvlText w:val=""/>
      <w:lvlJc w:val="left"/>
    </w:lvl>
    <w:lvl w:ilvl="7" w:tplc="6D3AAE8A">
      <w:numFmt w:val="decimal"/>
      <w:lvlText w:val=""/>
      <w:lvlJc w:val="left"/>
    </w:lvl>
    <w:lvl w:ilvl="8" w:tplc="96908E20">
      <w:numFmt w:val="decimal"/>
      <w:lvlText w:val=""/>
      <w:lvlJc w:val="left"/>
    </w:lvl>
  </w:abstractNum>
  <w:abstractNum w:abstractNumId="4" w15:restartNumberingAfterBreak="0">
    <w:nsid w:val="1F245F37"/>
    <w:multiLevelType w:val="hybridMultilevel"/>
    <w:tmpl w:val="0994EBD0"/>
    <w:lvl w:ilvl="0" w:tplc="42D41256">
      <w:start w:val="1"/>
      <w:numFmt w:val="decimal"/>
      <w:lvlText w:val="%1."/>
      <w:lvlJc w:val="left"/>
      <w:pPr>
        <w:ind w:left="720" w:hanging="360"/>
      </w:pPr>
    </w:lvl>
    <w:lvl w:ilvl="1" w:tplc="CB6EBCE6">
      <w:numFmt w:val="decimal"/>
      <w:lvlText w:val=""/>
      <w:lvlJc w:val="left"/>
    </w:lvl>
    <w:lvl w:ilvl="2" w:tplc="42869080">
      <w:numFmt w:val="decimal"/>
      <w:lvlText w:val=""/>
      <w:lvlJc w:val="left"/>
    </w:lvl>
    <w:lvl w:ilvl="3" w:tplc="22021A96">
      <w:numFmt w:val="decimal"/>
      <w:lvlText w:val=""/>
      <w:lvlJc w:val="left"/>
    </w:lvl>
    <w:lvl w:ilvl="4" w:tplc="7016622A">
      <w:numFmt w:val="decimal"/>
      <w:lvlText w:val=""/>
      <w:lvlJc w:val="left"/>
    </w:lvl>
    <w:lvl w:ilvl="5" w:tplc="55947EB4">
      <w:numFmt w:val="decimal"/>
      <w:lvlText w:val=""/>
      <w:lvlJc w:val="left"/>
    </w:lvl>
    <w:lvl w:ilvl="6" w:tplc="5ABA17A0">
      <w:numFmt w:val="decimal"/>
      <w:lvlText w:val=""/>
      <w:lvlJc w:val="left"/>
    </w:lvl>
    <w:lvl w:ilvl="7" w:tplc="9DC8A00A">
      <w:numFmt w:val="decimal"/>
      <w:lvlText w:val=""/>
      <w:lvlJc w:val="left"/>
    </w:lvl>
    <w:lvl w:ilvl="8" w:tplc="07D604BC">
      <w:numFmt w:val="decimal"/>
      <w:lvlText w:val=""/>
      <w:lvlJc w:val="left"/>
    </w:lvl>
  </w:abstractNum>
  <w:abstractNum w:abstractNumId="5" w15:restartNumberingAfterBreak="0">
    <w:nsid w:val="2426021C"/>
    <w:multiLevelType w:val="hybridMultilevel"/>
    <w:tmpl w:val="34087C82"/>
    <w:lvl w:ilvl="0" w:tplc="EFA2C484">
      <w:start w:val="1"/>
      <w:numFmt w:val="decimal"/>
      <w:lvlText w:val="%1."/>
      <w:lvlJc w:val="left"/>
      <w:pPr>
        <w:ind w:left="720" w:hanging="360"/>
      </w:pPr>
    </w:lvl>
    <w:lvl w:ilvl="1" w:tplc="A97C791C">
      <w:numFmt w:val="decimal"/>
      <w:lvlText w:val=""/>
      <w:lvlJc w:val="left"/>
    </w:lvl>
    <w:lvl w:ilvl="2" w:tplc="918643E4">
      <w:numFmt w:val="decimal"/>
      <w:lvlText w:val=""/>
      <w:lvlJc w:val="left"/>
    </w:lvl>
    <w:lvl w:ilvl="3" w:tplc="1388940C">
      <w:numFmt w:val="decimal"/>
      <w:lvlText w:val=""/>
      <w:lvlJc w:val="left"/>
    </w:lvl>
    <w:lvl w:ilvl="4" w:tplc="2CBCA0FC">
      <w:numFmt w:val="decimal"/>
      <w:lvlText w:val=""/>
      <w:lvlJc w:val="left"/>
    </w:lvl>
    <w:lvl w:ilvl="5" w:tplc="81FE951A">
      <w:numFmt w:val="decimal"/>
      <w:lvlText w:val=""/>
      <w:lvlJc w:val="left"/>
    </w:lvl>
    <w:lvl w:ilvl="6" w:tplc="6F42A928">
      <w:numFmt w:val="decimal"/>
      <w:lvlText w:val=""/>
      <w:lvlJc w:val="left"/>
    </w:lvl>
    <w:lvl w:ilvl="7" w:tplc="1284A404">
      <w:numFmt w:val="decimal"/>
      <w:lvlText w:val=""/>
      <w:lvlJc w:val="left"/>
    </w:lvl>
    <w:lvl w:ilvl="8" w:tplc="BC68836C">
      <w:numFmt w:val="decimal"/>
      <w:lvlText w:val=""/>
      <w:lvlJc w:val="left"/>
    </w:lvl>
  </w:abstractNum>
  <w:abstractNum w:abstractNumId="6" w15:restartNumberingAfterBreak="0">
    <w:nsid w:val="26833A5A"/>
    <w:multiLevelType w:val="hybridMultilevel"/>
    <w:tmpl w:val="A67697D0"/>
    <w:lvl w:ilvl="0" w:tplc="9E662990">
      <w:start w:val="1"/>
      <w:numFmt w:val="bullet"/>
      <w:lvlText w:val="•"/>
      <w:lvlJc w:val="left"/>
      <w:pPr>
        <w:ind w:left="720" w:hanging="360"/>
      </w:pPr>
    </w:lvl>
    <w:lvl w:ilvl="1" w:tplc="DF2C255C">
      <w:numFmt w:val="decimal"/>
      <w:lvlText w:val=""/>
      <w:lvlJc w:val="left"/>
    </w:lvl>
    <w:lvl w:ilvl="2" w:tplc="80746A38">
      <w:numFmt w:val="decimal"/>
      <w:lvlText w:val=""/>
      <w:lvlJc w:val="left"/>
    </w:lvl>
    <w:lvl w:ilvl="3" w:tplc="40100778">
      <w:numFmt w:val="decimal"/>
      <w:lvlText w:val=""/>
      <w:lvlJc w:val="left"/>
    </w:lvl>
    <w:lvl w:ilvl="4" w:tplc="E8720CB4">
      <w:numFmt w:val="decimal"/>
      <w:lvlText w:val=""/>
      <w:lvlJc w:val="left"/>
    </w:lvl>
    <w:lvl w:ilvl="5" w:tplc="C9D81BB6">
      <w:numFmt w:val="decimal"/>
      <w:lvlText w:val=""/>
      <w:lvlJc w:val="left"/>
    </w:lvl>
    <w:lvl w:ilvl="6" w:tplc="72DA823E">
      <w:numFmt w:val="decimal"/>
      <w:lvlText w:val=""/>
      <w:lvlJc w:val="left"/>
    </w:lvl>
    <w:lvl w:ilvl="7" w:tplc="130AEF1C">
      <w:numFmt w:val="decimal"/>
      <w:lvlText w:val=""/>
      <w:lvlJc w:val="left"/>
    </w:lvl>
    <w:lvl w:ilvl="8" w:tplc="9516E236">
      <w:numFmt w:val="decimal"/>
      <w:lvlText w:val=""/>
      <w:lvlJc w:val="left"/>
    </w:lvl>
  </w:abstractNum>
  <w:abstractNum w:abstractNumId="7" w15:restartNumberingAfterBreak="0">
    <w:nsid w:val="26BD615A"/>
    <w:multiLevelType w:val="hybridMultilevel"/>
    <w:tmpl w:val="25103496"/>
    <w:lvl w:ilvl="0" w:tplc="ED00A6EC">
      <w:start w:val="1"/>
      <w:numFmt w:val="bullet"/>
      <w:lvlText w:val="•"/>
      <w:lvlJc w:val="left"/>
      <w:pPr>
        <w:ind w:left="720" w:hanging="360"/>
      </w:pPr>
    </w:lvl>
    <w:lvl w:ilvl="1" w:tplc="56C41BBA">
      <w:numFmt w:val="decimal"/>
      <w:lvlText w:val=""/>
      <w:lvlJc w:val="left"/>
    </w:lvl>
    <w:lvl w:ilvl="2" w:tplc="324A9E82">
      <w:numFmt w:val="decimal"/>
      <w:lvlText w:val=""/>
      <w:lvlJc w:val="left"/>
    </w:lvl>
    <w:lvl w:ilvl="3" w:tplc="4DD0A3AE">
      <w:numFmt w:val="decimal"/>
      <w:lvlText w:val=""/>
      <w:lvlJc w:val="left"/>
    </w:lvl>
    <w:lvl w:ilvl="4" w:tplc="EA182D56">
      <w:numFmt w:val="decimal"/>
      <w:lvlText w:val=""/>
      <w:lvlJc w:val="left"/>
    </w:lvl>
    <w:lvl w:ilvl="5" w:tplc="B01A4DAC">
      <w:numFmt w:val="decimal"/>
      <w:lvlText w:val=""/>
      <w:lvlJc w:val="left"/>
    </w:lvl>
    <w:lvl w:ilvl="6" w:tplc="4C74577A">
      <w:numFmt w:val="decimal"/>
      <w:lvlText w:val=""/>
      <w:lvlJc w:val="left"/>
    </w:lvl>
    <w:lvl w:ilvl="7" w:tplc="77A681AE">
      <w:numFmt w:val="decimal"/>
      <w:lvlText w:val=""/>
      <w:lvlJc w:val="left"/>
    </w:lvl>
    <w:lvl w:ilvl="8" w:tplc="637CE3A4">
      <w:numFmt w:val="decimal"/>
      <w:lvlText w:val=""/>
      <w:lvlJc w:val="left"/>
    </w:lvl>
  </w:abstractNum>
  <w:abstractNum w:abstractNumId="8" w15:restartNumberingAfterBreak="0">
    <w:nsid w:val="2A471F44"/>
    <w:multiLevelType w:val="hybridMultilevel"/>
    <w:tmpl w:val="51A0F496"/>
    <w:lvl w:ilvl="0" w:tplc="E6F28D92">
      <w:start w:val="1"/>
      <w:numFmt w:val="bullet"/>
      <w:lvlText w:val="•"/>
      <w:lvlJc w:val="left"/>
      <w:pPr>
        <w:ind w:left="720" w:hanging="360"/>
      </w:pPr>
    </w:lvl>
    <w:lvl w:ilvl="1" w:tplc="83105F3A">
      <w:numFmt w:val="decimal"/>
      <w:lvlText w:val=""/>
      <w:lvlJc w:val="left"/>
    </w:lvl>
    <w:lvl w:ilvl="2" w:tplc="BCE8957E">
      <w:numFmt w:val="decimal"/>
      <w:lvlText w:val=""/>
      <w:lvlJc w:val="left"/>
    </w:lvl>
    <w:lvl w:ilvl="3" w:tplc="75B298C6">
      <w:numFmt w:val="decimal"/>
      <w:lvlText w:val=""/>
      <w:lvlJc w:val="left"/>
    </w:lvl>
    <w:lvl w:ilvl="4" w:tplc="90B267B6">
      <w:numFmt w:val="decimal"/>
      <w:lvlText w:val=""/>
      <w:lvlJc w:val="left"/>
    </w:lvl>
    <w:lvl w:ilvl="5" w:tplc="3626DD82">
      <w:numFmt w:val="decimal"/>
      <w:lvlText w:val=""/>
      <w:lvlJc w:val="left"/>
    </w:lvl>
    <w:lvl w:ilvl="6" w:tplc="669CDBBC">
      <w:numFmt w:val="decimal"/>
      <w:lvlText w:val=""/>
      <w:lvlJc w:val="left"/>
    </w:lvl>
    <w:lvl w:ilvl="7" w:tplc="578E4D72">
      <w:numFmt w:val="decimal"/>
      <w:lvlText w:val=""/>
      <w:lvlJc w:val="left"/>
    </w:lvl>
    <w:lvl w:ilvl="8" w:tplc="79288C00">
      <w:numFmt w:val="decimal"/>
      <w:lvlText w:val=""/>
      <w:lvlJc w:val="left"/>
    </w:lvl>
  </w:abstractNum>
  <w:abstractNum w:abstractNumId="9" w15:restartNumberingAfterBreak="0">
    <w:nsid w:val="2D6B1C52"/>
    <w:multiLevelType w:val="hybridMultilevel"/>
    <w:tmpl w:val="40544F96"/>
    <w:lvl w:ilvl="0" w:tplc="BBF09A60">
      <w:start w:val="1"/>
      <w:numFmt w:val="bullet"/>
      <w:lvlText w:val="•"/>
      <w:lvlJc w:val="left"/>
      <w:pPr>
        <w:ind w:left="720" w:hanging="360"/>
      </w:pPr>
    </w:lvl>
    <w:lvl w:ilvl="1" w:tplc="DF16C8C6">
      <w:numFmt w:val="decimal"/>
      <w:lvlText w:val=""/>
      <w:lvlJc w:val="left"/>
    </w:lvl>
    <w:lvl w:ilvl="2" w:tplc="0898F616">
      <w:numFmt w:val="decimal"/>
      <w:lvlText w:val=""/>
      <w:lvlJc w:val="left"/>
    </w:lvl>
    <w:lvl w:ilvl="3" w:tplc="488A64A2">
      <w:numFmt w:val="decimal"/>
      <w:lvlText w:val=""/>
      <w:lvlJc w:val="left"/>
    </w:lvl>
    <w:lvl w:ilvl="4" w:tplc="0DCED622">
      <w:numFmt w:val="decimal"/>
      <w:lvlText w:val=""/>
      <w:lvlJc w:val="left"/>
    </w:lvl>
    <w:lvl w:ilvl="5" w:tplc="94B0B852">
      <w:numFmt w:val="decimal"/>
      <w:lvlText w:val=""/>
      <w:lvlJc w:val="left"/>
    </w:lvl>
    <w:lvl w:ilvl="6" w:tplc="C7EEB42E">
      <w:numFmt w:val="decimal"/>
      <w:lvlText w:val=""/>
      <w:lvlJc w:val="left"/>
    </w:lvl>
    <w:lvl w:ilvl="7" w:tplc="FE9890AA">
      <w:numFmt w:val="decimal"/>
      <w:lvlText w:val=""/>
      <w:lvlJc w:val="left"/>
    </w:lvl>
    <w:lvl w:ilvl="8" w:tplc="427E25DE">
      <w:numFmt w:val="decimal"/>
      <w:lvlText w:val=""/>
      <w:lvlJc w:val="left"/>
    </w:lvl>
  </w:abstractNum>
  <w:abstractNum w:abstractNumId="10" w15:restartNumberingAfterBreak="0">
    <w:nsid w:val="2DDE4EF0"/>
    <w:multiLevelType w:val="hybridMultilevel"/>
    <w:tmpl w:val="038A0E40"/>
    <w:lvl w:ilvl="0" w:tplc="E976D8D0">
      <w:start w:val="1"/>
      <w:numFmt w:val="decimal"/>
      <w:lvlText w:val="%1."/>
      <w:lvlJc w:val="left"/>
      <w:pPr>
        <w:ind w:left="720" w:hanging="360"/>
      </w:pPr>
    </w:lvl>
    <w:lvl w:ilvl="1" w:tplc="229899EE">
      <w:numFmt w:val="decimal"/>
      <w:lvlText w:val=""/>
      <w:lvlJc w:val="left"/>
    </w:lvl>
    <w:lvl w:ilvl="2" w:tplc="BE50B6FC">
      <w:numFmt w:val="decimal"/>
      <w:lvlText w:val=""/>
      <w:lvlJc w:val="left"/>
    </w:lvl>
    <w:lvl w:ilvl="3" w:tplc="860AC1B4">
      <w:numFmt w:val="decimal"/>
      <w:lvlText w:val=""/>
      <w:lvlJc w:val="left"/>
    </w:lvl>
    <w:lvl w:ilvl="4" w:tplc="9DD0DEA2">
      <w:numFmt w:val="decimal"/>
      <w:lvlText w:val=""/>
      <w:lvlJc w:val="left"/>
    </w:lvl>
    <w:lvl w:ilvl="5" w:tplc="A8BA51C4">
      <w:numFmt w:val="decimal"/>
      <w:lvlText w:val=""/>
      <w:lvlJc w:val="left"/>
    </w:lvl>
    <w:lvl w:ilvl="6" w:tplc="30302F4A">
      <w:numFmt w:val="decimal"/>
      <w:lvlText w:val=""/>
      <w:lvlJc w:val="left"/>
    </w:lvl>
    <w:lvl w:ilvl="7" w:tplc="AC301E8C">
      <w:numFmt w:val="decimal"/>
      <w:lvlText w:val=""/>
      <w:lvlJc w:val="left"/>
    </w:lvl>
    <w:lvl w:ilvl="8" w:tplc="547ED82C">
      <w:numFmt w:val="decimal"/>
      <w:lvlText w:val=""/>
      <w:lvlJc w:val="left"/>
    </w:lvl>
  </w:abstractNum>
  <w:abstractNum w:abstractNumId="11" w15:restartNumberingAfterBreak="0">
    <w:nsid w:val="325A592E"/>
    <w:multiLevelType w:val="hybridMultilevel"/>
    <w:tmpl w:val="228C960A"/>
    <w:lvl w:ilvl="0" w:tplc="87BE2E18">
      <w:start w:val="1"/>
      <w:numFmt w:val="bullet"/>
      <w:lvlText w:val="•"/>
      <w:lvlJc w:val="left"/>
      <w:pPr>
        <w:ind w:left="720" w:hanging="360"/>
      </w:pPr>
    </w:lvl>
    <w:lvl w:ilvl="1" w:tplc="981AC6F8">
      <w:numFmt w:val="decimal"/>
      <w:lvlText w:val=""/>
      <w:lvlJc w:val="left"/>
    </w:lvl>
    <w:lvl w:ilvl="2" w:tplc="92148A9E">
      <w:numFmt w:val="decimal"/>
      <w:lvlText w:val=""/>
      <w:lvlJc w:val="left"/>
    </w:lvl>
    <w:lvl w:ilvl="3" w:tplc="5B8EAA9C">
      <w:numFmt w:val="decimal"/>
      <w:lvlText w:val=""/>
      <w:lvlJc w:val="left"/>
    </w:lvl>
    <w:lvl w:ilvl="4" w:tplc="B6D80D72">
      <w:numFmt w:val="decimal"/>
      <w:lvlText w:val=""/>
      <w:lvlJc w:val="left"/>
    </w:lvl>
    <w:lvl w:ilvl="5" w:tplc="3CD2A604">
      <w:numFmt w:val="decimal"/>
      <w:lvlText w:val=""/>
      <w:lvlJc w:val="left"/>
    </w:lvl>
    <w:lvl w:ilvl="6" w:tplc="6AE662AE">
      <w:numFmt w:val="decimal"/>
      <w:lvlText w:val=""/>
      <w:lvlJc w:val="left"/>
    </w:lvl>
    <w:lvl w:ilvl="7" w:tplc="08A05572">
      <w:numFmt w:val="decimal"/>
      <w:lvlText w:val=""/>
      <w:lvlJc w:val="left"/>
    </w:lvl>
    <w:lvl w:ilvl="8" w:tplc="79C4E854">
      <w:numFmt w:val="decimal"/>
      <w:lvlText w:val=""/>
      <w:lvlJc w:val="left"/>
    </w:lvl>
  </w:abstractNum>
  <w:abstractNum w:abstractNumId="12" w15:restartNumberingAfterBreak="0">
    <w:nsid w:val="32F36209"/>
    <w:multiLevelType w:val="hybridMultilevel"/>
    <w:tmpl w:val="83A83F32"/>
    <w:lvl w:ilvl="0" w:tplc="BA8C379C">
      <w:start w:val="1"/>
      <w:numFmt w:val="bullet"/>
      <w:lvlText w:val="•"/>
      <w:lvlJc w:val="left"/>
      <w:pPr>
        <w:ind w:left="720" w:hanging="360"/>
      </w:pPr>
    </w:lvl>
    <w:lvl w:ilvl="1" w:tplc="B994EFA6">
      <w:numFmt w:val="decimal"/>
      <w:lvlText w:val=""/>
      <w:lvlJc w:val="left"/>
    </w:lvl>
    <w:lvl w:ilvl="2" w:tplc="6358847C">
      <w:numFmt w:val="decimal"/>
      <w:lvlText w:val=""/>
      <w:lvlJc w:val="left"/>
    </w:lvl>
    <w:lvl w:ilvl="3" w:tplc="0D28243A">
      <w:numFmt w:val="decimal"/>
      <w:lvlText w:val=""/>
      <w:lvlJc w:val="left"/>
    </w:lvl>
    <w:lvl w:ilvl="4" w:tplc="1D6C2E8E">
      <w:numFmt w:val="decimal"/>
      <w:lvlText w:val=""/>
      <w:lvlJc w:val="left"/>
    </w:lvl>
    <w:lvl w:ilvl="5" w:tplc="49268F50">
      <w:numFmt w:val="decimal"/>
      <w:lvlText w:val=""/>
      <w:lvlJc w:val="left"/>
    </w:lvl>
    <w:lvl w:ilvl="6" w:tplc="7EBEC87E">
      <w:numFmt w:val="decimal"/>
      <w:lvlText w:val=""/>
      <w:lvlJc w:val="left"/>
    </w:lvl>
    <w:lvl w:ilvl="7" w:tplc="483CA4B8">
      <w:numFmt w:val="decimal"/>
      <w:lvlText w:val=""/>
      <w:lvlJc w:val="left"/>
    </w:lvl>
    <w:lvl w:ilvl="8" w:tplc="D5F47F12">
      <w:numFmt w:val="decimal"/>
      <w:lvlText w:val=""/>
      <w:lvlJc w:val="left"/>
    </w:lvl>
  </w:abstractNum>
  <w:abstractNum w:abstractNumId="13" w15:restartNumberingAfterBreak="0">
    <w:nsid w:val="39F52972"/>
    <w:multiLevelType w:val="hybridMultilevel"/>
    <w:tmpl w:val="8174C23C"/>
    <w:lvl w:ilvl="0" w:tplc="02E0BC58">
      <w:start w:val="1"/>
      <w:numFmt w:val="decimal"/>
      <w:lvlText w:val="%1."/>
      <w:lvlJc w:val="left"/>
      <w:pPr>
        <w:ind w:left="720" w:hanging="360"/>
      </w:pPr>
    </w:lvl>
    <w:lvl w:ilvl="1" w:tplc="FFBC9E22">
      <w:numFmt w:val="decimal"/>
      <w:lvlText w:val=""/>
      <w:lvlJc w:val="left"/>
    </w:lvl>
    <w:lvl w:ilvl="2" w:tplc="129C405E">
      <w:numFmt w:val="decimal"/>
      <w:lvlText w:val=""/>
      <w:lvlJc w:val="left"/>
    </w:lvl>
    <w:lvl w:ilvl="3" w:tplc="E8CEBB58">
      <w:numFmt w:val="decimal"/>
      <w:lvlText w:val=""/>
      <w:lvlJc w:val="left"/>
    </w:lvl>
    <w:lvl w:ilvl="4" w:tplc="BE5C8750">
      <w:numFmt w:val="decimal"/>
      <w:lvlText w:val=""/>
      <w:lvlJc w:val="left"/>
    </w:lvl>
    <w:lvl w:ilvl="5" w:tplc="875EAE00">
      <w:numFmt w:val="decimal"/>
      <w:lvlText w:val=""/>
      <w:lvlJc w:val="left"/>
    </w:lvl>
    <w:lvl w:ilvl="6" w:tplc="D28619A2">
      <w:numFmt w:val="decimal"/>
      <w:lvlText w:val=""/>
      <w:lvlJc w:val="left"/>
    </w:lvl>
    <w:lvl w:ilvl="7" w:tplc="D14A9AD8">
      <w:numFmt w:val="decimal"/>
      <w:lvlText w:val=""/>
      <w:lvlJc w:val="left"/>
    </w:lvl>
    <w:lvl w:ilvl="8" w:tplc="FCB2DD46">
      <w:numFmt w:val="decimal"/>
      <w:lvlText w:val=""/>
      <w:lvlJc w:val="left"/>
    </w:lvl>
  </w:abstractNum>
  <w:abstractNum w:abstractNumId="14" w15:restartNumberingAfterBreak="0">
    <w:nsid w:val="3F1B1F46"/>
    <w:multiLevelType w:val="hybridMultilevel"/>
    <w:tmpl w:val="F0A20F78"/>
    <w:lvl w:ilvl="0" w:tplc="AC4EC394">
      <w:start w:val="1"/>
      <w:numFmt w:val="decimal"/>
      <w:lvlText w:val="%1."/>
      <w:lvlJc w:val="left"/>
      <w:pPr>
        <w:ind w:left="720" w:hanging="360"/>
      </w:pPr>
    </w:lvl>
    <w:lvl w:ilvl="1" w:tplc="78DC2B18">
      <w:numFmt w:val="decimal"/>
      <w:lvlText w:val=""/>
      <w:lvlJc w:val="left"/>
    </w:lvl>
    <w:lvl w:ilvl="2" w:tplc="AC720AD8">
      <w:numFmt w:val="decimal"/>
      <w:lvlText w:val=""/>
      <w:lvlJc w:val="left"/>
    </w:lvl>
    <w:lvl w:ilvl="3" w:tplc="5E72A838">
      <w:numFmt w:val="decimal"/>
      <w:lvlText w:val=""/>
      <w:lvlJc w:val="left"/>
    </w:lvl>
    <w:lvl w:ilvl="4" w:tplc="21309B94">
      <w:numFmt w:val="decimal"/>
      <w:lvlText w:val=""/>
      <w:lvlJc w:val="left"/>
    </w:lvl>
    <w:lvl w:ilvl="5" w:tplc="03A05D06">
      <w:numFmt w:val="decimal"/>
      <w:lvlText w:val=""/>
      <w:lvlJc w:val="left"/>
    </w:lvl>
    <w:lvl w:ilvl="6" w:tplc="1F80D98E">
      <w:numFmt w:val="decimal"/>
      <w:lvlText w:val=""/>
      <w:lvlJc w:val="left"/>
    </w:lvl>
    <w:lvl w:ilvl="7" w:tplc="C2D4DAD8">
      <w:numFmt w:val="decimal"/>
      <w:lvlText w:val=""/>
      <w:lvlJc w:val="left"/>
    </w:lvl>
    <w:lvl w:ilvl="8" w:tplc="27703CDE">
      <w:numFmt w:val="decimal"/>
      <w:lvlText w:val=""/>
      <w:lvlJc w:val="left"/>
    </w:lvl>
  </w:abstractNum>
  <w:abstractNum w:abstractNumId="15" w15:restartNumberingAfterBreak="0">
    <w:nsid w:val="41A87A41"/>
    <w:multiLevelType w:val="hybridMultilevel"/>
    <w:tmpl w:val="A9C0CFA0"/>
    <w:lvl w:ilvl="0" w:tplc="EAB0DF38">
      <w:start w:val="1"/>
      <w:numFmt w:val="bullet"/>
      <w:lvlText w:val="•"/>
      <w:lvlJc w:val="left"/>
      <w:pPr>
        <w:ind w:left="720" w:hanging="360"/>
      </w:pPr>
    </w:lvl>
    <w:lvl w:ilvl="1" w:tplc="2BA844EE">
      <w:numFmt w:val="decimal"/>
      <w:lvlText w:val=""/>
      <w:lvlJc w:val="left"/>
    </w:lvl>
    <w:lvl w:ilvl="2" w:tplc="ACF0E700">
      <w:numFmt w:val="decimal"/>
      <w:lvlText w:val=""/>
      <w:lvlJc w:val="left"/>
    </w:lvl>
    <w:lvl w:ilvl="3" w:tplc="A6E87F4C">
      <w:numFmt w:val="decimal"/>
      <w:lvlText w:val=""/>
      <w:lvlJc w:val="left"/>
    </w:lvl>
    <w:lvl w:ilvl="4" w:tplc="ED1834CA">
      <w:numFmt w:val="decimal"/>
      <w:lvlText w:val=""/>
      <w:lvlJc w:val="left"/>
    </w:lvl>
    <w:lvl w:ilvl="5" w:tplc="A5DC5A68">
      <w:numFmt w:val="decimal"/>
      <w:lvlText w:val=""/>
      <w:lvlJc w:val="left"/>
    </w:lvl>
    <w:lvl w:ilvl="6" w:tplc="DEA04AEC">
      <w:numFmt w:val="decimal"/>
      <w:lvlText w:val=""/>
      <w:lvlJc w:val="left"/>
    </w:lvl>
    <w:lvl w:ilvl="7" w:tplc="9B40526A">
      <w:numFmt w:val="decimal"/>
      <w:lvlText w:val=""/>
      <w:lvlJc w:val="left"/>
    </w:lvl>
    <w:lvl w:ilvl="8" w:tplc="1108AD7A">
      <w:numFmt w:val="decimal"/>
      <w:lvlText w:val=""/>
      <w:lvlJc w:val="left"/>
    </w:lvl>
  </w:abstractNum>
  <w:abstractNum w:abstractNumId="16" w15:restartNumberingAfterBreak="0">
    <w:nsid w:val="47E85ADA"/>
    <w:multiLevelType w:val="hybridMultilevel"/>
    <w:tmpl w:val="4A54053C"/>
    <w:lvl w:ilvl="0" w:tplc="3A26546A">
      <w:start w:val="1"/>
      <w:numFmt w:val="decimal"/>
      <w:lvlText w:val="%1."/>
      <w:lvlJc w:val="left"/>
      <w:pPr>
        <w:ind w:left="720" w:hanging="360"/>
      </w:pPr>
    </w:lvl>
    <w:lvl w:ilvl="1" w:tplc="F81AAF58">
      <w:numFmt w:val="decimal"/>
      <w:lvlText w:val=""/>
      <w:lvlJc w:val="left"/>
    </w:lvl>
    <w:lvl w:ilvl="2" w:tplc="4B4AE392">
      <w:numFmt w:val="decimal"/>
      <w:lvlText w:val=""/>
      <w:lvlJc w:val="left"/>
    </w:lvl>
    <w:lvl w:ilvl="3" w:tplc="EF649876">
      <w:numFmt w:val="decimal"/>
      <w:lvlText w:val=""/>
      <w:lvlJc w:val="left"/>
    </w:lvl>
    <w:lvl w:ilvl="4" w:tplc="5F640CA8">
      <w:numFmt w:val="decimal"/>
      <w:lvlText w:val=""/>
      <w:lvlJc w:val="left"/>
    </w:lvl>
    <w:lvl w:ilvl="5" w:tplc="0AF6DF38">
      <w:numFmt w:val="decimal"/>
      <w:lvlText w:val=""/>
      <w:lvlJc w:val="left"/>
    </w:lvl>
    <w:lvl w:ilvl="6" w:tplc="1D08FD6A">
      <w:numFmt w:val="decimal"/>
      <w:lvlText w:val=""/>
      <w:lvlJc w:val="left"/>
    </w:lvl>
    <w:lvl w:ilvl="7" w:tplc="6B3EAEE6">
      <w:numFmt w:val="decimal"/>
      <w:lvlText w:val=""/>
      <w:lvlJc w:val="left"/>
    </w:lvl>
    <w:lvl w:ilvl="8" w:tplc="320C603C">
      <w:numFmt w:val="decimal"/>
      <w:lvlText w:val=""/>
      <w:lvlJc w:val="left"/>
    </w:lvl>
  </w:abstractNum>
  <w:abstractNum w:abstractNumId="17" w15:restartNumberingAfterBreak="0">
    <w:nsid w:val="48DF4826"/>
    <w:multiLevelType w:val="hybridMultilevel"/>
    <w:tmpl w:val="458C5CD4"/>
    <w:lvl w:ilvl="0" w:tplc="91F6F640">
      <w:start w:val="1"/>
      <w:numFmt w:val="bullet"/>
      <w:lvlText w:val="•"/>
      <w:lvlJc w:val="left"/>
      <w:pPr>
        <w:ind w:left="720" w:hanging="360"/>
      </w:pPr>
    </w:lvl>
    <w:lvl w:ilvl="1" w:tplc="984297FA">
      <w:numFmt w:val="decimal"/>
      <w:lvlText w:val=""/>
      <w:lvlJc w:val="left"/>
    </w:lvl>
    <w:lvl w:ilvl="2" w:tplc="C49E9F14">
      <w:numFmt w:val="decimal"/>
      <w:lvlText w:val=""/>
      <w:lvlJc w:val="left"/>
    </w:lvl>
    <w:lvl w:ilvl="3" w:tplc="3FBC856E">
      <w:numFmt w:val="decimal"/>
      <w:lvlText w:val=""/>
      <w:lvlJc w:val="left"/>
    </w:lvl>
    <w:lvl w:ilvl="4" w:tplc="2F926BA6">
      <w:numFmt w:val="decimal"/>
      <w:lvlText w:val=""/>
      <w:lvlJc w:val="left"/>
    </w:lvl>
    <w:lvl w:ilvl="5" w:tplc="56BE495E">
      <w:numFmt w:val="decimal"/>
      <w:lvlText w:val=""/>
      <w:lvlJc w:val="left"/>
    </w:lvl>
    <w:lvl w:ilvl="6" w:tplc="3028D694">
      <w:numFmt w:val="decimal"/>
      <w:lvlText w:val=""/>
      <w:lvlJc w:val="left"/>
    </w:lvl>
    <w:lvl w:ilvl="7" w:tplc="A60EF1A8">
      <w:numFmt w:val="decimal"/>
      <w:lvlText w:val=""/>
      <w:lvlJc w:val="left"/>
    </w:lvl>
    <w:lvl w:ilvl="8" w:tplc="4FCA54D0">
      <w:numFmt w:val="decimal"/>
      <w:lvlText w:val=""/>
      <w:lvlJc w:val="left"/>
    </w:lvl>
  </w:abstractNum>
  <w:abstractNum w:abstractNumId="18" w15:restartNumberingAfterBreak="0">
    <w:nsid w:val="567461C7"/>
    <w:multiLevelType w:val="hybridMultilevel"/>
    <w:tmpl w:val="A0D20958"/>
    <w:lvl w:ilvl="0" w:tplc="C4F0E16A">
      <w:start w:val="1"/>
      <w:numFmt w:val="bullet"/>
      <w:lvlText w:val="•"/>
      <w:lvlJc w:val="left"/>
      <w:pPr>
        <w:ind w:left="720" w:hanging="360"/>
      </w:pPr>
    </w:lvl>
    <w:lvl w:ilvl="1" w:tplc="4F34180E">
      <w:numFmt w:val="decimal"/>
      <w:lvlText w:val=""/>
      <w:lvlJc w:val="left"/>
    </w:lvl>
    <w:lvl w:ilvl="2" w:tplc="21B6C37C">
      <w:numFmt w:val="decimal"/>
      <w:lvlText w:val=""/>
      <w:lvlJc w:val="left"/>
    </w:lvl>
    <w:lvl w:ilvl="3" w:tplc="06E25816">
      <w:numFmt w:val="decimal"/>
      <w:lvlText w:val=""/>
      <w:lvlJc w:val="left"/>
    </w:lvl>
    <w:lvl w:ilvl="4" w:tplc="C7B87BCA">
      <w:numFmt w:val="decimal"/>
      <w:lvlText w:val=""/>
      <w:lvlJc w:val="left"/>
    </w:lvl>
    <w:lvl w:ilvl="5" w:tplc="96D4C582">
      <w:numFmt w:val="decimal"/>
      <w:lvlText w:val=""/>
      <w:lvlJc w:val="left"/>
    </w:lvl>
    <w:lvl w:ilvl="6" w:tplc="9BCC7C50">
      <w:numFmt w:val="decimal"/>
      <w:lvlText w:val=""/>
      <w:lvlJc w:val="left"/>
    </w:lvl>
    <w:lvl w:ilvl="7" w:tplc="A7E22ABC">
      <w:numFmt w:val="decimal"/>
      <w:lvlText w:val=""/>
      <w:lvlJc w:val="left"/>
    </w:lvl>
    <w:lvl w:ilvl="8" w:tplc="E3E204D0">
      <w:numFmt w:val="decimal"/>
      <w:lvlText w:val=""/>
      <w:lvlJc w:val="left"/>
    </w:lvl>
  </w:abstractNum>
  <w:abstractNum w:abstractNumId="19" w15:restartNumberingAfterBreak="0">
    <w:nsid w:val="56F118CD"/>
    <w:multiLevelType w:val="hybridMultilevel"/>
    <w:tmpl w:val="53FA396A"/>
    <w:lvl w:ilvl="0" w:tplc="ED9C3516">
      <w:start w:val="1"/>
      <w:numFmt w:val="decimal"/>
      <w:lvlText w:val="%1."/>
      <w:lvlJc w:val="left"/>
      <w:pPr>
        <w:ind w:left="720" w:hanging="360"/>
      </w:pPr>
    </w:lvl>
    <w:lvl w:ilvl="1" w:tplc="0164CEEA">
      <w:numFmt w:val="decimal"/>
      <w:lvlText w:val=""/>
      <w:lvlJc w:val="left"/>
    </w:lvl>
    <w:lvl w:ilvl="2" w:tplc="97B23414">
      <w:numFmt w:val="decimal"/>
      <w:lvlText w:val=""/>
      <w:lvlJc w:val="left"/>
    </w:lvl>
    <w:lvl w:ilvl="3" w:tplc="4B822AC6">
      <w:numFmt w:val="decimal"/>
      <w:lvlText w:val=""/>
      <w:lvlJc w:val="left"/>
    </w:lvl>
    <w:lvl w:ilvl="4" w:tplc="3612AFC2">
      <w:numFmt w:val="decimal"/>
      <w:lvlText w:val=""/>
      <w:lvlJc w:val="left"/>
    </w:lvl>
    <w:lvl w:ilvl="5" w:tplc="4DDC4412">
      <w:numFmt w:val="decimal"/>
      <w:lvlText w:val=""/>
      <w:lvlJc w:val="left"/>
    </w:lvl>
    <w:lvl w:ilvl="6" w:tplc="E76CD136">
      <w:numFmt w:val="decimal"/>
      <w:lvlText w:val=""/>
      <w:lvlJc w:val="left"/>
    </w:lvl>
    <w:lvl w:ilvl="7" w:tplc="8FFC5A10">
      <w:numFmt w:val="decimal"/>
      <w:lvlText w:val=""/>
      <w:lvlJc w:val="left"/>
    </w:lvl>
    <w:lvl w:ilvl="8" w:tplc="9214AA00">
      <w:numFmt w:val="decimal"/>
      <w:lvlText w:val=""/>
      <w:lvlJc w:val="left"/>
    </w:lvl>
  </w:abstractNum>
  <w:abstractNum w:abstractNumId="20" w15:restartNumberingAfterBreak="0">
    <w:nsid w:val="61623528"/>
    <w:multiLevelType w:val="hybridMultilevel"/>
    <w:tmpl w:val="F48E86BE"/>
    <w:lvl w:ilvl="0" w:tplc="CF50C980">
      <w:start w:val="1"/>
      <w:numFmt w:val="bullet"/>
      <w:lvlText w:val="•"/>
      <w:lvlJc w:val="left"/>
      <w:pPr>
        <w:ind w:left="720" w:hanging="360"/>
      </w:pPr>
    </w:lvl>
    <w:lvl w:ilvl="1" w:tplc="EE5CF98A">
      <w:numFmt w:val="decimal"/>
      <w:lvlText w:val=""/>
      <w:lvlJc w:val="left"/>
    </w:lvl>
    <w:lvl w:ilvl="2" w:tplc="AA249A78">
      <w:numFmt w:val="decimal"/>
      <w:lvlText w:val=""/>
      <w:lvlJc w:val="left"/>
    </w:lvl>
    <w:lvl w:ilvl="3" w:tplc="632058D2">
      <w:numFmt w:val="decimal"/>
      <w:lvlText w:val=""/>
      <w:lvlJc w:val="left"/>
    </w:lvl>
    <w:lvl w:ilvl="4" w:tplc="03FEAB38">
      <w:numFmt w:val="decimal"/>
      <w:lvlText w:val=""/>
      <w:lvlJc w:val="left"/>
    </w:lvl>
    <w:lvl w:ilvl="5" w:tplc="332CA630">
      <w:numFmt w:val="decimal"/>
      <w:lvlText w:val=""/>
      <w:lvlJc w:val="left"/>
    </w:lvl>
    <w:lvl w:ilvl="6" w:tplc="F0A0B4B4">
      <w:numFmt w:val="decimal"/>
      <w:lvlText w:val=""/>
      <w:lvlJc w:val="left"/>
    </w:lvl>
    <w:lvl w:ilvl="7" w:tplc="0752536C">
      <w:numFmt w:val="decimal"/>
      <w:lvlText w:val=""/>
      <w:lvlJc w:val="left"/>
    </w:lvl>
    <w:lvl w:ilvl="8" w:tplc="A912BCF0">
      <w:numFmt w:val="decimal"/>
      <w:lvlText w:val=""/>
      <w:lvlJc w:val="left"/>
    </w:lvl>
  </w:abstractNum>
  <w:abstractNum w:abstractNumId="21" w15:restartNumberingAfterBreak="0">
    <w:nsid w:val="6B2A7C66"/>
    <w:multiLevelType w:val="hybridMultilevel"/>
    <w:tmpl w:val="6748B70C"/>
    <w:lvl w:ilvl="0" w:tplc="D79C0E2A">
      <w:start w:val="1"/>
      <w:numFmt w:val="bullet"/>
      <w:lvlText w:val="•"/>
      <w:lvlJc w:val="left"/>
      <w:pPr>
        <w:ind w:left="720" w:hanging="360"/>
      </w:pPr>
    </w:lvl>
    <w:lvl w:ilvl="1" w:tplc="B600CB40">
      <w:numFmt w:val="decimal"/>
      <w:lvlText w:val=""/>
      <w:lvlJc w:val="left"/>
    </w:lvl>
    <w:lvl w:ilvl="2" w:tplc="F24AAD20">
      <w:numFmt w:val="decimal"/>
      <w:lvlText w:val=""/>
      <w:lvlJc w:val="left"/>
    </w:lvl>
    <w:lvl w:ilvl="3" w:tplc="5AB649B2">
      <w:numFmt w:val="decimal"/>
      <w:lvlText w:val=""/>
      <w:lvlJc w:val="left"/>
    </w:lvl>
    <w:lvl w:ilvl="4" w:tplc="A07E68AE">
      <w:numFmt w:val="decimal"/>
      <w:lvlText w:val=""/>
      <w:lvlJc w:val="left"/>
    </w:lvl>
    <w:lvl w:ilvl="5" w:tplc="4FAC12B8">
      <w:numFmt w:val="decimal"/>
      <w:lvlText w:val=""/>
      <w:lvlJc w:val="left"/>
    </w:lvl>
    <w:lvl w:ilvl="6" w:tplc="9EC0A534">
      <w:numFmt w:val="decimal"/>
      <w:lvlText w:val=""/>
      <w:lvlJc w:val="left"/>
    </w:lvl>
    <w:lvl w:ilvl="7" w:tplc="3FDEA51E">
      <w:numFmt w:val="decimal"/>
      <w:lvlText w:val=""/>
      <w:lvlJc w:val="left"/>
    </w:lvl>
    <w:lvl w:ilvl="8" w:tplc="08AA9BC8">
      <w:numFmt w:val="decimal"/>
      <w:lvlText w:val=""/>
      <w:lvlJc w:val="left"/>
    </w:lvl>
  </w:abstractNum>
  <w:abstractNum w:abstractNumId="22" w15:restartNumberingAfterBreak="0">
    <w:nsid w:val="755229BD"/>
    <w:multiLevelType w:val="hybridMultilevel"/>
    <w:tmpl w:val="F8403ED8"/>
    <w:lvl w:ilvl="0" w:tplc="42426FAC">
      <w:start w:val="1"/>
      <w:numFmt w:val="bullet"/>
      <w:lvlText w:val="●"/>
      <w:lvlJc w:val="left"/>
      <w:pPr>
        <w:ind w:left="720" w:hanging="360"/>
      </w:pPr>
    </w:lvl>
    <w:lvl w:ilvl="1" w:tplc="88D49386">
      <w:start w:val="1"/>
      <w:numFmt w:val="bullet"/>
      <w:lvlText w:val="○"/>
      <w:lvlJc w:val="left"/>
      <w:pPr>
        <w:ind w:left="1440" w:hanging="360"/>
      </w:pPr>
    </w:lvl>
    <w:lvl w:ilvl="2" w:tplc="0A7A6B44">
      <w:start w:val="1"/>
      <w:numFmt w:val="bullet"/>
      <w:lvlText w:val="■"/>
      <w:lvlJc w:val="left"/>
      <w:pPr>
        <w:ind w:left="2160" w:hanging="360"/>
      </w:pPr>
    </w:lvl>
    <w:lvl w:ilvl="3" w:tplc="68A884C8">
      <w:start w:val="1"/>
      <w:numFmt w:val="bullet"/>
      <w:lvlText w:val="●"/>
      <w:lvlJc w:val="left"/>
      <w:pPr>
        <w:ind w:left="2880" w:hanging="360"/>
      </w:pPr>
    </w:lvl>
    <w:lvl w:ilvl="4" w:tplc="90885872">
      <w:start w:val="1"/>
      <w:numFmt w:val="bullet"/>
      <w:lvlText w:val="○"/>
      <w:lvlJc w:val="left"/>
      <w:pPr>
        <w:ind w:left="3600" w:hanging="360"/>
      </w:pPr>
    </w:lvl>
    <w:lvl w:ilvl="5" w:tplc="5F4A1318">
      <w:start w:val="1"/>
      <w:numFmt w:val="bullet"/>
      <w:lvlText w:val="■"/>
      <w:lvlJc w:val="left"/>
      <w:pPr>
        <w:ind w:left="4320" w:hanging="360"/>
      </w:pPr>
    </w:lvl>
    <w:lvl w:ilvl="6" w:tplc="C4604888">
      <w:start w:val="1"/>
      <w:numFmt w:val="bullet"/>
      <w:lvlText w:val="●"/>
      <w:lvlJc w:val="left"/>
      <w:pPr>
        <w:ind w:left="5040" w:hanging="360"/>
      </w:pPr>
    </w:lvl>
    <w:lvl w:ilvl="7" w:tplc="10609360">
      <w:start w:val="1"/>
      <w:numFmt w:val="bullet"/>
      <w:lvlText w:val="●"/>
      <w:lvlJc w:val="left"/>
      <w:pPr>
        <w:ind w:left="5760" w:hanging="360"/>
      </w:pPr>
    </w:lvl>
    <w:lvl w:ilvl="8" w:tplc="69F45566">
      <w:start w:val="1"/>
      <w:numFmt w:val="bullet"/>
      <w:lvlText w:val="●"/>
      <w:lvlJc w:val="left"/>
      <w:pPr>
        <w:ind w:left="6480" w:hanging="360"/>
      </w:pPr>
    </w:lvl>
  </w:abstractNum>
  <w:abstractNum w:abstractNumId="23" w15:restartNumberingAfterBreak="0">
    <w:nsid w:val="7BA53282"/>
    <w:multiLevelType w:val="hybridMultilevel"/>
    <w:tmpl w:val="DCD0C18E"/>
    <w:lvl w:ilvl="0" w:tplc="1F2E9E82">
      <w:start w:val="1"/>
      <w:numFmt w:val="bullet"/>
      <w:lvlText w:val="•"/>
      <w:lvlJc w:val="left"/>
      <w:pPr>
        <w:ind w:left="720" w:hanging="360"/>
      </w:pPr>
    </w:lvl>
    <w:lvl w:ilvl="1" w:tplc="8A9E5FCC">
      <w:numFmt w:val="decimal"/>
      <w:lvlText w:val=""/>
      <w:lvlJc w:val="left"/>
    </w:lvl>
    <w:lvl w:ilvl="2" w:tplc="B05E951C">
      <w:numFmt w:val="decimal"/>
      <w:lvlText w:val=""/>
      <w:lvlJc w:val="left"/>
    </w:lvl>
    <w:lvl w:ilvl="3" w:tplc="F6B4F1A2">
      <w:numFmt w:val="decimal"/>
      <w:lvlText w:val=""/>
      <w:lvlJc w:val="left"/>
    </w:lvl>
    <w:lvl w:ilvl="4" w:tplc="5DDA0D74">
      <w:numFmt w:val="decimal"/>
      <w:lvlText w:val=""/>
      <w:lvlJc w:val="left"/>
    </w:lvl>
    <w:lvl w:ilvl="5" w:tplc="7160D0BC">
      <w:numFmt w:val="decimal"/>
      <w:lvlText w:val=""/>
      <w:lvlJc w:val="left"/>
    </w:lvl>
    <w:lvl w:ilvl="6" w:tplc="52D89D8A">
      <w:numFmt w:val="decimal"/>
      <w:lvlText w:val=""/>
      <w:lvlJc w:val="left"/>
    </w:lvl>
    <w:lvl w:ilvl="7" w:tplc="4628CFE8">
      <w:numFmt w:val="decimal"/>
      <w:lvlText w:val=""/>
      <w:lvlJc w:val="left"/>
    </w:lvl>
    <w:lvl w:ilvl="8" w:tplc="9BE65B50">
      <w:numFmt w:val="decimal"/>
      <w:lvlText w:val=""/>
      <w:lvlJc w:val="left"/>
    </w:lvl>
  </w:abstractNum>
  <w:abstractNum w:abstractNumId="24" w15:restartNumberingAfterBreak="0">
    <w:nsid w:val="7FBC34AB"/>
    <w:multiLevelType w:val="hybridMultilevel"/>
    <w:tmpl w:val="8AA2EA7E"/>
    <w:lvl w:ilvl="0" w:tplc="924267AA">
      <w:start w:val="1"/>
      <w:numFmt w:val="decimal"/>
      <w:lvlText w:val="%1."/>
      <w:lvlJc w:val="left"/>
      <w:pPr>
        <w:ind w:left="720" w:hanging="360"/>
      </w:pPr>
    </w:lvl>
    <w:lvl w:ilvl="1" w:tplc="661CA31E">
      <w:numFmt w:val="decimal"/>
      <w:lvlText w:val=""/>
      <w:lvlJc w:val="left"/>
    </w:lvl>
    <w:lvl w:ilvl="2" w:tplc="211A284A">
      <w:numFmt w:val="decimal"/>
      <w:lvlText w:val=""/>
      <w:lvlJc w:val="left"/>
    </w:lvl>
    <w:lvl w:ilvl="3" w:tplc="EB800E74">
      <w:numFmt w:val="decimal"/>
      <w:lvlText w:val=""/>
      <w:lvlJc w:val="left"/>
    </w:lvl>
    <w:lvl w:ilvl="4" w:tplc="F9D63B88">
      <w:numFmt w:val="decimal"/>
      <w:lvlText w:val=""/>
      <w:lvlJc w:val="left"/>
    </w:lvl>
    <w:lvl w:ilvl="5" w:tplc="55B2FAC4">
      <w:numFmt w:val="decimal"/>
      <w:lvlText w:val=""/>
      <w:lvlJc w:val="left"/>
    </w:lvl>
    <w:lvl w:ilvl="6" w:tplc="C25CFA96">
      <w:numFmt w:val="decimal"/>
      <w:lvlText w:val=""/>
      <w:lvlJc w:val="left"/>
    </w:lvl>
    <w:lvl w:ilvl="7" w:tplc="F476F132">
      <w:numFmt w:val="decimal"/>
      <w:lvlText w:val=""/>
      <w:lvlJc w:val="left"/>
    </w:lvl>
    <w:lvl w:ilvl="8" w:tplc="A208B0EC">
      <w:numFmt w:val="decimal"/>
      <w:lvlText w:val=""/>
      <w:lvlJc w:val="left"/>
    </w:lvl>
  </w:abstractNum>
  <w:num w:numId="1" w16cid:durableId="275869068">
    <w:abstractNumId w:val="22"/>
    <w:lvlOverride w:ilvl="0">
      <w:startOverride w:val="1"/>
    </w:lvlOverride>
  </w:num>
  <w:num w:numId="2" w16cid:durableId="455410372">
    <w:abstractNumId w:val="7"/>
    <w:lvlOverride w:ilvl="0">
      <w:startOverride w:val="1"/>
    </w:lvlOverride>
  </w:num>
  <w:num w:numId="3" w16cid:durableId="1199510794">
    <w:abstractNumId w:val="18"/>
    <w:lvlOverride w:ilvl="0">
      <w:startOverride w:val="1"/>
    </w:lvlOverride>
  </w:num>
  <w:num w:numId="4" w16cid:durableId="1626234703">
    <w:abstractNumId w:val="10"/>
    <w:lvlOverride w:ilvl="0">
      <w:startOverride w:val="1"/>
    </w:lvlOverride>
  </w:num>
  <w:num w:numId="5" w16cid:durableId="1375540284">
    <w:abstractNumId w:val="2"/>
    <w:lvlOverride w:ilvl="0">
      <w:startOverride w:val="1"/>
    </w:lvlOverride>
  </w:num>
  <w:num w:numId="6" w16cid:durableId="735131304">
    <w:abstractNumId w:val="21"/>
    <w:lvlOverride w:ilvl="0">
      <w:startOverride w:val="1"/>
    </w:lvlOverride>
  </w:num>
  <w:num w:numId="7" w16cid:durableId="1433088135">
    <w:abstractNumId w:val="6"/>
    <w:lvlOverride w:ilvl="0">
      <w:startOverride w:val="1"/>
    </w:lvlOverride>
  </w:num>
  <w:num w:numId="8" w16cid:durableId="1215893888">
    <w:abstractNumId w:val="17"/>
    <w:lvlOverride w:ilvl="0">
      <w:startOverride w:val="1"/>
    </w:lvlOverride>
  </w:num>
  <w:num w:numId="9" w16cid:durableId="813256979">
    <w:abstractNumId w:val="9"/>
    <w:lvlOverride w:ilvl="0">
      <w:startOverride w:val="1"/>
    </w:lvlOverride>
  </w:num>
  <w:num w:numId="10" w16cid:durableId="479814202">
    <w:abstractNumId w:val="13"/>
    <w:lvlOverride w:ilvl="0">
      <w:startOverride w:val="1"/>
    </w:lvlOverride>
  </w:num>
  <w:num w:numId="11" w16cid:durableId="444540413">
    <w:abstractNumId w:val="23"/>
    <w:lvlOverride w:ilvl="0">
      <w:startOverride w:val="1"/>
    </w:lvlOverride>
  </w:num>
  <w:num w:numId="12" w16cid:durableId="534316615">
    <w:abstractNumId w:val="11"/>
    <w:lvlOverride w:ilvl="0">
      <w:startOverride w:val="1"/>
    </w:lvlOverride>
  </w:num>
  <w:num w:numId="13" w16cid:durableId="1357386691">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1DB"/>
    <w:rsid w:val="000F553E"/>
    <w:rsid w:val="002D51DB"/>
    <w:rsid w:val="004E6DEA"/>
    <w:rsid w:val="00B90B4A"/>
    <w:rsid w:val="00EF2BC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4A950"/>
  <w15:docId w15:val="{E770C271-A5F0-4435-BD20-685E65EC1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pBdr>
        <w:bottom w:val="single" w:sz="6" w:space="1" w:color="2E75B6"/>
      </w:pBdr>
      <w:spacing w:before="360" w:after="200"/>
      <w:outlineLvl w:val="0"/>
    </w:pPr>
    <w:rPr>
      <w:b/>
      <w:bCs/>
      <w:color w:val="1F4E79"/>
      <w:sz w:val="32"/>
      <w:szCs w:val="32"/>
    </w:rPr>
  </w:style>
  <w:style w:type="paragraph" w:styleId="Titolo2">
    <w:name w:val="heading 2"/>
    <w:uiPriority w:val="9"/>
    <w:unhideWhenUsed/>
    <w:qFormat/>
    <w:pPr>
      <w:spacing w:before="280" w:after="160"/>
      <w:outlineLvl w:val="1"/>
    </w:pPr>
    <w:rPr>
      <w:b/>
      <w:bCs/>
      <w:color w:val="2E75B6"/>
      <w:sz w:val="28"/>
      <w:szCs w:val="28"/>
    </w:rPr>
  </w:style>
  <w:style w:type="paragraph" w:styleId="Titolo3">
    <w:name w:val="heading 3"/>
    <w:uiPriority w:val="9"/>
    <w:unhideWhenUsed/>
    <w:qFormat/>
    <w:pPr>
      <w:spacing w:before="200" w:after="120"/>
      <w:outlineLvl w:val="2"/>
    </w:pPr>
    <w:rPr>
      <w:b/>
      <w:bCs/>
      <w:color w:val="1F4E79"/>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14</Pages>
  <Words>3546</Words>
  <Characters>21553</Characters>
  <Application>Microsoft Office Word</Application>
  <DocSecurity>0</DocSecurity>
  <Lines>442</Lines>
  <Paragraphs>218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Giovanni Della Lunga</cp:lastModifiedBy>
  <cp:revision>2</cp:revision>
  <dcterms:created xsi:type="dcterms:W3CDTF">2026-04-16T09:20:00Z</dcterms:created>
  <dcterms:modified xsi:type="dcterms:W3CDTF">2026-04-16T13:06:00Z</dcterms:modified>
</cp:coreProperties>
</file>