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54DC" w14:textId="77777777" w:rsidR="00852643" w:rsidRDefault="00852643">
      <w:pPr>
        <w:spacing w:before="4000"/>
      </w:pPr>
    </w:p>
    <w:p w14:paraId="6201747B" w14:textId="77777777" w:rsidR="00852643" w:rsidRPr="005A0412" w:rsidRDefault="00000000">
      <w:pPr>
        <w:spacing w:after="200"/>
        <w:jc w:val="center"/>
        <w:rPr>
          <w:lang w:val="en-GB"/>
        </w:rPr>
      </w:pPr>
      <w:r w:rsidRPr="005A0412">
        <w:rPr>
          <w:b/>
          <w:bCs/>
          <w:color w:val="1F4E79"/>
          <w:sz w:val="52"/>
          <w:szCs w:val="52"/>
          <w:lang w:val="en-GB"/>
        </w:rPr>
        <w:t>Workflow Operativo</w:t>
      </w:r>
    </w:p>
    <w:p w14:paraId="6CDE767C" w14:textId="77777777" w:rsidR="00852643" w:rsidRPr="005A0412" w:rsidRDefault="00000000">
      <w:pPr>
        <w:spacing w:after="300"/>
        <w:jc w:val="center"/>
        <w:rPr>
          <w:lang w:val="en-GB"/>
        </w:rPr>
      </w:pPr>
      <w:r w:rsidRPr="005A0412">
        <w:rPr>
          <w:color w:val="2E75B6"/>
          <w:sz w:val="36"/>
          <w:szCs w:val="36"/>
          <w:lang w:val="en-GB"/>
        </w:rPr>
        <w:t>Emergence and Prediction of New Financial Risk Categories</w:t>
      </w:r>
    </w:p>
    <w:p w14:paraId="2D747127" w14:textId="77777777" w:rsidR="00852643" w:rsidRPr="005A0412" w:rsidRDefault="00000000">
      <w:pPr>
        <w:pBdr>
          <w:top w:val="single" w:sz="6" w:space="8" w:color="2E75B6"/>
        </w:pBdr>
        <w:spacing w:after="100"/>
        <w:jc w:val="center"/>
        <w:rPr>
          <w:lang w:val="en-GB"/>
        </w:rPr>
      </w:pPr>
      <w:r w:rsidRPr="005A0412">
        <w:rPr>
          <w:i/>
          <w:iCs/>
          <w:color w:val="666666"/>
          <w:sz w:val="24"/>
          <w:szCs w:val="24"/>
          <w:lang w:val="en-GB"/>
        </w:rPr>
        <w:t>A Text-Based Analysis of News and Regulatory Disclosures</w:t>
      </w:r>
    </w:p>
    <w:p w14:paraId="6725B39E" w14:textId="77777777" w:rsidR="00852643" w:rsidRDefault="00000000">
      <w:pPr>
        <w:spacing w:before="600"/>
        <w:jc w:val="center"/>
      </w:pPr>
      <w:r>
        <w:rPr>
          <w:color w:val="888888"/>
          <w:sz w:val="24"/>
          <w:szCs w:val="24"/>
        </w:rPr>
        <w:t>Piano di lavoro dettagliato</w:t>
      </w:r>
    </w:p>
    <w:p w14:paraId="2C68950F" w14:textId="77777777" w:rsidR="00852643" w:rsidRDefault="00000000">
      <w:r>
        <w:br w:type="page"/>
      </w:r>
    </w:p>
    <w:p w14:paraId="432B2010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Fase 0 — Setup Infrastrutturale e Governance del Progetto</w:t>
      </w:r>
    </w:p>
    <w:p w14:paraId="6879E7D1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2–3 settimane</w:t>
      </w:r>
    </w:p>
    <w:p w14:paraId="27BF2D3F" w14:textId="77777777" w:rsidR="00852643" w:rsidRDefault="00000000">
      <w:pPr>
        <w:pStyle w:val="Titolo2"/>
      </w:pPr>
      <w:r>
        <w:t>0.1 Ambiente di lavoro</w:t>
      </w:r>
    </w:p>
    <w:p w14:paraId="6C378813" w14:textId="77777777" w:rsidR="00852643" w:rsidRDefault="00000000">
      <w:pPr>
        <w:spacing w:after="120" w:line="276" w:lineRule="auto"/>
      </w:pPr>
      <w:r>
        <w:t xml:space="preserve">Configurare un repository </w:t>
      </w:r>
      <w:proofErr w:type="spellStart"/>
      <w:r>
        <w:t>Git</w:t>
      </w:r>
      <w:proofErr w:type="spellEnd"/>
      <w:r>
        <w:t xml:space="preserve"> con struttura modulare: </w:t>
      </w:r>
      <w:r>
        <w:rPr>
          <w:rFonts w:ascii="Consolas" w:eastAsia="Consolas" w:hAnsi="Consolas" w:cs="Consolas"/>
          <w:sz w:val="20"/>
          <w:szCs w:val="20"/>
        </w:rPr>
        <w:t>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raw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processed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embeddings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ingestion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indicators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/models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notebooks/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outputs/</w:t>
      </w:r>
      <w:r>
        <w:t xml:space="preserve">. Definire un </w:t>
      </w:r>
      <w:proofErr w:type="spellStart"/>
      <w:r>
        <w:t>environment</w:t>
      </w:r>
      <w:proofErr w:type="spellEnd"/>
      <w:r>
        <w:t xml:space="preserve"> riproducibile (</w:t>
      </w:r>
      <w:proofErr w:type="spellStart"/>
      <w:r>
        <w:t>conda</w:t>
      </w:r>
      <w:proofErr w:type="spellEnd"/>
      <w:r>
        <w:t>/</w:t>
      </w:r>
      <w:proofErr w:type="spellStart"/>
      <w:r>
        <w:t>poetry</w:t>
      </w:r>
      <w:proofErr w:type="spellEnd"/>
      <w:r>
        <w:t xml:space="preserve"> con </w:t>
      </w:r>
      <w:proofErr w:type="spellStart"/>
      <w:r>
        <w:t>pinning</w:t>
      </w:r>
      <w:proofErr w:type="spellEnd"/>
      <w:r>
        <w:t xml:space="preserve"> delle versioni). Predisporre accesso a risorse di calcolo (GPU per </w:t>
      </w:r>
      <w:proofErr w:type="spellStart"/>
      <w:r>
        <w:t>embedding</w:t>
      </w:r>
      <w:proofErr w:type="spellEnd"/>
      <w:r>
        <w:t>, storage per il corpus).</w:t>
      </w:r>
    </w:p>
    <w:p w14:paraId="296C37F7" w14:textId="77777777" w:rsidR="00852643" w:rsidRDefault="00000000">
      <w:pPr>
        <w:pStyle w:val="Titolo2"/>
      </w:pPr>
      <w:r>
        <w:t>0.2 Accesso ai dati</w:t>
      </w:r>
    </w:p>
    <w:p w14:paraId="37ABCA55" w14:textId="77777777" w:rsidR="00852643" w:rsidRDefault="00000000">
      <w:pPr>
        <w:spacing w:after="120" w:line="276" w:lineRule="auto"/>
      </w:pPr>
      <w:r>
        <w:t>Attivare le licenze e le API necessarie:</w:t>
      </w:r>
    </w:p>
    <w:p w14:paraId="547E0348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News: </w:t>
      </w:r>
      <w:r>
        <w:t>identificare il fornitore (</w:t>
      </w:r>
      <w:proofErr w:type="spellStart"/>
      <w:r>
        <w:t>Factiva</w:t>
      </w:r>
      <w:proofErr w:type="spellEnd"/>
      <w:r>
        <w:t xml:space="preserve">, </w:t>
      </w:r>
      <w:proofErr w:type="spellStart"/>
      <w:r>
        <w:t>ProQuest</w:t>
      </w:r>
      <w:proofErr w:type="spellEnd"/>
      <w:r>
        <w:t xml:space="preserve">, </w:t>
      </w:r>
      <w:proofErr w:type="spellStart"/>
      <w:r>
        <w:t>NewsAPI</w:t>
      </w:r>
      <w:proofErr w:type="spellEnd"/>
      <w:r>
        <w:t xml:space="preserve">, o </w:t>
      </w:r>
      <w:proofErr w:type="spellStart"/>
      <w:r>
        <w:t>scraping</w:t>
      </w:r>
      <w:proofErr w:type="spellEnd"/>
      <w:r>
        <w:t xml:space="preserve"> diretto da archivi dei cinque quotidiani target: WSJ, NYT, FT, Bloomberg, Reuters).</w:t>
      </w:r>
    </w:p>
    <w:p w14:paraId="0150CA49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b/>
          <w:bCs/>
          <w:lang w:val="en-GB"/>
        </w:rPr>
        <w:t xml:space="preserve">SEC filings: </w:t>
      </w:r>
      <w:r w:rsidRPr="005A0412">
        <w:rPr>
          <w:lang w:val="en-GB"/>
        </w:rPr>
        <w:t xml:space="preserve">registrare accesso </w:t>
      </w:r>
      <w:proofErr w:type="gramStart"/>
      <w:r w:rsidRPr="005A0412">
        <w:rPr>
          <w:lang w:val="en-GB"/>
        </w:rPr>
        <w:t>a</w:t>
      </w:r>
      <w:proofErr w:type="gramEnd"/>
      <w:r w:rsidRPr="005A0412">
        <w:rPr>
          <w:lang w:val="en-GB"/>
        </w:rPr>
        <w:t xml:space="preserve"> EDGAR Full-Text Search e al bulk download dei filing 10-K e 8-K.</w:t>
      </w:r>
    </w:p>
    <w:p w14:paraId="136CFFEE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Dati ausiliari: </w:t>
      </w:r>
      <w:r>
        <w:t>CRSP/</w:t>
      </w:r>
      <w:proofErr w:type="spellStart"/>
      <w:r>
        <w:t>Compustat</w:t>
      </w:r>
      <w:proofErr w:type="spellEnd"/>
      <w:r>
        <w:t xml:space="preserve"> per i rendimenti, FRED per variabili macro, eventuali indici di incertezza (EPU, VIX).</w:t>
      </w:r>
    </w:p>
    <w:p w14:paraId="57A303C9" w14:textId="77777777" w:rsidR="00852643" w:rsidRDefault="00000000">
      <w:pPr>
        <w:pStyle w:val="Titolo2"/>
      </w:pPr>
      <w:r>
        <w:t>0.3 Definizione del perimetro temporale e dell’universo di imprese</w:t>
      </w:r>
    </w:p>
    <w:p w14:paraId="23D50F73" w14:textId="77777777" w:rsidR="00852643" w:rsidRDefault="00000000">
      <w:pPr>
        <w:spacing w:after="120" w:line="276" w:lineRule="auto"/>
      </w:pPr>
      <w:r>
        <w:t xml:space="preserve">Fissare il periodo campionario (suggerito: 2006–2025, per coprire almeno tre episodi di risk </w:t>
      </w:r>
      <w:proofErr w:type="spellStart"/>
      <w:r>
        <w:t>emergence</w:t>
      </w:r>
      <w:proofErr w:type="spellEnd"/>
      <w:r>
        <w:t xml:space="preserve"> noti: rischio cyber, rischio climatico/ESG, rischio pandemico). Definire l’universo delle imprese: S&amp;P 500 </w:t>
      </w:r>
      <w:proofErr w:type="spellStart"/>
      <w:r>
        <w:t>constituents</w:t>
      </w:r>
      <w:proofErr w:type="spellEnd"/>
      <w:r>
        <w:t>, con gestione delle entrate/uscite dall’indice.</w:t>
      </w:r>
    </w:p>
    <w:p w14:paraId="3FBE6D45" w14:textId="77777777" w:rsidR="00852643" w:rsidRDefault="00000000">
      <w:pPr>
        <w:pStyle w:val="Titolo2"/>
      </w:pPr>
      <w:r>
        <w:t>0.4 Piano di validazione</w:t>
      </w:r>
    </w:p>
    <w:p w14:paraId="0772B647" w14:textId="77777777" w:rsidR="00852643" w:rsidRDefault="00000000">
      <w:pPr>
        <w:spacing w:after="120" w:line="276" w:lineRule="auto"/>
      </w:pPr>
      <w:r>
        <w:t>Stilare in anticipo la lista dei risk-</w:t>
      </w:r>
      <w:proofErr w:type="spellStart"/>
      <w:r>
        <w:t>emergence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noti che fungeranno da ground truth per la validazione retrospettiva:</w:t>
      </w:r>
    </w:p>
    <w:p w14:paraId="56C77CD6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Cyber risk: </w:t>
      </w:r>
      <w:r>
        <w:t>~2013–2015</w:t>
      </w:r>
    </w:p>
    <w:p w14:paraId="3E0CFCAD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Climate</w:t>
      </w:r>
      <w:proofErr w:type="spellEnd"/>
      <w:r>
        <w:rPr>
          <w:b/>
          <w:bCs/>
        </w:rPr>
        <w:t xml:space="preserve">/ESG risk: </w:t>
      </w:r>
      <w:r>
        <w:t>~2017–2019</w:t>
      </w:r>
    </w:p>
    <w:p w14:paraId="13465802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Pandemic risk: </w:t>
      </w:r>
      <w:r>
        <w:t>~2020</w:t>
      </w:r>
    </w:p>
    <w:p w14:paraId="0CAB126E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risk: </w:t>
      </w:r>
      <w:r>
        <w:t>~2023–2024</w:t>
      </w:r>
    </w:p>
    <w:p w14:paraId="19EEC74D" w14:textId="77777777" w:rsidR="00852643" w:rsidRDefault="00000000">
      <w:pPr>
        <w:spacing w:after="120" w:line="276" w:lineRule="auto"/>
      </w:pPr>
      <w:r>
        <w:t>Per ciascuno, documentare le date chiave esterne (incidenti, regolamenti, sentenze).</w:t>
      </w:r>
    </w:p>
    <w:p w14:paraId="7860976E" w14:textId="77777777" w:rsidR="00852643" w:rsidRDefault="00000000">
      <w:r>
        <w:br w:type="page"/>
      </w:r>
    </w:p>
    <w:p w14:paraId="2C9E5B96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 xml:space="preserve">Fase 1 — </w:t>
      </w:r>
      <w:proofErr w:type="spellStart"/>
      <w:r>
        <w:t>Ingestion</w:t>
      </w:r>
      <w:proofErr w:type="spellEnd"/>
      <w:r>
        <w:t xml:space="preserve"> e Costruzione del Corpus</w:t>
      </w:r>
    </w:p>
    <w:p w14:paraId="522C5073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4–6 settimane</w:t>
      </w:r>
    </w:p>
    <w:p w14:paraId="09172625" w14:textId="77777777" w:rsidR="00852643" w:rsidRDefault="00000000">
      <w:pPr>
        <w:pStyle w:val="Titolo2"/>
      </w:pPr>
      <w:r>
        <w:t xml:space="preserve">1.1 Download e </w:t>
      </w:r>
      <w:proofErr w:type="spellStart"/>
      <w:r>
        <w:t>parsing</w:t>
      </w:r>
      <w:proofErr w:type="spellEnd"/>
      <w:r>
        <w:t xml:space="preserve"> dei </w:t>
      </w:r>
      <w:proofErr w:type="spellStart"/>
      <w:r>
        <w:t>filing</w:t>
      </w:r>
      <w:proofErr w:type="spellEnd"/>
      <w:r>
        <w:t xml:space="preserve"> SEC</w:t>
      </w:r>
    </w:p>
    <w:p w14:paraId="581F0F2A" w14:textId="77777777" w:rsidR="00852643" w:rsidRDefault="00000000">
      <w:pPr>
        <w:spacing w:after="120" w:line="276" w:lineRule="auto"/>
      </w:pPr>
      <w:r>
        <w:t xml:space="preserve">Scaricare tutti i 10-K e 8-K per le imprese nell’universo e nel periodo definito. Per i </w:t>
      </w:r>
      <w:r>
        <w:rPr>
          <w:b/>
          <w:bCs/>
        </w:rPr>
        <w:t>10-K</w:t>
      </w:r>
      <w:r>
        <w:t xml:space="preserve">: estrarre la sezione Item 1A (Risk </w:t>
      </w:r>
      <w:proofErr w:type="spellStart"/>
      <w:r>
        <w:t>Factors</w:t>
      </w:r>
      <w:proofErr w:type="spellEnd"/>
      <w:r>
        <w:t xml:space="preserve">) con un parser HTML/SGML robusto (es. </w:t>
      </w:r>
      <w:r>
        <w:rPr>
          <w:rFonts w:ascii="Consolas" w:eastAsia="Consolas" w:hAnsi="Consolas" w:cs="Consolas"/>
          <w:sz w:val="20"/>
          <w:szCs w:val="20"/>
        </w:rPr>
        <w:t>sec-</w:t>
      </w:r>
      <w:proofErr w:type="spellStart"/>
      <w:r>
        <w:rPr>
          <w:rFonts w:ascii="Consolas" w:eastAsia="Consolas" w:hAnsi="Consolas" w:cs="Consolas"/>
          <w:sz w:val="20"/>
          <w:szCs w:val="20"/>
        </w:rPr>
        <w:t>edgar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downloader</w:t>
      </w:r>
      <w:proofErr w:type="spellEnd"/>
      <w:r>
        <w:t xml:space="preserve"> + </w:t>
      </w:r>
      <w:proofErr w:type="spellStart"/>
      <w:r>
        <w:t>BeautifulSoup</w:t>
      </w:r>
      <w:proofErr w:type="spellEnd"/>
      <w:r>
        <w:t xml:space="preserve">, oppure librerie specializzate come </w:t>
      </w:r>
      <w:proofErr w:type="spellStart"/>
      <w:r>
        <w:rPr>
          <w:rFonts w:ascii="Consolas" w:eastAsia="Consolas" w:hAnsi="Consolas" w:cs="Consolas"/>
          <w:sz w:val="20"/>
          <w:szCs w:val="20"/>
        </w:rPr>
        <w:t>edgartools</w:t>
      </w:r>
      <w:proofErr w:type="spellEnd"/>
      <w:r>
        <w:t xml:space="preserve"> o </w:t>
      </w:r>
      <w:r>
        <w:rPr>
          <w:rFonts w:ascii="Consolas" w:eastAsia="Consolas" w:hAnsi="Consolas" w:cs="Consolas"/>
          <w:sz w:val="20"/>
          <w:szCs w:val="20"/>
        </w:rPr>
        <w:t>sec-api</w:t>
      </w:r>
      <w:r>
        <w:t xml:space="preserve">). Per gli </w:t>
      </w:r>
      <w:r>
        <w:rPr>
          <w:b/>
          <w:bCs/>
        </w:rPr>
        <w:t>8-K</w:t>
      </w:r>
      <w:r>
        <w:t>: estrarre il testo completo e annotare il tipo di Item (1.01, 1.02, 2.06, 7.01, 8.01 — quelli più rilevanti per i rischi emergenti).</w:t>
      </w:r>
    </w:p>
    <w:p w14:paraId="3A95A12A" w14:textId="77777777" w:rsidR="00852643" w:rsidRDefault="00000000">
      <w:pPr>
        <w:spacing w:after="120" w:line="276" w:lineRule="auto"/>
      </w:pPr>
      <w:r>
        <w:t xml:space="preserve">Associare a ciascun documento: CIK, ticker, data di </w:t>
      </w:r>
      <w:proofErr w:type="spellStart"/>
      <w:r>
        <w:t>filing</w:t>
      </w:r>
      <w:proofErr w:type="spellEnd"/>
      <w:r>
        <w:t>, data del periodo, SIC code.</w:t>
      </w:r>
    </w:p>
    <w:p w14:paraId="1954991C" w14:textId="77777777" w:rsidR="00852643" w:rsidRDefault="00000000">
      <w:pPr>
        <w:pStyle w:val="Titolo2"/>
      </w:pPr>
      <w:r>
        <w:t xml:space="preserve">1.2 Download e </w:t>
      </w:r>
      <w:proofErr w:type="spellStart"/>
      <w:r>
        <w:t>parsing</w:t>
      </w:r>
      <w:proofErr w:type="spellEnd"/>
      <w:r>
        <w:t xml:space="preserve"> delle news</w:t>
      </w:r>
    </w:p>
    <w:p w14:paraId="5D827A46" w14:textId="77777777" w:rsidR="00852643" w:rsidRDefault="00000000">
      <w:pPr>
        <w:spacing w:after="120" w:line="276" w:lineRule="auto"/>
      </w:pPr>
      <w:r>
        <w:t>Per ciascuna fonte, estrarre: titolo, data di pubblicazione, testo completo, sezione/rubrica, eventuali tag. Normalizzare le date e rimuovere duplicati (stessa notizia ripresa da più fonti). Mantenere la provenienza come metadato.</w:t>
      </w:r>
    </w:p>
    <w:p w14:paraId="7199A49F" w14:textId="77777777" w:rsidR="00852643" w:rsidRDefault="00000000">
      <w:pPr>
        <w:pStyle w:val="Titolo2"/>
      </w:pPr>
      <w:r>
        <w:t xml:space="preserve">1.3 </w:t>
      </w:r>
      <w:proofErr w:type="spellStart"/>
      <w:r>
        <w:t>Preprocessing</w:t>
      </w:r>
      <w:proofErr w:type="spellEnd"/>
      <w:r>
        <w:t xml:space="preserve"> unificato</w:t>
      </w:r>
    </w:p>
    <w:p w14:paraId="2E4D55C2" w14:textId="77777777" w:rsidR="00852643" w:rsidRDefault="00000000">
      <w:pPr>
        <w:spacing w:after="120" w:line="276" w:lineRule="auto"/>
      </w:pPr>
      <w:r>
        <w:t>Applicare a tutti i documenti:</w:t>
      </w:r>
    </w:p>
    <w:p w14:paraId="67DFBFD4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Rimozione di </w:t>
      </w:r>
      <w:proofErr w:type="spellStart"/>
      <w:r>
        <w:t>boilerplate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SEC, disclaimer legali, firme, tabelle numeriche pure).</w:t>
      </w:r>
    </w:p>
    <w:p w14:paraId="0DCF0561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Segmentazione in paragrafi.</w:t>
      </w:r>
    </w:p>
    <w:p w14:paraId="5A0E1A27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Normalizzazione delle entità (mapping nomi aziendali → identificatore unico tramite fuzzy matching o linking a un master file).</w:t>
      </w:r>
    </w:p>
    <w:p w14:paraId="6A0E21AF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Tokenizzazione e lemmatizzazione base per gli indicatori che lo richiedono.</w:t>
      </w:r>
    </w:p>
    <w:p w14:paraId="3B2F1668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Assegnazione di un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document_id</w:t>
      </w:r>
      <w:proofErr w:type="spellEnd"/>
      <w:r>
        <w:t xml:space="preserve"> unico e archiviazione in formato strutturato (parquet o database).</w:t>
      </w:r>
    </w:p>
    <w:p w14:paraId="187B79D6" w14:textId="77777777" w:rsidR="00852643" w:rsidRDefault="00000000">
      <w:pPr>
        <w:pStyle w:val="Titolo2"/>
      </w:pPr>
      <w:r>
        <w:t>1.4 Statistiche descrittive del corpus</w:t>
      </w:r>
    </w:p>
    <w:p w14:paraId="53FDC95A" w14:textId="77777777" w:rsidR="00852643" w:rsidRDefault="00000000">
      <w:pPr>
        <w:spacing w:after="120" w:line="276" w:lineRule="auto"/>
      </w:pPr>
      <w:r>
        <w:t>Produrre un report con: numero di documenti per fonte e per anno, distribuzione delle lunghezze, copertura delle imprese, eventuali lacune temporali o di copertura. Questo report diventa l’Appendice C del paper.</w:t>
      </w:r>
    </w:p>
    <w:p w14:paraId="4A226DE4" w14:textId="77777777" w:rsidR="00852643" w:rsidRDefault="00000000">
      <w:r>
        <w:br w:type="page"/>
      </w:r>
    </w:p>
    <w:p w14:paraId="25DEA8C2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Fase 2 — Costruzione degli Indicatori Retrospettivi</w:t>
      </w:r>
    </w:p>
    <w:p w14:paraId="69FCE7A7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6–8 settimane</w:t>
      </w:r>
    </w:p>
    <w:p w14:paraId="264FCEF5" w14:textId="77777777" w:rsidR="00852643" w:rsidRDefault="00000000">
      <w:pPr>
        <w:pStyle w:val="Titolo2"/>
      </w:pPr>
      <w:r>
        <w:t>2A — Indicatori News-</w:t>
      </w:r>
      <w:proofErr w:type="spellStart"/>
      <w:r>
        <w:t>Based</w:t>
      </w:r>
      <w:proofErr w:type="spellEnd"/>
    </w:p>
    <w:p w14:paraId="5EC345F3" w14:textId="77777777" w:rsidR="00852643" w:rsidRDefault="00000000">
      <w:pPr>
        <w:pStyle w:val="Titolo3"/>
      </w:pPr>
      <w:r>
        <w:t xml:space="preserve">2A.1 Coverage </w:t>
      </w:r>
      <w:proofErr w:type="spellStart"/>
      <w:r>
        <w:t>intensity</w:t>
      </w:r>
      <w:proofErr w:type="spellEnd"/>
    </w:p>
    <w:p w14:paraId="045F56EB" w14:textId="77777777" w:rsidR="00852643" w:rsidRDefault="00000000">
      <w:pPr>
        <w:spacing w:after="120" w:line="276" w:lineRule="auto"/>
      </w:pPr>
      <w:r>
        <w:t xml:space="preserve">Per ciascun tema candidato, costruire una serie temporale mensile (o settimanale) del numero di articoli che menzionano il tema, normalizzato per il volume totale di articoli nel periodo. Applicare </w:t>
      </w:r>
      <w:proofErr w:type="spellStart"/>
      <w:r>
        <w:t>smoothing</w:t>
      </w:r>
      <w:proofErr w:type="spellEnd"/>
      <w:r>
        <w:t xml:space="preserve"> (media mobile o filtro HP) per separare </w:t>
      </w:r>
      <w:proofErr w:type="gramStart"/>
      <w:r>
        <w:t>trend</w:t>
      </w:r>
      <w:proofErr w:type="gramEnd"/>
      <w:r>
        <w:t xml:space="preserve"> e componente ciclica.</w:t>
      </w:r>
    </w:p>
    <w:p w14:paraId="58962E77" w14:textId="77777777" w:rsidR="00852643" w:rsidRDefault="00000000">
      <w:pPr>
        <w:pStyle w:val="Titolo3"/>
      </w:pPr>
      <w:r>
        <w:t xml:space="preserve">2A.2 Burst </w:t>
      </w:r>
      <w:proofErr w:type="spellStart"/>
      <w:r>
        <w:t>detection</w:t>
      </w:r>
      <w:proofErr w:type="spellEnd"/>
    </w:p>
    <w:p w14:paraId="148174CF" w14:textId="77777777" w:rsidR="00852643" w:rsidRDefault="00000000">
      <w:pPr>
        <w:spacing w:after="120" w:line="276" w:lineRule="auto"/>
      </w:pPr>
      <w:r>
        <w:t xml:space="preserve">Implementare l’algoritmo di Kleinberg (o varianti: </w:t>
      </w:r>
      <w:proofErr w:type="spellStart"/>
      <w:r>
        <w:t>Bursty</w:t>
      </w:r>
      <w:proofErr w:type="spellEnd"/>
      <w:r>
        <w:t xml:space="preserve">-HMM, CUSUM) sulle serie di frequenza per identificare gli intervalli di attenzione anomala. Output: per ogni tema, una sequenza di burst </w:t>
      </w:r>
      <w:proofErr w:type="spellStart"/>
      <w:r>
        <w:t>intervals</w:t>
      </w:r>
      <w:proofErr w:type="spellEnd"/>
      <w:r>
        <w:t xml:space="preserve"> con inizio, fine e intensità.</w:t>
      </w:r>
    </w:p>
    <w:p w14:paraId="456ADA0D" w14:textId="77777777" w:rsidR="00852643" w:rsidRDefault="00000000">
      <w:pPr>
        <w:pStyle w:val="Titolo3"/>
      </w:pPr>
      <w:r>
        <w:t xml:space="preserve">2A.3 </w:t>
      </w:r>
      <w:proofErr w:type="spellStart"/>
      <w:r>
        <w:t>Novelty</w:t>
      </w:r>
      <w:proofErr w:type="spellEnd"/>
      <w:r>
        <w:t xml:space="preserve"> e semantic drift</w:t>
      </w:r>
    </w:p>
    <w:p w14:paraId="2F3C0F0C" w14:textId="77777777" w:rsidR="00852643" w:rsidRDefault="00000000">
      <w:pPr>
        <w:spacing w:after="120" w:line="276" w:lineRule="auto"/>
      </w:pPr>
      <w:r>
        <w:t xml:space="preserve">Generare </w:t>
      </w:r>
      <w:proofErr w:type="spellStart"/>
      <w:r>
        <w:t>embedding</w:t>
      </w:r>
      <w:proofErr w:type="spellEnd"/>
      <w:r>
        <w:t xml:space="preserve"> dei paragrafi contenenti il tema candidato usando un modello </w:t>
      </w:r>
      <w:proofErr w:type="spellStart"/>
      <w:r>
        <w:t>pre-trained</w:t>
      </w:r>
      <w:proofErr w:type="spellEnd"/>
      <w:r>
        <w:t xml:space="preserve"> (es. </w:t>
      </w:r>
      <w:proofErr w:type="spellStart"/>
      <w:r>
        <w:t>FinBERT</w:t>
      </w:r>
      <w:proofErr w:type="spellEnd"/>
      <w:r>
        <w:t xml:space="preserve">, </w:t>
      </w:r>
      <w:proofErr w:type="spellStart"/>
      <w:r>
        <w:t>all-MiniLM</w:t>
      </w:r>
      <w:proofErr w:type="spellEnd"/>
      <w:r>
        <w:t>, o un LLM più recente). Per ogni finestra temporale:</w:t>
      </w:r>
    </w:p>
    <w:p w14:paraId="2E1A0F89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Calcolare la </w:t>
      </w:r>
      <w:r>
        <w:rPr>
          <w:b/>
          <w:bCs/>
        </w:rPr>
        <w:t>distanza coseno media</w:t>
      </w:r>
      <w:r>
        <w:t xml:space="preserve"> tra gli </w:t>
      </w:r>
      <w:proofErr w:type="spellStart"/>
      <w:r>
        <w:t>embedding</w:t>
      </w:r>
      <w:proofErr w:type="spellEnd"/>
      <w:r>
        <w:t xml:space="preserve"> del periodo corrente e quelli del periodo precedente → serie temporale di </w:t>
      </w:r>
      <w:proofErr w:type="spellStart"/>
      <w:r>
        <w:t>novelty</w:t>
      </w:r>
      <w:proofErr w:type="spellEnd"/>
      <w:r>
        <w:t>.</w:t>
      </w:r>
    </w:p>
    <w:p w14:paraId="38D2BBE2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Calcolare la </w:t>
      </w:r>
      <w:r>
        <w:rPr>
          <w:b/>
          <w:bCs/>
        </w:rPr>
        <w:t>dispersione intra-periodo</w:t>
      </w:r>
      <w:r>
        <w:t xml:space="preserve"> (deviazione standard delle distanze) → misura di consolidamento semantico.</w:t>
      </w:r>
    </w:p>
    <w:p w14:paraId="077EA106" w14:textId="77777777" w:rsidR="00852643" w:rsidRDefault="00000000">
      <w:pPr>
        <w:spacing w:after="120" w:line="276" w:lineRule="auto"/>
      </w:pPr>
      <w:r>
        <w:rPr>
          <w:i/>
          <w:iCs/>
        </w:rPr>
        <w:t xml:space="preserve">Un tema che si consolida mostra </w:t>
      </w:r>
      <w:proofErr w:type="spellStart"/>
      <w:r>
        <w:rPr>
          <w:i/>
          <w:iCs/>
        </w:rPr>
        <w:t>novelty</w:t>
      </w:r>
      <w:proofErr w:type="spellEnd"/>
      <w:r>
        <w:rPr>
          <w:i/>
          <w:iCs/>
        </w:rPr>
        <w:t xml:space="preserve"> decrescente e dispersione decrescente dopo il burst iniziale.</w:t>
      </w:r>
    </w:p>
    <w:p w14:paraId="1FF42771" w14:textId="77777777" w:rsidR="00852643" w:rsidRDefault="00000000">
      <w:pPr>
        <w:pStyle w:val="Titolo3"/>
      </w:pPr>
      <w:r>
        <w:t xml:space="preserve">2A.4 </w:t>
      </w:r>
      <w:proofErr w:type="spellStart"/>
      <w:r>
        <w:t>Entity</w:t>
      </w:r>
      <w:proofErr w:type="spellEnd"/>
      <w:r>
        <w:t xml:space="preserve"> co-</w:t>
      </w:r>
      <w:proofErr w:type="spellStart"/>
      <w:r>
        <w:t>mention</w:t>
      </w:r>
      <w:proofErr w:type="spellEnd"/>
      <w:r>
        <w:t xml:space="preserve"> network</w:t>
      </w:r>
    </w:p>
    <w:p w14:paraId="7499DFBB" w14:textId="77777777" w:rsidR="00852643" w:rsidRDefault="00000000">
      <w:pPr>
        <w:spacing w:after="120" w:line="276" w:lineRule="auto"/>
      </w:pPr>
      <w:r>
        <w:t>Per ogni finestra temporale, costruire un grafo bipartito tema × entità (imprese, regolatori, tecnologie menzionate nello stesso paragrafo/articolo). Tracciare nel tempo: numero di nodi, densità del grafo, centralità del tema. L’espansione della rete indica diffusione cross-settoriale.</w:t>
      </w:r>
    </w:p>
    <w:p w14:paraId="4E29064A" w14:textId="77777777" w:rsidR="00852643" w:rsidRDefault="00000000">
      <w:pPr>
        <w:pStyle w:val="Titolo3"/>
      </w:pPr>
      <w:r>
        <w:t xml:space="preserve">2A.5 Contextual </w:t>
      </w:r>
      <w:proofErr w:type="spellStart"/>
      <w:r>
        <w:t>diversification</w:t>
      </w:r>
      <w:proofErr w:type="spellEnd"/>
    </w:p>
    <w:p w14:paraId="16E31A61" w14:textId="77777777" w:rsidR="00852643" w:rsidRDefault="00000000">
      <w:pPr>
        <w:spacing w:after="120" w:line="276" w:lineRule="auto"/>
      </w:pPr>
      <w:r>
        <w:t xml:space="preserve">Classificare ciascun articolo per settore industriale (tramite le imprese menzionate) e per </w:t>
      </w:r>
      <w:proofErr w:type="spellStart"/>
      <w:r>
        <w:t>topic</w:t>
      </w:r>
      <w:proofErr w:type="spellEnd"/>
      <w:r>
        <w:t xml:space="preserve"> (tramite un </w:t>
      </w:r>
      <w:proofErr w:type="spellStart"/>
      <w:r>
        <w:t>topic</w:t>
      </w:r>
      <w:proofErr w:type="spellEnd"/>
      <w:r>
        <w:t xml:space="preserve"> model LDA/</w:t>
      </w:r>
      <w:proofErr w:type="spellStart"/>
      <w:r>
        <w:t>BERTopic</w:t>
      </w:r>
      <w:proofErr w:type="spellEnd"/>
      <w:r>
        <w:t xml:space="preserve"> sul corpus news). Per ogni tema candidato, costruire un indice di diversificazione (es. entropia di Shannon della distribuzione settoriale e tematica). Un rischio che emerge appare inizialmente in contesti ristretti e poi si diversifica.</w:t>
      </w:r>
    </w:p>
    <w:p w14:paraId="2177B862" w14:textId="77777777" w:rsidR="00852643" w:rsidRDefault="00000000">
      <w:pPr>
        <w:pStyle w:val="Titolo2"/>
      </w:pPr>
      <w:r>
        <w:t>2B — Indicatori Disclosure-</w:t>
      </w:r>
      <w:proofErr w:type="spellStart"/>
      <w:r>
        <w:t>Based</w:t>
      </w:r>
      <w:proofErr w:type="spellEnd"/>
    </w:p>
    <w:p w14:paraId="08E94379" w14:textId="77777777" w:rsidR="00852643" w:rsidRDefault="00000000">
      <w:pPr>
        <w:pStyle w:val="Titolo3"/>
      </w:pPr>
      <w:r>
        <w:t xml:space="preserve">2B.1 </w:t>
      </w:r>
      <w:proofErr w:type="spellStart"/>
      <w:r>
        <w:t>Diffusion</w:t>
      </w:r>
      <w:proofErr w:type="spellEnd"/>
      <w:r>
        <w:t xml:space="preserve"> curve Dᵣ(t)</w:t>
      </w:r>
    </w:p>
    <w:p w14:paraId="77CE3173" w14:textId="77777777" w:rsidR="00852643" w:rsidRDefault="00000000">
      <w:pPr>
        <w:spacing w:after="120" w:line="276" w:lineRule="auto"/>
      </w:pPr>
      <w:r>
        <w:t xml:space="preserve">Per ogni tema candidato r, calcolare la frazione di imprese che menzionano r nella sezione Risk </w:t>
      </w:r>
      <w:proofErr w:type="spellStart"/>
      <w:r>
        <w:t>Factors</w:t>
      </w:r>
      <w:proofErr w:type="spellEnd"/>
      <w:r>
        <w:t xml:space="preserve"> del 10-K, anno per anno. Questa è la curva chiave per la definizione dell’</w:t>
      </w:r>
      <w:proofErr w:type="spellStart"/>
      <w:r>
        <w:t>emergence</w:t>
      </w:r>
      <w:proofErr w:type="spellEnd"/>
      <w:r>
        <w:t xml:space="preserve"> time t*.</w:t>
      </w:r>
    </w:p>
    <w:p w14:paraId="3C4C0755" w14:textId="77777777" w:rsidR="00852643" w:rsidRDefault="00000000">
      <w:pPr>
        <w:pStyle w:val="Titolo3"/>
      </w:pPr>
      <w:r>
        <w:lastRenderedPageBreak/>
        <w:t xml:space="preserve">2B.2 Disclosure </w:t>
      </w:r>
      <w:proofErr w:type="spellStart"/>
      <w:r>
        <w:t>intensity</w:t>
      </w:r>
      <w:proofErr w:type="spellEnd"/>
    </w:p>
    <w:p w14:paraId="4BC219C6" w14:textId="77777777" w:rsidR="00852643" w:rsidRDefault="00000000">
      <w:pPr>
        <w:spacing w:after="120" w:line="276" w:lineRule="auto"/>
      </w:pPr>
      <w:r>
        <w:t>Per le imprese che menzionano il tema, calcolare:</w:t>
      </w:r>
    </w:p>
    <w:p w14:paraId="7063AF39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Numero di paragrafi dedicati.</w:t>
      </w:r>
    </w:p>
    <w:p w14:paraId="3B4605EF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lang w:val="en-GB"/>
        </w:rPr>
        <w:t>Fraction of Risk Factors section dedicata al tema.</w:t>
      </w:r>
    </w:p>
    <w:p w14:paraId="085E6EC8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Posizione del tema nella sezione (i rischi percepiti come più importanti tendono a comparire prima).</w:t>
      </w:r>
    </w:p>
    <w:p w14:paraId="29CC90AD" w14:textId="77777777" w:rsidR="00852643" w:rsidRDefault="00000000">
      <w:pPr>
        <w:pStyle w:val="Titolo3"/>
      </w:pPr>
      <w:r>
        <w:t xml:space="preserve">2B.3 8-K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27D70228" w14:textId="77777777" w:rsidR="00852643" w:rsidRDefault="00000000">
      <w:pPr>
        <w:spacing w:after="120" w:line="276" w:lineRule="auto"/>
      </w:pPr>
      <w:r>
        <w:t>Costruire una serie temporale mensile del numero di 8-K che menzionano il tema, normalizzata per il totale di 8-K. Calcolare il lead rispetto alla prima apparizione nei 10-K della stessa impresa.</w:t>
      </w:r>
    </w:p>
    <w:p w14:paraId="7E7A930B" w14:textId="77777777" w:rsidR="00852643" w:rsidRDefault="00000000">
      <w:pPr>
        <w:pStyle w:val="Titolo3"/>
      </w:pPr>
      <w:r>
        <w:t>2B.4 Co-</w:t>
      </w:r>
      <w:proofErr w:type="spellStart"/>
      <w:r>
        <w:t>occurrence</w:t>
      </w:r>
      <w:proofErr w:type="spellEnd"/>
      <w:r>
        <w:t xml:space="preserve"> con risk </w:t>
      </w:r>
      <w:proofErr w:type="spellStart"/>
      <w:r>
        <w:t>categories</w:t>
      </w:r>
      <w:proofErr w:type="spellEnd"/>
      <w:r>
        <w:t xml:space="preserve"> esistenti</w:t>
      </w:r>
    </w:p>
    <w:p w14:paraId="3F67F705" w14:textId="77777777" w:rsidR="00852643" w:rsidRDefault="00000000">
      <w:pPr>
        <w:spacing w:after="120" w:line="276" w:lineRule="auto"/>
      </w:pPr>
      <w:r>
        <w:t>Costruire una matrice di co-occorrenza tema × risk-</w:t>
      </w:r>
      <w:proofErr w:type="spellStart"/>
      <w:r>
        <w:t>category</w:t>
      </w:r>
      <w:proofErr w:type="spellEnd"/>
      <w:r>
        <w:t xml:space="preserve"> per ogni anno. Le categorie di rischio esistenti possono essere identificate tramite le top keywords nella sezione Risk </w:t>
      </w:r>
      <w:proofErr w:type="spellStart"/>
      <w:r>
        <w:t>Factors</w:t>
      </w:r>
      <w:proofErr w:type="spellEnd"/>
      <w:r>
        <w:t xml:space="preserve"> o tramite la tassonomia SEC. Tracciare come il tema candidato si associa inizialmente a categorie esistenti e poi si differenzia (comparendo da solo o in sottosezioni dedicate).</w:t>
      </w:r>
    </w:p>
    <w:p w14:paraId="127C558F" w14:textId="77777777" w:rsidR="00852643" w:rsidRDefault="00000000">
      <w:r>
        <w:br w:type="page"/>
      </w:r>
    </w:p>
    <w:p w14:paraId="46EB0127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 xml:space="preserve">Fase 3 — Stima del Tempo di </w:t>
      </w:r>
      <w:proofErr w:type="spellStart"/>
      <w:r>
        <w:t>Emergence</w:t>
      </w:r>
      <w:proofErr w:type="spellEnd"/>
      <w:r>
        <w:t xml:space="preserve"> t*</w:t>
      </w:r>
    </w:p>
    <w:p w14:paraId="40980378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3–4 settimane</w:t>
      </w:r>
    </w:p>
    <w:p w14:paraId="22C9E551" w14:textId="77777777" w:rsidR="00852643" w:rsidRDefault="00000000">
      <w:pPr>
        <w:pStyle w:val="Titolo2"/>
      </w:pPr>
      <w:r>
        <w:t xml:space="preserve">3.1 Change-point </w:t>
      </w:r>
      <w:proofErr w:type="spellStart"/>
      <w:r>
        <w:t>detection</w:t>
      </w:r>
      <w:proofErr w:type="spellEnd"/>
    </w:p>
    <w:p w14:paraId="366F1C48" w14:textId="77777777" w:rsidR="00852643" w:rsidRDefault="00000000">
      <w:pPr>
        <w:spacing w:after="120" w:line="276" w:lineRule="auto"/>
      </w:pPr>
      <w:r>
        <w:t xml:space="preserve">Applicare metodi di </w:t>
      </w:r>
      <w:proofErr w:type="spellStart"/>
      <w:r>
        <w:t>change</w:t>
      </w:r>
      <w:proofErr w:type="spellEnd"/>
      <w:r>
        <w:t xml:space="preserve">-point </w:t>
      </w:r>
      <w:proofErr w:type="spellStart"/>
      <w:r>
        <w:t>detection</w:t>
      </w:r>
      <w:proofErr w:type="spellEnd"/>
      <w:r>
        <w:t xml:space="preserve"> alla curva di diffusione Dᵣ(t):</w:t>
      </w:r>
    </w:p>
    <w:p w14:paraId="5F9CD769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b/>
          <w:bCs/>
          <w:lang w:val="en-GB"/>
        </w:rPr>
        <w:t>PELT</w:t>
      </w:r>
      <w:r w:rsidRPr="005A0412">
        <w:rPr>
          <w:lang w:val="en-GB"/>
        </w:rPr>
        <w:t xml:space="preserve"> (Pruned Exact Linear Time) per change-point multipli.</w:t>
      </w:r>
    </w:p>
    <w:p w14:paraId="1F00CE82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b/>
          <w:bCs/>
          <w:lang w:val="en-GB"/>
        </w:rPr>
        <w:t>Bayesian change-point</w:t>
      </w:r>
      <w:r w:rsidRPr="005A0412">
        <w:rPr>
          <w:lang w:val="en-GB"/>
        </w:rPr>
        <w:t xml:space="preserve"> (pacchetto </w:t>
      </w:r>
      <w:r w:rsidRPr="005A0412">
        <w:rPr>
          <w:rFonts w:ascii="Consolas" w:eastAsia="Consolas" w:hAnsi="Consolas" w:cs="Consolas"/>
          <w:sz w:val="20"/>
          <w:szCs w:val="20"/>
          <w:lang w:val="en-GB"/>
        </w:rPr>
        <w:t>ruptures</w:t>
      </w:r>
      <w:r w:rsidRPr="005A0412">
        <w:rPr>
          <w:lang w:val="en-GB"/>
        </w:rPr>
        <w:t xml:space="preserve"> in Python o </w:t>
      </w:r>
      <w:r w:rsidRPr="005A0412">
        <w:rPr>
          <w:rFonts w:ascii="Consolas" w:eastAsia="Consolas" w:hAnsi="Consolas" w:cs="Consolas"/>
          <w:sz w:val="20"/>
          <w:szCs w:val="20"/>
          <w:lang w:val="en-GB"/>
        </w:rPr>
        <w:t>bcp</w:t>
      </w:r>
      <w:r w:rsidRPr="005A0412">
        <w:rPr>
          <w:lang w:val="en-GB"/>
        </w:rPr>
        <w:t xml:space="preserve"> in R).</w:t>
      </w:r>
    </w:p>
    <w:p w14:paraId="7CFF1243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b/>
          <w:bCs/>
        </w:rPr>
        <w:t>Test CUSUM</w:t>
      </w:r>
      <w:r>
        <w:t xml:space="preserve"> come alternativa non-parametrica.</w:t>
      </w:r>
    </w:p>
    <w:p w14:paraId="606C87A7" w14:textId="77777777" w:rsidR="00852643" w:rsidRDefault="00000000">
      <w:pPr>
        <w:spacing w:after="120" w:line="276" w:lineRule="auto"/>
      </w:pPr>
      <w:r>
        <w:t xml:space="preserve">Per ciascun tema candidato, stimare t* come il primo </w:t>
      </w:r>
      <w:proofErr w:type="spellStart"/>
      <w:r>
        <w:t>change</w:t>
      </w:r>
      <w:proofErr w:type="spellEnd"/>
      <w:r>
        <w:t>-point significativo in cui Dᵣ(t) transita da un regime basso a un regime alto.</w:t>
      </w:r>
    </w:p>
    <w:p w14:paraId="3E9D007D" w14:textId="77777777" w:rsidR="00852643" w:rsidRDefault="00000000">
      <w:pPr>
        <w:pStyle w:val="Titolo2"/>
      </w:pPr>
      <w:r>
        <w:t>3.2 Validazione della stima di t*</w:t>
      </w:r>
    </w:p>
    <w:p w14:paraId="282887B0" w14:textId="77777777" w:rsidR="00852643" w:rsidRDefault="00000000">
      <w:pPr>
        <w:spacing w:after="120" w:line="276" w:lineRule="auto"/>
      </w:pPr>
      <w:r>
        <w:t xml:space="preserve">Confrontare le stime di t* con le date degli eventi esterni documentati nella Fase 0.4. Calcolare la distanza media (in mesi) tra t* stimato e l’evento esterno più prossimo. Verificare la robustezza variando: la soglia di significatività, il metodo di </w:t>
      </w:r>
      <w:proofErr w:type="spellStart"/>
      <w:r>
        <w:t>change</w:t>
      </w:r>
      <w:proofErr w:type="spellEnd"/>
      <w:r>
        <w:t>-point, la definizione della variabile Dᵣ(t).</w:t>
      </w:r>
    </w:p>
    <w:p w14:paraId="35EA4155" w14:textId="77777777" w:rsidR="00852643" w:rsidRDefault="00000000">
      <w:pPr>
        <w:pStyle w:val="Titolo2"/>
      </w:pPr>
      <w:r>
        <w:t xml:space="preserve">3.3 Lead-lag </w:t>
      </w:r>
      <w:proofErr w:type="spellStart"/>
      <w:r>
        <w:t>analysis</w:t>
      </w:r>
      <w:proofErr w:type="spellEnd"/>
    </w:p>
    <w:p w14:paraId="76D91DE9" w14:textId="77777777" w:rsidR="00852643" w:rsidRDefault="00000000">
      <w:pPr>
        <w:spacing w:after="120" w:line="276" w:lineRule="auto"/>
      </w:pPr>
      <w:r>
        <w:t xml:space="preserve">Per ogni tema con t* identificato, stimare con Granger </w:t>
      </w:r>
      <w:proofErr w:type="spellStart"/>
      <w:r>
        <w:t>causality</w:t>
      </w:r>
      <w:proofErr w:type="spellEnd"/>
      <w:r>
        <w:t xml:space="preserve"> test e cross-</w:t>
      </w:r>
      <w:proofErr w:type="spellStart"/>
      <w:r>
        <w:t>correlation</w:t>
      </w:r>
      <w:proofErr w:type="spellEnd"/>
      <w:r>
        <w:t xml:space="preserve"> le relazioni temporali tra:</w:t>
      </w:r>
    </w:p>
    <w:p w14:paraId="025D7127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lang w:val="en-GB"/>
        </w:rPr>
        <w:t>News coverage intensity → 8-K mentions → 10-K adoption.</w:t>
      </w:r>
    </w:p>
    <w:p w14:paraId="55CAA23C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lang w:val="en-GB"/>
        </w:rPr>
        <w:t>Burst detection in news → primo change-point in D</w:t>
      </w:r>
      <w:r>
        <w:t>ᵣ</w:t>
      </w:r>
      <w:r w:rsidRPr="005A0412">
        <w:rPr>
          <w:lang w:val="en-GB"/>
        </w:rPr>
        <w:t>(t).</w:t>
      </w:r>
    </w:p>
    <w:p w14:paraId="59BEB310" w14:textId="77777777" w:rsidR="00852643" w:rsidRDefault="00000000">
      <w:pPr>
        <w:spacing w:after="120" w:line="276" w:lineRule="auto"/>
      </w:pPr>
      <w:r>
        <w:t>Documentare il lead tipico (in mesi o trimestri) tra segnale news e istituzionalizzazione.</w:t>
      </w:r>
    </w:p>
    <w:p w14:paraId="03E84070" w14:textId="77777777" w:rsidR="00852643" w:rsidRDefault="00000000">
      <w:r>
        <w:br w:type="page"/>
      </w:r>
    </w:p>
    <w:p w14:paraId="7FFCB112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Fase 4 — Modelli di Event-History (Hazard Models)</w:t>
      </w:r>
    </w:p>
    <w:p w14:paraId="1C21FC13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4–5 settimane</w:t>
      </w:r>
    </w:p>
    <w:p w14:paraId="5ED0142E" w14:textId="77777777" w:rsidR="00852643" w:rsidRDefault="00000000">
      <w:pPr>
        <w:pStyle w:val="Titolo2"/>
      </w:pPr>
      <w:r>
        <w:t>4.1 Definizione dell’evento</w:t>
      </w:r>
    </w:p>
    <w:p w14:paraId="6FA31A26" w14:textId="77777777" w:rsidR="00852643" w:rsidRDefault="00000000">
      <w:pPr>
        <w:spacing w:after="120" w:line="276" w:lineRule="auto"/>
      </w:pPr>
      <w:r>
        <w:t>L’evento di interesse è la prima volta che un’impresa i menziona il risk r nella sezione Item 1A del 10-K. Ogni impresa entra nel risk set alla prima data disponibile nel campione e ne esce (censurata) se non adotta il rischio entro la fine del campione.</w:t>
      </w:r>
    </w:p>
    <w:p w14:paraId="5F2F2428" w14:textId="77777777" w:rsidR="00852643" w:rsidRDefault="00000000">
      <w:pPr>
        <w:pStyle w:val="Titolo2"/>
      </w:pPr>
      <w:r>
        <w:t>4.2 Specificazione del modello</w:t>
      </w:r>
    </w:p>
    <w:p w14:paraId="2E8AF237" w14:textId="77777777" w:rsidR="00852643" w:rsidRDefault="00000000">
      <w:pPr>
        <w:spacing w:after="120" w:line="276" w:lineRule="auto"/>
      </w:pPr>
      <w:r>
        <w:t xml:space="preserve">Stimare un Cox </w:t>
      </w:r>
      <w:proofErr w:type="spellStart"/>
      <w:r>
        <w:t>proportional</w:t>
      </w:r>
      <w:proofErr w:type="spellEnd"/>
      <w:r>
        <w:t xml:space="preserve"> hazard model (o un modello parametrico: </w:t>
      </w:r>
      <w:proofErr w:type="spellStart"/>
      <w:r>
        <w:t>Weibull</w:t>
      </w:r>
      <w:proofErr w:type="spellEnd"/>
      <w:r>
        <w:t>, log-</w:t>
      </w:r>
      <w:proofErr w:type="spellStart"/>
      <w:r>
        <w:t>logistic</w:t>
      </w:r>
      <w:proofErr w:type="spellEnd"/>
      <w:r>
        <w:t xml:space="preserve">) con le seguenti </w:t>
      </w:r>
      <w:proofErr w:type="spellStart"/>
      <w:r>
        <w:t>covariate</w:t>
      </w:r>
      <w:proofErr w:type="spellEnd"/>
      <w:r>
        <w:t>:</w:t>
      </w:r>
    </w:p>
    <w:p w14:paraId="237B0019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Indicatori news-</w:t>
      </w:r>
      <w:proofErr w:type="spellStart"/>
      <w:r>
        <w:t>based</w:t>
      </w:r>
      <w:proofErr w:type="spellEnd"/>
      <w:r>
        <w:t xml:space="preserve"> specifici del tema (coverage </w:t>
      </w:r>
      <w:proofErr w:type="spellStart"/>
      <w:r>
        <w:t>intensity</w:t>
      </w:r>
      <w:proofErr w:type="spellEnd"/>
      <w:r>
        <w:t xml:space="preserve">, </w:t>
      </w:r>
      <w:proofErr w:type="spellStart"/>
      <w:r>
        <w:t>novelty</w:t>
      </w:r>
      <w:proofErr w:type="spellEnd"/>
      <w:r>
        <w:t xml:space="preserve">, burst </w:t>
      </w:r>
      <w:proofErr w:type="spellStart"/>
      <w:r>
        <w:t>indicator</w:t>
      </w:r>
      <w:proofErr w:type="spellEnd"/>
      <w:r>
        <w:t xml:space="preserve">) — </w:t>
      </w:r>
      <w:r>
        <w:rPr>
          <w:i/>
          <w:iCs/>
        </w:rPr>
        <w:t>variabili time-</w:t>
      </w:r>
      <w:proofErr w:type="spellStart"/>
      <w:r>
        <w:rPr>
          <w:i/>
          <w:iCs/>
        </w:rPr>
        <w:t>varying</w:t>
      </w:r>
      <w:proofErr w:type="spellEnd"/>
      <w:r>
        <w:t>.</w:t>
      </w:r>
    </w:p>
    <w:p w14:paraId="40BF89F0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Esposizione settoriale dell’impresa (SIC code, prossimità al settore più colpito).</w:t>
      </w:r>
    </w:p>
    <w:p w14:paraId="0F1B8146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Dimensione dell’impresa (log </w:t>
      </w:r>
      <w:proofErr w:type="spellStart"/>
      <w:r>
        <w:t>total</w:t>
      </w:r>
      <w:proofErr w:type="spellEnd"/>
      <w:r>
        <w:t xml:space="preserve"> assets).</w:t>
      </w:r>
    </w:p>
    <w:p w14:paraId="2D3B200A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Peer </w:t>
      </w:r>
      <w:proofErr w:type="spellStart"/>
      <w:r>
        <w:t>effects</w:t>
      </w:r>
      <w:proofErr w:type="spellEnd"/>
      <w:r>
        <w:t xml:space="preserve"> — frazione di imprese nello stesso settore che hanno già adottato il rischio.</w:t>
      </w:r>
    </w:p>
    <w:p w14:paraId="5048EFA8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Indicatori macro (VIX, EPU).</w:t>
      </w:r>
    </w:p>
    <w:p w14:paraId="191ED993" w14:textId="77777777" w:rsidR="00852643" w:rsidRDefault="00000000">
      <w:pPr>
        <w:pStyle w:val="Titolo2"/>
      </w:pPr>
      <w:r>
        <w:t xml:space="preserve">4.3 Estensione: </w:t>
      </w:r>
      <w:proofErr w:type="spellStart"/>
      <w:r>
        <w:t>competing</w:t>
      </w:r>
      <w:proofErr w:type="spellEnd"/>
      <w:r>
        <w:t xml:space="preserve"> risks</w:t>
      </w:r>
    </w:p>
    <w:p w14:paraId="4F8D9233" w14:textId="77777777" w:rsidR="00852643" w:rsidRDefault="00000000">
      <w:pPr>
        <w:spacing w:after="120" w:line="276" w:lineRule="auto"/>
      </w:pPr>
      <w:r>
        <w:t>Se più temi emergono nello stesso periodo, considerare un modello a rischi competitivi (Fine-Gray) per tener conto del fatto che l’adozione di un rischio può influenzare la probabilità di adozione di un altro.</w:t>
      </w:r>
    </w:p>
    <w:p w14:paraId="052E9868" w14:textId="77777777" w:rsidR="00852643" w:rsidRDefault="00000000">
      <w:pPr>
        <w:pStyle w:val="Titolo2"/>
      </w:pPr>
      <w:r>
        <w:t>4.4 Diagnostica</w:t>
      </w:r>
    </w:p>
    <w:p w14:paraId="67997424" w14:textId="77777777" w:rsidR="00852643" w:rsidRDefault="00000000">
      <w:pPr>
        <w:spacing w:after="120" w:line="276" w:lineRule="auto"/>
      </w:pPr>
      <w:r>
        <w:t xml:space="preserve">Verificare l’assunzione di proporzionalità (Schoenfeld </w:t>
      </w:r>
      <w:proofErr w:type="spellStart"/>
      <w:r>
        <w:t>residuals</w:t>
      </w:r>
      <w:proofErr w:type="spellEnd"/>
      <w:r>
        <w:t xml:space="preserve">), testare forme funzionali alternative per le </w:t>
      </w:r>
      <w:proofErr w:type="spellStart"/>
      <w:r>
        <w:t>covariate</w:t>
      </w:r>
      <w:proofErr w:type="spellEnd"/>
      <w:r>
        <w:t xml:space="preserve"> continue, valutare l’influenza di osservazioni anomale.</w:t>
      </w:r>
    </w:p>
    <w:p w14:paraId="05098949" w14:textId="77777777" w:rsidR="00852643" w:rsidRDefault="00000000">
      <w:r>
        <w:br w:type="page"/>
      </w:r>
    </w:p>
    <w:p w14:paraId="59E460D4" w14:textId="77777777" w:rsidR="00852643" w:rsidRPr="005A0412" w:rsidRDefault="00000000">
      <w:pPr>
        <w:pStyle w:val="Titolo1"/>
        <w:pBdr>
          <w:bottom w:val="single" w:sz="6" w:space="4" w:color="2E75B6"/>
        </w:pBdr>
        <w:rPr>
          <w:lang w:val="en-GB"/>
        </w:rPr>
      </w:pPr>
      <w:r w:rsidRPr="005A0412">
        <w:rPr>
          <w:lang w:val="en-GB"/>
        </w:rPr>
        <w:lastRenderedPageBreak/>
        <w:t>Fase 5 — Framework Forward-Looking (Early Warning)</w:t>
      </w:r>
    </w:p>
    <w:p w14:paraId="29637E68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5–6 settimane</w:t>
      </w:r>
    </w:p>
    <w:p w14:paraId="68F52A01" w14:textId="77777777" w:rsidR="00852643" w:rsidRDefault="00000000">
      <w:pPr>
        <w:pStyle w:val="Titolo2"/>
      </w:pPr>
      <w:r>
        <w:t>5.1 Feature engineering</w:t>
      </w:r>
    </w:p>
    <w:p w14:paraId="20595A7B" w14:textId="77777777" w:rsidR="00852643" w:rsidRDefault="00000000">
      <w:pPr>
        <w:spacing w:after="120" w:line="276" w:lineRule="auto"/>
      </w:pPr>
      <w:r>
        <w:t xml:space="preserve">Per ogni tema candidato e per ogni data di previsione τ, calcolare l’intero set di indicatori (Fase 2) usando esclusivamente informazione disponibile fino a τ. </w:t>
      </w:r>
      <w:r>
        <w:rPr>
          <w:b/>
          <w:bCs/>
        </w:rPr>
        <w:t>Nessun look-</w:t>
      </w:r>
      <w:proofErr w:type="spellStart"/>
      <w:r>
        <w:rPr>
          <w:b/>
          <w:bCs/>
        </w:rPr>
        <w:t>ahead</w:t>
      </w:r>
      <w:proofErr w:type="spellEnd"/>
      <w:r>
        <w:rPr>
          <w:b/>
          <w:bCs/>
        </w:rPr>
        <w:t>.</w:t>
      </w:r>
      <w:r>
        <w:t xml:space="preserve"> Costruire un panel: (tema, τ) → vettore di features.</w:t>
      </w:r>
    </w:p>
    <w:p w14:paraId="1EF0ECAA" w14:textId="77777777" w:rsidR="00852643" w:rsidRDefault="00000000">
      <w:pPr>
        <w:pStyle w:val="Titolo2"/>
      </w:pPr>
      <w:r>
        <w:t>5.2 Definizione del target</w:t>
      </w:r>
    </w:p>
    <w:p w14:paraId="1BB3F048" w14:textId="77777777" w:rsidR="00852643" w:rsidRDefault="00000000">
      <w:pPr>
        <w:spacing w:after="120" w:line="276" w:lineRule="auto"/>
      </w:pPr>
      <w:r>
        <w:t>La variabile dipendente è binaria: il tema ha raggiunto lo status di “</w:t>
      </w:r>
      <w:proofErr w:type="spellStart"/>
      <w:r>
        <w:t>emerged</w:t>
      </w:r>
      <w:proofErr w:type="spellEnd"/>
      <w:r>
        <w:t xml:space="preserve">” (ovvero Dᵣ(t) ha superato una soglia critica, es. 10% delle imprese, oppure il </w:t>
      </w:r>
      <w:proofErr w:type="spellStart"/>
      <w:r>
        <w:t>change</w:t>
      </w:r>
      <w:proofErr w:type="spellEnd"/>
      <w:r>
        <w:t xml:space="preserve">-point è stato raggiunto) entro un orizzonte </w:t>
      </w:r>
      <w:r>
        <w:rPr>
          <w:i/>
          <w:iCs/>
        </w:rPr>
        <w:t>h</w:t>
      </w:r>
      <w:r>
        <w:t xml:space="preserve"> da τ (h = 3, 6, 12 mesi). Per i temi storici, il target è osservabile; per i temi correnti (es. AI risk), il target è l’oggetto della previsione.</w:t>
      </w:r>
    </w:p>
    <w:p w14:paraId="6115A84F" w14:textId="77777777" w:rsidR="00852643" w:rsidRDefault="00000000">
      <w:pPr>
        <w:pStyle w:val="Titolo2"/>
      </w:pPr>
      <w:r>
        <w:t>5.3 Modello di classificazione/regressione</w:t>
      </w:r>
    </w:p>
    <w:p w14:paraId="16E6DAB5" w14:textId="77777777" w:rsidR="00852643" w:rsidRDefault="00000000">
      <w:pPr>
        <w:spacing w:after="120" w:line="276" w:lineRule="auto"/>
      </w:pPr>
      <w:r>
        <w:t xml:space="preserve">Stimare un modello </w:t>
      </w:r>
      <w:proofErr w:type="spellStart"/>
      <w:r>
        <w:t>logit</w:t>
      </w:r>
      <w:proofErr w:type="spellEnd"/>
      <w:r>
        <w:t xml:space="preserve"> (o </w:t>
      </w:r>
      <w:proofErr w:type="spellStart"/>
      <w:r>
        <w:t>probit</w:t>
      </w:r>
      <w:proofErr w:type="spellEnd"/>
      <w:r>
        <w:t xml:space="preserve">) in un </w:t>
      </w:r>
      <w:proofErr w:type="spellStart"/>
      <w:r>
        <w:t>rolling</w:t>
      </w:r>
      <w:proofErr w:type="spellEnd"/>
      <w:r>
        <w:t>-window framework:</w:t>
      </w:r>
    </w:p>
    <w:p w14:paraId="31611CD5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A ogni data τ, il training set comprende tutti i temi osservati fino a τ−h.</w:t>
      </w:r>
    </w:p>
    <w:p w14:paraId="759BF15D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Il test set è il periodo τ.</w:t>
      </w:r>
    </w:p>
    <w:p w14:paraId="7A8782C1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Calcolare la probabilità stimata di </w:t>
      </w:r>
      <w:proofErr w:type="spellStart"/>
      <w:r>
        <w:t>emergence</w:t>
      </w:r>
      <w:proofErr w:type="spellEnd"/>
      <w:r>
        <w:t xml:space="preserve"> per ogni tema nel test set.</w:t>
      </w:r>
    </w:p>
    <w:p w14:paraId="3BB01DA0" w14:textId="77777777" w:rsidR="00852643" w:rsidRDefault="00000000">
      <w:pPr>
        <w:spacing w:after="120" w:line="276" w:lineRule="auto"/>
      </w:pPr>
      <w:r>
        <w:t xml:space="preserve">Considerare anche modelli più flessibili (random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 ma privilegiare l’interpretabilità per il paper accademico.</w:t>
      </w:r>
    </w:p>
    <w:p w14:paraId="6E6D522C" w14:textId="77777777" w:rsidR="00852643" w:rsidRDefault="00000000">
      <w:pPr>
        <w:pStyle w:val="Titolo2"/>
      </w:pPr>
      <w:r>
        <w:t>5.4 Calibrazione e valutazione</w:t>
      </w:r>
    </w:p>
    <w:p w14:paraId="72F65406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Verificare la calibrazione delle probabilità (reliability </w:t>
      </w:r>
      <w:proofErr w:type="spellStart"/>
      <w:r>
        <w:t>diagram</w:t>
      </w:r>
      <w:proofErr w:type="spellEnd"/>
      <w:r>
        <w:t>).</w:t>
      </w:r>
    </w:p>
    <w:p w14:paraId="6F0255B3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Calcolare AUC, </w:t>
      </w:r>
      <w:proofErr w:type="spellStart"/>
      <w:r>
        <w:t>precision</w:t>
      </w:r>
      <w:proofErr w:type="spellEnd"/>
      <w:r>
        <w:t>-recall e F1.</w:t>
      </w:r>
    </w:p>
    <w:p w14:paraId="479EA70B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Condurre analisi di sensitività sulle definizioni di </w:t>
      </w:r>
      <w:proofErr w:type="spellStart"/>
      <w:r>
        <w:t>emergence</w:t>
      </w:r>
      <w:proofErr w:type="spellEnd"/>
      <w:r>
        <w:t xml:space="preserve"> e sulla lunghezza della finestra di </w:t>
      </w:r>
      <w:proofErr w:type="spellStart"/>
      <w:r>
        <w:t>rolling</w:t>
      </w:r>
      <w:proofErr w:type="spellEnd"/>
      <w:r>
        <w:t>.</w:t>
      </w:r>
    </w:p>
    <w:p w14:paraId="2C7B23F1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Confrontare con un benchmark </w:t>
      </w:r>
      <w:proofErr w:type="spellStart"/>
      <w:r>
        <w:t>naive</w:t>
      </w:r>
      <w:proofErr w:type="spellEnd"/>
      <w:r>
        <w:t xml:space="preserve"> (es. estrapolazione lineare della diffusione corrente).</w:t>
      </w:r>
    </w:p>
    <w:p w14:paraId="0B1EB151" w14:textId="77777777" w:rsidR="00852643" w:rsidRDefault="00000000">
      <w:pPr>
        <w:pStyle w:val="Titolo2"/>
      </w:pPr>
      <w:r>
        <w:t>5.5 Applicazione ad AI risk</w:t>
      </w:r>
    </w:p>
    <w:p w14:paraId="33851EF5" w14:textId="77777777" w:rsidR="00852643" w:rsidRDefault="00000000">
      <w:pPr>
        <w:spacing w:after="120" w:line="276" w:lineRule="auto"/>
      </w:pPr>
      <w:r>
        <w:t>Definire i sotto-temi di AI risk:</w:t>
      </w:r>
    </w:p>
    <w:p w14:paraId="15016F21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Model risk</w:t>
      </w:r>
    </w:p>
    <w:p w14:paraId="7310FB75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 xml:space="preserve">AI </w:t>
      </w:r>
      <w:proofErr w:type="spellStart"/>
      <w:r>
        <w:t>regulation</w:t>
      </w:r>
      <w:proofErr w:type="spellEnd"/>
    </w:p>
    <w:p w14:paraId="6D8BB9BA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Data governance</w:t>
      </w:r>
    </w:p>
    <w:p w14:paraId="24610916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proofErr w:type="gramStart"/>
      <w:r>
        <w:t>AI security</w:t>
      </w:r>
      <w:proofErr w:type="gramEnd"/>
    </w:p>
    <w:p w14:paraId="39A655DA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IP/</w:t>
      </w:r>
      <w:proofErr w:type="gramStart"/>
      <w:r>
        <w:t>copyright</w:t>
      </w:r>
      <w:proofErr w:type="gramEnd"/>
    </w:p>
    <w:p w14:paraId="3D386343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proofErr w:type="spellStart"/>
      <w:r>
        <w:t>Workforce</w:t>
      </w:r>
      <w:proofErr w:type="spellEnd"/>
      <w:r>
        <w:t xml:space="preserve"> </w:t>
      </w:r>
      <w:proofErr w:type="spellStart"/>
      <w:r>
        <w:t>displacement</w:t>
      </w:r>
      <w:proofErr w:type="spellEnd"/>
    </w:p>
    <w:p w14:paraId="3744DDBA" w14:textId="77777777" w:rsidR="00852643" w:rsidRDefault="00000000">
      <w:pPr>
        <w:spacing w:after="120" w:line="276" w:lineRule="auto"/>
      </w:pPr>
      <w:r>
        <w:lastRenderedPageBreak/>
        <w:t xml:space="preserve">Per ciascuno, calcolare il vettore di features al punto più recente disponibile e applicare il modello stimato per ottenere la probabilità di </w:t>
      </w:r>
      <w:proofErr w:type="spellStart"/>
      <w:r>
        <w:t>emergence</w:t>
      </w:r>
      <w:proofErr w:type="spellEnd"/>
      <w:r>
        <w:t xml:space="preserve"> a 3, 6, 12 mesi. Discutere la decomposizione delle probabilità in termini di quali indicatori trainano la previsione (Shapley </w:t>
      </w:r>
      <w:proofErr w:type="spellStart"/>
      <w:r>
        <w:t>values</w:t>
      </w:r>
      <w:proofErr w:type="spellEnd"/>
      <w:r>
        <w:t xml:space="preserve"> o coefficienti </w:t>
      </w:r>
      <w:proofErr w:type="spellStart"/>
      <w:r>
        <w:t>logit</w:t>
      </w:r>
      <w:proofErr w:type="spellEnd"/>
      <w:r>
        <w:t>).</w:t>
      </w:r>
    </w:p>
    <w:p w14:paraId="67FB00FC" w14:textId="77777777" w:rsidR="00852643" w:rsidRDefault="00000000">
      <w:r>
        <w:br w:type="page"/>
      </w:r>
    </w:p>
    <w:p w14:paraId="2361AA47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Fase 6 — Validazione di Mercato (Opzionale ma Raccomandata)</w:t>
      </w:r>
    </w:p>
    <w:p w14:paraId="74CE1A64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3–4 settimane</w:t>
      </w:r>
    </w:p>
    <w:p w14:paraId="21D75BCD" w14:textId="77777777" w:rsidR="00852643" w:rsidRDefault="00000000">
      <w:pPr>
        <w:pStyle w:val="Titolo2"/>
      </w:pPr>
      <w:r>
        <w:t>6.1 Event study attorno a t*</w:t>
      </w:r>
    </w:p>
    <w:p w14:paraId="5DE9897C" w14:textId="77777777" w:rsidR="00852643" w:rsidRDefault="00000000">
      <w:pPr>
        <w:spacing w:after="120" w:line="276" w:lineRule="auto"/>
      </w:pPr>
      <w:r>
        <w:t xml:space="preserve">Per ciascun episodio di risk </w:t>
      </w:r>
      <w:proofErr w:type="spellStart"/>
      <w:r>
        <w:t>emergence</w:t>
      </w:r>
      <w:proofErr w:type="spellEnd"/>
      <w:r>
        <w:t xml:space="preserve">, condurre un event study: calcolare </w:t>
      </w:r>
      <w:proofErr w:type="spellStart"/>
      <w:r>
        <w:t>abnormal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(modello di mercato) per le imprese nel settore più esposto, in una finestra attorno a t*. Testare se l’</w:t>
      </w:r>
      <w:proofErr w:type="spellStart"/>
      <w:r>
        <w:t>emergence</w:t>
      </w:r>
      <w:proofErr w:type="spellEnd"/>
      <w:r>
        <w:t xml:space="preserve"> coincide con un aumento della volatilità settoriale (GARCH o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>).</w:t>
      </w:r>
    </w:p>
    <w:p w14:paraId="634C34DC" w14:textId="77777777" w:rsidR="00852643" w:rsidRDefault="00000000">
      <w:pPr>
        <w:pStyle w:val="Titolo2"/>
      </w:pPr>
      <w:r>
        <w:t>6.2 Cross-</w:t>
      </w:r>
      <w:proofErr w:type="spellStart"/>
      <w:r>
        <w:t>section</w:t>
      </w:r>
      <w:proofErr w:type="spellEnd"/>
      <w:r>
        <w:t xml:space="preserve"> dei rendimenti</w:t>
      </w:r>
    </w:p>
    <w:p w14:paraId="7D94BB74" w14:textId="77777777" w:rsidR="00852643" w:rsidRDefault="00000000">
      <w:pPr>
        <w:spacing w:after="120" w:line="276" w:lineRule="auto"/>
      </w:pPr>
      <w:r>
        <w:t xml:space="preserve">Verificare se le imprese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(che </w:t>
      </w:r>
      <w:proofErr w:type="spellStart"/>
      <w:r>
        <w:t>disclosano</w:t>
      </w:r>
      <w:proofErr w:type="spellEnd"/>
      <w:r>
        <w:t xml:space="preserve"> il rischio prima) mostrano premia di rischio diversi rispetto </w:t>
      </w:r>
      <w:proofErr w:type="gramStart"/>
      <w:r>
        <w:t>ai late</w:t>
      </w:r>
      <w:proofErr w:type="gramEnd"/>
      <w:r>
        <w:t xml:space="preserve"> </w:t>
      </w:r>
      <w:proofErr w:type="spellStart"/>
      <w:r>
        <w:t>adopters</w:t>
      </w:r>
      <w:proofErr w:type="spellEnd"/>
      <w:r>
        <w:t xml:space="preserve">, controllando per le caratteristiche standard (size, B/M, </w:t>
      </w:r>
      <w:proofErr w:type="spellStart"/>
      <w:r>
        <w:t>momentum</w:t>
      </w:r>
      <w:proofErr w:type="spellEnd"/>
      <w:r>
        <w:t>).</w:t>
      </w:r>
    </w:p>
    <w:p w14:paraId="4DE841AF" w14:textId="77777777" w:rsidR="00852643" w:rsidRDefault="00000000">
      <w:r>
        <w:br w:type="page"/>
      </w:r>
    </w:p>
    <w:p w14:paraId="622CA9D1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Fase 7 — Redazione e Deliverables</w:t>
      </w:r>
    </w:p>
    <w:p w14:paraId="667BAF8F" w14:textId="77777777" w:rsidR="00852643" w:rsidRDefault="00000000">
      <w:pPr>
        <w:shd w:val="clear" w:color="auto" w:fill="E8F0FE"/>
        <w:spacing w:after="160"/>
        <w:ind w:left="200" w:right="200"/>
      </w:pPr>
      <w:r>
        <w:rPr>
          <w:rFonts w:ascii="Segoe UI Emoji" w:eastAsia="Segoe UI Emoji" w:hAnsi="Segoe UI Emoji" w:cs="Segoe UI Emoji"/>
        </w:rPr>
        <w:t xml:space="preserve">⏱ </w:t>
      </w:r>
      <w:r>
        <w:rPr>
          <w:b/>
          <w:bCs/>
          <w:color w:val="1F4E79"/>
        </w:rPr>
        <w:t>Durata stimata: 4–6 settimane (in parallelo con le fasi finali)</w:t>
      </w:r>
    </w:p>
    <w:p w14:paraId="320AEBB9" w14:textId="77777777" w:rsidR="00852643" w:rsidRDefault="00000000">
      <w:pPr>
        <w:pStyle w:val="Titolo2"/>
      </w:pPr>
      <w:r>
        <w:t>7.1 Dataset</w:t>
      </w:r>
    </w:p>
    <w:p w14:paraId="6801EBD3" w14:textId="77777777" w:rsidR="00852643" w:rsidRDefault="00000000">
      <w:pPr>
        <w:spacing w:after="120" w:line="276" w:lineRule="auto"/>
      </w:pPr>
      <w:r>
        <w:t>Produrre un dataset “</w:t>
      </w:r>
      <w:proofErr w:type="spellStart"/>
      <w:r>
        <w:t>research</w:t>
      </w:r>
      <w:proofErr w:type="spellEnd"/>
      <w:r>
        <w:t>-ready” con:</w:t>
      </w:r>
    </w:p>
    <w:p w14:paraId="2CC0F2C4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Panel impresa-anno di variabili disclosure.</w:t>
      </w:r>
    </w:p>
    <w:p w14:paraId="012E1F60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Serie temporali tema-mese degli indicatori news-</w:t>
      </w:r>
      <w:proofErr w:type="spellStart"/>
      <w:r>
        <w:t>based</w:t>
      </w:r>
      <w:proofErr w:type="spellEnd"/>
      <w:r>
        <w:t>.</w:t>
      </w:r>
    </w:p>
    <w:p w14:paraId="61765501" w14:textId="77777777" w:rsidR="00852643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t>Stime di t* per ogni tema.</w:t>
      </w:r>
    </w:p>
    <w:p w14:paraId="13A7EADF" w14:textId="77777777" w:rsidR="00852643" w:rsidRPr="005A0412" w:rsidRDefault="00000000">
      <w:pPr>
        <w:pStyle w:val="Paragrafoelenco"/>
        <w:numPr>
          <w:ilvl w:val="0"/>
          <w:numId w:val="2"/>
        </w:numPr>
        <w:spacing w:after="80" w:line="276" w:lineRule="auto"/>
        <w:rPr>
          <w:lang w:val="en-GB"/>
        </w:rPr>
      </w:pPr>
      <w:r w:rsidRPr="005A0412">
        <w:rPr>
          <w:lang w:val="en-GB"/>
        </w:rPr>
        <w:t>Output del modello forward-looking.</w:t>
      </w:r>
    </w:p>
    <w:p w14:paraId="2BEA3458" w14:textId="77777777" w:rsidR="00852643" w:rsidRDefault="00000000">
      <w:pPr>
        <w:spacing w:after="120" w:line="276" w:lineRule="auto"/>
      </w:pPr>
      <w:r>
        <w:t xml:space="preserve">Documentare il </w:t>
      </w:r>
      <w:proofErr w:type="spellStart"/>
      <w:r>
        <w:t>codebook</w:t>
      </w:r>
      <w:proofErr w:type="spellEnd"/>
      <w:r>
        <w:t xml:space="preserve"> e le procedure di costruzione.</w:t>
      </w:r>
    </w:p>
    <w:p w14:paraId="52E6EACF" w14:textId="77777777" w:rsidR="00852643" w:rsidRDefault="00000000">
      <w:pPr>
        <w:pStyle w:val="Titolo2"/>
      </w:pPr>
      <w:r>
        <w:t>7.2 Paper</w:t>
      </w:r>
    </w:p>
    <w:p w14:paraId="7FCAF50A" w14:textId="77777777" w:rsidR="00852643" w:rsidRDefault="00000000">
      <w:pPr>
        <w:spacing w:after="120" w:line="276" w:lineRule="auto"/>
      </w:pPr>
      <w:r>
        <w:t>Struttura suggerita:</w:t>
      </w:r>
    </w:p>
    <w:p w14:paraId="28278BC7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Introduzione e motivazione</w:t>
      </w:r>
    </w:p>
    <w:p w14:paraId="102A109C" w14:textId="77777777" w:rsidR="00852643" w:rsidRPr="005A0412" w:rsidRDefault="00000000">
      <w:pPr>
        <w:pStyle w:val="Paragrafoelenco"/>
        <w:numPr>
          <w:ilvl w:val="0"/>
          <w:numId w:val="3"/>
        </w:numPr>
        <w:spacing w:after="80" w:line="276" w:lineRule="auto"/>
        <w:rPr>
          <w:lang w:val="en-GB"/>
        </w:rPr>
      </w:pPr>
      <w:r w:rsidRPr="005A0412">
        <w:rPr>
          <w:lang w:val="en-GB"/>
        </w:rPr>
        <w:t>Literature review (risk disclosure, text analysis in finance, emerging risks)</w:t>
      </w:r>
    </w:p>
    <w:p w14:paraId="38CBF6CE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Dati e corpus</w:t>
      </w:r>
    </w:p>
    <w:p w14:paraId="03C81747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Definizione e misurazione dell’</w:t>
      </w:r>
      <w:proofErr w:type="spellStart"/>
      <w:r>
        <w:t>emergence</w:t>
      </w:r>
      <w:proofErr w:type="spellEnd"/>
    </w:p>
    <w:p w14:paraId="2E31BB7C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Risultati retrospettivi</w:t>
      </w:r>
    </w:p>
    <w:p w14:paraId="44F262D5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 xml:space="preserve">Framework </w:t>
      </w:r>
      <w:proofErr w:type="spellStart"/>
      <w:r>
        <w:t>forward-looking</w:t>
      </w:r>
      <w:proofErr w:type="spellEnd"/>
    </w:p>
    <w:p w14:paraId="21C6569A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Applicazione ad AI risk</w:t>
      </w:r>
    </w:p>
    <w:p w14:paraId="50F527E3" w14:textId="77777777" w:rsidR="00852643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t>Conclusioni</w:t>
      </w:r>
    </w:p>
    <w:p w14:paraId="6808166A" w14:textId="77777777" w:rsidR="00852643" w:rsidRPr="005A0412" w:rsidRDefault="00000000">
      <w:pPr>
        <w:spacing w:after="120" w:line="276" w:lineRule="auto"/>
        <w:rPr>
          <w:lang w:val="en-GB"/>
        </w:rPr>
      </w:pPr>
      <w:r w:rsidRPr="005A0412">
        <w:rPr>
          <w:i/>
          <w:iCs/>
          <w:lang w:val="en-GB"/>
        </w:rPr>
        <w:t xml:space="preserve">Target: </w:t>
      </w:r>
      <w:r w:rsidRPr="005A0412">
        <w:rPr>
          <w:lang w:val="en-GB"/>
        </w:rPr>
        <w:t>journal in financial economics o quantitative finance (JFE, RFS, JFQA, Journal of Financial Econometrics).</w:t>
      </w:r>
    </w:p>
    <w:p w14:paraId="1950D061" w14:textId="77777777" w:rsidR="00852643" w:rsidRDefault="00000000">
      <w:pPr>
        <w:pStyle w:val="Titolo2"/>
      </w:pPr>
      <w:r>
        <w:t>7.3 Toolkit</w:t>
      </w:r>
    </w:p>
    <w:p w14:paraId="4C56D3FB" w14:textId="77777777" w:rsidR="00852643" w:rsidRDefault="00000000">
      <w:pPr>
        <w:spacing w:after="120" w:line="276" w:lineRule="auto"/>
      </w:pPr>
      <w:r>
        <w:t xml:space="preserve">Rilasciare un pacchetto Python modulare che permetta a un utente di: (a) definire un tema candidato; (b) calcolare automaticamente gli indicatori; (c) ottenere una stima della probabilità di </w:t>
      </w:r>
      <w:proofErr w:type="spellStart"/>
      <w:r>
        <w:t>emergence</w:t>
      </w:r>
      <w:proofErr w:type="spellEnd"/>
      <w:r>
        <w:t>. Questo è un output di impatto sia accademico sia pratico.</w:t>
      </w:r>
    </w:p>
    <w:p w14:paraId="3A0F2D9C" w14:textId="77777777" w:rsidR="00852643" w:rsidRDefault="00000000">
      <w:r>
        <w:br w:type="page"/>
      </w:r>
    </w:p>
    <w:p w14:paraId="735582F3" w14:textId="77777777" w:rsidR="00852643" w:rsidRDefault="00000000">
      <w:pPr>
        <w:pStyle w:val="Titolo1"/>
        <w:pBdr>
          <w:bottom w:val="single" w:sz="6" w:space="4" w:color="2E75B6"/>
        </w:pBdr>
      </w:pPr>
      <w:r>
        <w:lastRenderedPageBreak/>
        <w:t>Riepilogo delle Dipendenze tra Fasi</w:t>
      </w:r>
    </w:p>
    <w:p w14:paraId="328D96D8" w14:textId="77777777" w:rsidR="00852643" w:rsidRDefault="00000000">
      <w:pPr>
        <w:spacing w:after="120" w:line="276" w:lineRule="auto"/>
      </w:pPr>
      <w:r>
        <w:t>La sequenza delle fasi è sostanzialmente lineare con due eccezioni: la Fase 6 (validazione di mercato) può essere condotta in parallelo con la Fase 5 una volta completata la Fase 3, e la Fase 7 (redazione) dovrebbe iniziare in forma di bozza già dalla Fase 4.</w:t>
      </w:r>
    </w:p>
    <w:p w14:paraId="7CE0ABF7" w14:textId="77777777" w:rsidR="00852643" w:rsidRDefault="00000000">
      <w:pPr>
        <w:spacing w:after="120" w:line="276" w:lineRule="auto"/>
      </w:pPr>
      <w:r>
        <w:rPr>
          <w:b/>
          <w:bCs/>
        </w:rPr>
        <w:t xml:space="preserve">Percorso critico: </w:t>
      </w:r>
      <w:r>
        <w:t>Fase 0 → Fase 1 → Fase 2 → Fase 3 → Fase 4/5 → Fase 7.</w:t>
      </w:r>
    </w:p>
    <w:p w14:paraId="52321838" w14:textId="77777777" w:rsidR="00852643" w:rsidRDefault="00000000">
      <w:pPr>
        <w:spacing w:after="120" w:line="276" w:lineRule="auto"/>
      </w:pPr>
      <w:r>
        <w:rPr>
          <w:b/>
          <w:bCs/>
        </w:rPr>
        <w:t>Durata totale stimata: 8–12 mesi</w:t>
      </w:r>
      <w:r>
        <w:t xml:space="preserve"> per un ricercatore a tempo pieno, riducibile a 6–8 mesi con </w:t>
      </w:r>
      <w:proofErr w:type="gramStart"/>
      <w:r>
        <w:t>un team</w:t>
      </w:r>
      <w:proofErr w:type="gramEnd"/>
      <w:r>
        <w:t xml:space="preserve"> di 2–3 persone o con accesso a dati </w:t>
      </w:r>
      <w:proofErr w:type="spellStart"/>
      <w:r>
        <w:t>pre</w:t>
      </w:r>
      <w:proofErr w:type="spellEnd"/>
      <w:r>
        <w:t>-processati.</w:t>
      </w:r>
    </w:p>
    <w:p w14:paraId="66D7EEFD" w14:textId="77777777" w:rsidR="00852643" w:rsidRDefault="00000000">
      <w:pPr>
        <w:pStyle w:val="Titolo1"/>
        <w:pBdr>
          <w:bottom w:val="single" w:sz="6" w:space="4" w:color="2E75B6"/>
        </w:pBdr>
      </w:pPr>
      <w:r>
        <w:t>Rischi del Progetto e Mitigazioni</w:t>
      </w:r>
    </w:p>
    <w:p w14:paraId="04F8472A" w14:textId="77777777" w:rsidR="00852643" w:rsidRDefault="00000000">
      <w:pPr>
        <w:pStyle w:val="Titolo2"/>
      </w:pPr>
      <w:r>
        <w:t>Accesso ai dati news</w:t>
      </w:r>
    </w:p>
    <w:p w14:paraId="43CED546" w14:textId="77777777" w:rsidR="00852643" w:rsidRDefault="00000000">
      <w:pPr>
        <w:spacing w:after="120" w:line="276" w:lineRule="auto"/>
      </w:pPr>
      <w:r>
        <w:t xml:space="preserve">Il full-text di quotidiani a pagamento può essere costoso o vincolato da licenze. </w:t>
      </w:r>
      <w:r>
        <w:rPr>
          <w:b/>
          <w:bCs/>
        </w:rPr>
        <w:t xml:space="preserve">Mitigazione: </w:t>
      </w:r>
      <w:r>
        <w:t xml:space="preserve">valutare fonti open (Reuters </w:t>
      </w:r>
      <w:proofErr w:type="spellStart"/>
      <w:r>
        <w:t>newswire</w:t>
      </w:r>
      <w:proofErr w:type="spellEnd"/>
      <w:r>
        <w:t>, GDELT) o negoziare accesso accademico.</w:t>
      </w:r>
    </w:p>
    <w:p w14:paraId="70D8AF0D" w14:textId="77777777" w:rsidR="00852643" w:rsidRDefault="00000000">
      <w:pPr>
        <w:pStyle w:val="Titolo2"/>
      </w:pPr>
      <w:r>
        <w:t xml:space="preserve">Qualità del </w:t>
      </w:r>
      <w:proofErr w:type="spellStart"/>
      <w:r>
        <w:t>parsing</w:t>
      </w:r>
      <w:proofErr w:type="spellEnd"/>
      <w:r>
        <w:t xml:space="preserve"> SEC</w:t>
      </w:r>
    </w:p>
    <w:p w14:paraId="43C070A5" w14:textId="77777777" w:rsidR="00852643" w:rsidRDefault="00000000">
      <w:pPr>
        <w:spacing w:after="120" w:line="276" w:lineRule="auto"/>
      </w:pPr>
      <w:r>
        <w:t xml:space="preserve">I </w:t>
      </w:r>
      <w:proofErr w:type="spellStart"/>
      <w:r>
        <w:t>filing</w:t>
      </w:r>
      <w:proofErr w:type="spellEnd"/>
      <w:r>
        <w:t xml:space="preserve"> EDGAR hanno formattazione eterogenea e talvolta HTML malformato. </w:t>
      </w:r>
      <w:r>
        <w:rPr>
          <w:b/>
          <w:bCs/>
        </w:rPr>
        <w:t xml:space="preserve">Mitigazione: </w:t>
      </w:r>
      <w:r>
        <w:t xml:space="preserve">usare parser consolidati, ispezionare manualmente un campione, prevedere un budget di tempo per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48AE4B93" w14:textId="77777777" w:rsidR="00852643" w:rsidRDefault="00000000">
      <w:pPr>
        <w:pStyle w:val="Titolo2"/>
      </w:pPr>
      <w:r>
        <w:t>Scarsità di ground truth</w:t>
      </w:r>
    </w:p>
    <w:p w14:paraId="619613E0" w14:textId="77777777" w:rsidR="00852643" w:rsidRDefault="00000000">
      <w:pPr>
        <w:spacing w:after="120" w:line="276" w:lineRule="auto"/>
      </w:pPr>
      <w:r>
        <w:t xml:space="preserve">Il numero di episodi di risk </w:t>
      </w:r>
      <w:proofErr w:type="spellStart"/>
      <w:r>
        <w:t>emergence</w:t>
      </w:r>
      <w:proofErr w:type="spellEnd"/>
      <w:r>
        <w:t xml:space="preserve"> ben documentati è limitato (5–8 nel periodo suggerito). </w:t>
      </w:r>
      <w:r>
        <w:rPr>
          <w:b/>
          <w:bCs/>
        </w:rPr>
        <w:t xml:space="preserve">Mitigazione: </w:t>
      </w:r>
      <w:r>
        <w:t xml:space="preserve">estendere il campione a rischi più granulari, usare bootstrap o </w:t>
      </w:r>
      <w:proofErr w:type="spellStart"/>
      <w:r>
        <w:t>leave</w:t>
      </w:r>
      <w:proofErr w:type="spellEnd"/>
      <w:r>
        <w:t>-one-out per la validazione.</w:t>
      </w:r>
    </w:p>
    <w:p w14:paraId="55857188" w14:textId="77777777" w:rsidR="00852643" w:rsidRDefault="00000000">
      <w:pPr>
        <w:pStyle w:val="Titolo2"/>
      </w:pPr>
      <w:r>
        <w:t xml:space="preserve">Definizione di </w:t>
      </w:r>
      <w:proofErr w:type="spellStart"/>
      <w:r>
        <w:t>emergence</w:t>
      </w:r>
      <w:proofErr w:type="spellEnd"/>
    </w:p>
    <w:p w14:paraId="7B616397" w14:textId="77777777" w:rsidR="00852643" w:rsidRDefault="00000000">
      <w:pPr>
        <w:spacing w:after="120" w:line="276" w:lineRule="auto"/>
      </w:pPr>
      <w:r>
        <w:t xml:space="preserve">La scelta della soglia e del metodo di </w:t>
      </w:r>
      <w:proofErr w:type="spellStart"/>
      <w:r>
        <w:t>change</w:t>
      </w:r>
      <w:proofErr w:type="spellEnd"/>
      <w:r>
        <w:t xml:space="preserve">-point influenza i risultati. </w:t>
      </w:r>
      <w:r>
        <w:rPr>
          <w:b/>
          <w:bCs/>
        </w:rPr>
        <w:t xml:space="preserve">Mitigazione: </w:t>
      </w:r>
      <w:r>
        <w:t>analisi di sensitività sistematica, presentare risultati per più specifiche.</w:t>
      </w:r>
    </w:p>
    <w:sectPr w:rsidR="0085264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6C88" w14:textId="77777777" w:rsidR="00D9718C" w:rsidRDefault="00D9718C">
      <w:r>
        <w:separator/>
      </w:r>
    </w:p>
  </w:endnote>
  <w:endnote w:type="continuationSeparator" w:id="0">
    <w:p w14:paraId="101EAB16" w14:textId="77777777" w:rsidR="00D9718C" w:rsidRDefault="00D97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40FA" w14:textId="77777777" w:rsidR="00852643" w:rsidRDefault="00000000">
    <w:pP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A041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B85C9" w14:textId="77777777" w:rsidR="00D9718C" w:rsidRDefault="00D9718C">
      <w:r>
        <w:separator/>
      </w:r>
    </w:p>
  </w:footnote>
  <w:footnote w:type="continuationSeparator" w:id="0">
    <w:p w14:paraId="11C6BA6C" w14:textId="77777777" w:rsidR="00D9718C" w:rsidRDefault="00D97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2194B" w14:textId="77777777" w:rsidR="00852643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999999"/>
        <w:sz w:val="18"/>
        <w:szCs w:val="18"/>
      </w:rPr>
      <w:t xml:space="preserve">Workflow — Risk </w:t>
    </w:r>
    <w:proofErr w:type="spellStart"/>
    <w:r>
      <w:rPr>
        <w:color w:val="999999"/>
        <w:sz w:val="18"/>
        <w:szCs w:val="18"/>
      </w:rPr>
      <w:t>Emergence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ACD"/>
    <w:multiLevelType w:val="hybridMultilevel"/>
    <w:tmpl w:val="842AA5A0"/>
    <w:lvl w:ilvl="0" w:tplc="54C0D682">
      <w:start w:val="1"/>
      <w:numFmt w:val="bullet"/>
      <w:lvlText w:val="•"/>
      <w:lvlJc w:val="left"/>
      <w:pPr>
        <w:ind w:left="720" w:hanging="360"/>
      </w:pPr>
    </w:lvl>
    <w:lvl w:ilvl="1" w:tplc="F39A05D2">
      <w:numFmt w:val="decimal"/>
      <w:lvlText w:val=""/>
      <w:lvlJc w:val="left"/>
    </w:lvl>
    <w:lvl w:ilvl="2" w:tplc="C52A52EA">
      <w:numFmt w:val="decimal"/>
      <w:lvlText w:val=""/>
      <w:lvlJc w:val="left"/>
    </w:lvl>
    <w:lvl w:ilvl="3" w:tplc="61628C00">
      <w:numFmt w:val="decimal"/>
      <w:lvlText w:val=""/>
      <w:lvlJc w:val="left"/>
    </w:lvl>
    <w:lvl w:ilvl="4" w:tplc="4CF6DB7C">
      <w:numFmt w:val="decimal"/>
      <w:lvlText w:val=""/>
      <w:lvlJc w:val="left"/>
    </w:lvl>
    <w:lvl w:ilvl="5" w:tplc="E7FC3DFC">
      <w:numFmt w:val="decimal"/>
      <w:lvlText w:val=""/>
      <w:lvlJc w:val="left"/>
    </w:lvl>
    <w:lvl w:ilvl="6" w:tplc="5EC65510">
      <w:numFmt w:val="decimal"/>
      <w:lvlText w:val=""/>
      <w:lvlJc w:val="left"/>
    </w:lvl>
    <w:lvl w:ilvl="7" w:tplc="AC7A3BF0">
      <w:numFmt w:val="decimal"/>
      <w:lvlText w:val=""/>
      <w:lvlJc w:val="left"/>
    </w:lvl>
    <w:lvl w:ilvl="8" w:tplc="EB4413A2">
      <w:numFmt w:val="decimal"/>
      <w:lvlText w:val=""/>
      <w:lvlJc w:val="left"/>
    </w:lvl>
  </w:abstractNum>
  <w:abstractNum w:abstractNumId="1" w15:restartNumberingAfterBreak="0">
    <w:nsid w:val="0F1A7A9B"/>
    <w:multiLevelType w:val="hybridMultilevel"/>
    <w:tmpl w:val="D07CE1F2"/>
    <w:lvl w:ilvl="0" w:tplc="9AA2BF66">
      <w:start w:val="1"/>
      <w:numFmt w:val="decimal"/>
      <w:lvlText w:val="%1."/>
      <w:lvlJc w:val="left"/>
      <w:pPr>
        <w:ind w:left="720" w:hanging="360"/>
      </w:pPr>
    </w:lvl>
    <w:lvl w:ilvl="1" w:tplc="4302F576">
      <w:numFmt w:val="decimal"/>
      <w:lvlText w:val=""/>
      <w:lvlJc w:val="left"/>
    </w:lvl>
    <w:lvl w:ilvl="2" w:tplc="7BBC4322">
      <w:numFmt w:val="decimal"/>
      <w:lvlText w:val=""/>
      <w:lvlJc w:val="left"/>
    </w:lvl>
    <w:lvl w:ilvl="3" w:tplc="F524F32C">
      <w:numFmt w:val="decimal"/>
      <w:lvlText w:val=""/>
      <w:lvlJc w:val="left"/>
    </w:lvl>
    <w:lvl w:ilvl="4" w:tplc="6BACFEAC">
      <w:numFmt w:val="decimal"/>
      <w:lvlText w:val=""/>
      <w:lvlJc w:val="left"/>
    </w:lvl>
    <w:lvl w:ilvl="5" w:tplc="D1DC9D0A">
      <w:numFmt w:val="decimal"/>
      <w:lvlText w:val=""/>
      <w:lvlJc w:val="left"/>
    </w:lvl>
    <w:lvl w:ilvl="6" w:tplc="0E227C70">
      <w:numFmt w:val="decimal"/>
      <w:lvlText w:val=""/>
      <w:lvlJc w:val="left"/>
    </w:lvl>
    <w:lvl w:ilvl="7" w:tplc="5070346A">
      <w:numFmt w:val="decimal"/>
      <w:lvlText w:val=""/>
      <w:lvlJc w:val="left"/>
    </w:lvl>
    <w:lvl w:ilvl="8" w:tplc="1AC67D84">
      <w:numFmt w:val="decimal"/>
      <w:lvlText w:val=""/>
      <w:lvlJc w:val="left"/>
    </w:lvl>
  </w:abstractNum>
  <w:abstractNum w:abstractNumId="2" w15:restartNumberingAfterBreak="0">
    <w:nsid w:val="17485CE6"/>
    <w:multiLevelType w:val="hybridMultilevel"/>
    <w:tmpl w:val="CB5636D2"/>
    <w:lvl w:ilvl="0" w:tplc="8AE6FF3C">
      <w:start w:val="1"/>
      <w:numFmt w:val="bullet"/>
      <w:lvlText w:val="●"/>
      <w:lvlJc w:val="left"/>
      <w:pPr>
        <w:ind w:left="720" w:hanging="360"/>
      </w:pPr>
    </w:lvl>
    <w:lvl w:ilvl="1" w:tplc="6520EA7C">
      <w:start w:val="1"/>
      <w:numFmt w:val="bullet"/>
      <w:lvlText w:val="○"/>
      <w:lvlJc w:val="left"/>
      <w:pPr>
        <w:ind w:left="1440" w:hanging="360"/>
      </w:pPr>
    </w:lvl>
    <w:lvl w:ilvl="2" w:tplc="35CA0F5C">
      <w:start w:val="1"/>
      <w:numFmt w:val="bullet"/>
      <w:lvlText w:val="■"/>
      <w:lvlJc w:val="left"/>
      <w:pPr>
        <w:ind w:left="2160" w:hanging="360"/>
      </w:pPr>
    </w:lvl>
    <w:lvl w:ilvl="3" w:tplc="A3CA0A6C">
      <w:start w:val="1"/>
      <w:numFmt w:val="bullet"/>
      <w:lvlText w:val="●"/>
      <w:lvlJc w:val="left"/>
      <w:pPr>
        <w:ind w:left="2880" w:hanging="360"/>
      </w:pPr>
    </w:lvl>
    <w:lvl w:ilvl="4" w:tplc="118EC3FA">
      <w:start w:val="1"/>
      <w:numFmt w:val="bullet"/>
      <w:lvlText w:val="○"/>
      <w:lvlJc w:val="left"/>
      <w:pPr>
        <w:ind w:left="3600" w:hanging="360"/>
      </w:pPr>
    </w:lvl>
    <w:lvl w:ilvl="5" w:tplc="C298F65C">
      <w:start w:val="1"/>
      <w:numFmt w:val="bullet"/>
      <w:lvlText w:val="■"/>
      <w:lvlJc w:val="left"/>
      <w:pPr>
        <w:ind w:left="4320" w:hanging="360"/>
      </w:pPr>
    </w:lvl>
    <w:lvl w:ilvl="6" w:tplc="F2C62014">
      <w:start w:val="1"/>
      <w:numFmt w:val="bullet"/>
      <w:lvlText w:val="●"/>
      <w:lvlJc w:val="left"/>
      <w:pPr>
        <w:ind w:left="5040" w:hanging="360"/>
      </w:pPr>
    </w:lvl>
    <w:lvl w:ilvl="7" w:tplc="E3605FCA">
      <w:start w:val="1"/>
      <w:numFmt w:val="bullet"/>
      <w:lvlText w:val="●"/>
      <w:lvlJc w:val="left"/>
      <w:pPr>
        <w:ind w:left="5760" w:hanging="360"/>
      </w:pPr>
    </w:lvl>
    <w:lvl w:ilvl="8" w:tplc="2D1C07F6">
      <w:start w:val="1"/>
      <w:numFmt w:val="bullet"/>
      <w:lvlText w:val="●"/>
      <w:lvlJc w:val="left"/>
      <w:pPr>
        <w:ind w:left="6480" w:hanging="360"/>
      </w:pPr>
    </w:lvl>
  </w:abstractNum>
  <w:num w:numId="1" w16cid:durableId="743911756">
    <w:abstractNumId w:val="2"/>
    <w:lvlOverride w:ilvl="0">
      <w:startOverride w:val="1"/>
    </w:lvlOverride>
  </w:num>
  <w:num w:numId="2" w16cid:durableId="891772318">
    <w:abstractNumId w:val="0"/>
    <w:lvlOverride w:ilvl="0">
      <w:startOverride w:val="1"/>
    </w:lvlOverride>
  </w:num>
  <w:num w:numId="3" w16cid:durableId="1928004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43"/>
    <w:rsid w:val="005A0412"/>
    <w:rsid w:val="00852643"/>
    <w:rsid w:val="00C720A3"/>
    <w:rsid w:val="00D9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679E3"/>
  <w15:docId w15:val="{E264BB5A-E255-45F4-B4D4-6ECF0C42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2077</Words>
  <Characters>11841</Characters>
  <Application>Microsoft Office Word</Application>
  <DocSecurity>0</DocSecurity>
  <Lines>98</Lines>
  <Paragraphs>27</Paragraphs>
  <ScaleCrop>false</ScaleCrop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Giovanni Della Lunga</cp:lastModifiedBy>
  <cp:revision>2</cp:revision>
  <dcterms:created xsi:type="dcterms:W3CDTF">2026-03-30T08:01:00Z</dcterms:created>
  <dcterms:modified xsi:type="dcterms:W3CDTF">2026-03-30T08:01:00Z</dcterms:modified>
</cp:coreProperties>
</file>