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532A" w14:textId="6BFB683E" w:rsidR="003803ED" w:rsidRPr="003803ED" w:rsidRDefault="003803ED" w:rsidP="003803ED">
      <w:pPr>
        <w:spacing w:before="100" w:beforeAutospacing="1" w:after="100" w:afterAutospacing="1" w:line="240" w:lineRule="auto"/>
        <w:jc w:val="both"/>
        <w:outlineLvl w:val="2"/>
        <w:rPr>
          <w:rFonts w:ascii="Helvetica" w:eastAsia="Times New Roman" w:hAnsi="Helvetica" w:cs="Times New Roman"/>
          <w:b/>
          <w:bCs/>
          <w:kern w:val="0"/>
          <w:sz w:val="22"/>
          <w:szCs w:val="22"/>
          <w:lang w:val="en-GB" w:eastAsia="es-ES_tradnl"/>
          <w14:ligatures w14:val="none"/>
        </w:rPr>
      </w:pPr>
      <w:r w:rsidRPr="003803ED">
        <w:rPr>
          <w:rFonts w:ascii="Helvetica" w:eastAsia="Times New Roman" w:hAnsi="Helvetica" w:cs="Times New Roman"/>
          <w:b/>
          <w:bCs/>
          <w:kern w:val="0"/>
          <w:sz w:val="22"/>
          <w:szCs w:val="22"/>
          <w:lang w:val="en-GB" w:eastAsia="es-ES_tradnl"/>
          <w14:ligatures w14:val="none"/>
        </w:rPr>
        <w:t xml:space="preserve">Case Study Description: </w:t>
      </w:r>
      <w:r>
        <w:rPr>
          <w:rFonts w:ascii="Helvetica" w:eastAsia="Times New Roman" w:hAnsi="Helvetica" w:cs="Times New Roman"/>
          <w:b/>
          <w:bCs/>
          <w:kern w:val="0"/>
          <w:sz w:val="22"/>
          <w:szCs w:val="22"/>
          <w:lang w:val="en-GB" w:eastAsia="es-ES_tradnl"/>
          <w14:ligatures w14:val="none"/>
        </w:rPr>
        <w:t xml:space="preserve">Transporting </w:t>
      </w:r>
      <w:r w:rsidRPr="003803ED">
        <w:rPr>
          <w:rFonts w:ascii="Helvetica" w:eastAsia="Times New Roman" w:hAnsi="Helvetica" w:cs="Times New Roman"/>
          <w:b/>
          <w:bCs/>
          <w:kern w:val="0"/>
          <w:sz w:val="22"/>
          <w:szCs w:val="22"/>
          <w:lang w:val="en-GB" w:eastAsia="es-ES_tradnl"/>
          <w14:ligatures w14:val="none"/>
        </w:rPr>
        <w:t>perishable products</w:t>
      </w:r>
    </w:p>
    <w:p w14:paraId="57AF47D7" w14:textId="26F00EBC" w:rsidR="003803ED" w:rsidRDefault="003803ED" w:rsidP="003D0644">
      <w:p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sidRPr="003803ED">
        <w:rPr>
          <w:rFonts w:ascii="Helvetica" w:eastAsia="Times New Roman" w:hAnsi="Helvetica" w:cs="Times New Roman"/>
          <w:kern w:val="0"/>
          <w:sz w:val="22"/>
          <w:szCs w:val="22"/>
          <w:lang w:val="en-GB" w:eastAsia="es-ES_tradnl"/>
          <w14:ligatures w14:val="none"/>
        </w:rPr>
        <w:t xml:space="preserve">The case study considers a simplified IoT-Enhanced BP </w:t>
      </w:r>
      <w:r w:rsidR="003D0644" w:rsidRPr="003D0644">
        <w:rPr>
          <w:rFonts w:ascii="Helvetica" w:eastAsia="Times New Roman" w:hAnsi="Helvetica" w:cs="Times New Roman"/>
          <w:kern w:val="0"/>
          <w:sz w:val="22"/>
          <w:szCs w:val="22"/>
          <w:lang w:val="en-GB" w:eastAsia="es-ES_tradnl"/>
          <w14:ligatures w14:val="none"/>
        </w:rPr>
        <w:t>focused on handling and testing drug batches before their release</w:t>
      </w:r>
      <w:r w:rsidR="003D0644">
        <w:rPr>
          <w:rFonts w:ascii="Helvetica" w:eastAsia="Times New Roman" w:hAnsi="Helvetica" w:cs="Times New Roman"/>
          <w:kern w:val="0"/>
          <w:sz w:val="22"/>
          <w:szCs w:val="22"/>
          <w:lang w:val="en-GB" w:eastAsia="es-ES_tradnl"/>
          <w14:ligatures w14:val="none"/>
        </w:rPr>
        <w:t xml:space="preserve"> </w:t>
      </w:r>
      <w:r w:rsidR="003D0644" w:rsidRPr="003D0644">
        <w:rPr>
          <w:rFonts w:ascii="Helvetica" w:eastAsia="Times New Roman" w:hAnsi="Helvetica" w:cs="Times New Roman"/>
          <w:kern w:val="0"/>
          <w:sz w:val="22"/>
          <w:szCs w:val="22"/>
          <w:lang w:val="en-GB" w:eastAsia="es-ES_tradnl"/>
          <w14:ligatures w14:val="none"/>
        </w:rPr>
        <w:t>for distribution.</w:t>
      </w:r>
      <w:r w:rsidRPr="003803ED">
        <w:rPr>
          <w:rFonts w:ascii="Helvetica" w:eastAsia="Times New Roman" w:hAnsi="Helvetica" w:cs="Times New Roman"/>
          <w:kern w:val="0"/>
          <w:sz w:val="22"/>
          <w:szCs w:val="22"/>
          <w:lang w:val="en-GB" w:eastAsia="es-ES_tradnl"/>
          <w14:ligatures w14:val="none"/>
        </w:rPr>
        <w:t xml:space="preserve"> </w:t>
      </w:r>
    </w:p>
    <w:p w14:paraId="1AC23BE4" w14:textId="77777777" w:rsidR="003D0644" w:rsidRPr="003D0644" w:rsidRDefault="003D0644" w:rsidP="003D0644">
      <w:p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sidRPr="003D0644">
        <w:rPr>
          <w:rFonts w:ascii="Helvetica" w:eastAsia="Times New Roman" w:hAnsi="Helvetica" w:cs="Times New Roman"/>
          <w:kern w:val="0"/>
          <w:sz w:val="22"/>
          <w:szCs w:val="22"/>
          <w:lang w:val="en-GB" w:eastAsia="es-ES_tradnl"/>
          <w14:ligatures w14:val="none"/>
        </w:rPr>
        <w:t>The process starts when a batch of manufactured tablets or vials is received in a reception container from the quality control area. Then, a quality technician visually inspects the batch and manually measures and records tablet hardness, vial seal integrity, and any visible contamination. The technician also selects a sample and registers the amount of product selected and the date and time.</w:t>
      </w:r>
    </w:p>
    <w:p w14:paraId="28804EF4" w14:textId="77777777" w:rsidR="003D0644" w:rsidRPr="003D0644" w:rsidRDefault="003D0644" w:rsidP="003D0644">
      <w:p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sidRPr="003D0644">
        <w:rPr>
          <w:rFonts w:ascii="Helvetica" w:eastAsia="Times New Roman" w:hAnsi="Helvetica" w:cs="Times New Roman"/>
          <w:kern w:val="0"/>
          <w:sz w:val="22"/>
          <w:szCs w:val="22"/>
          <w:lang w:val="en-GB" w:eastAsia="es-ES_tradnl"/>
          <w14:ligatures w14:val="none"/>
        </w:rPr>
        <w:t xml:space="preserve">After the quality technician has completed their tasks, the batch is moved to a controlled environment by an articulated </w:t>
      </w:r>
      <w:proofErr w:type="gramStart"/>
      <w:r w:rsidRPr="003D0644">
        <w:rPr>
          <w:rFonts w:ascii="Helvetica" w:eastAsia="Times New Roman" w:hAnsi="Helvetica" w:cs="Times New Roman"/>
          <w:kern w:val="0"/>
          <w:sz w:val="22"/>
          <w:szCs w:val="22"/>
          <w:lang w:val="en-GB" w:eastAsia="es-ES_tradnl"/>
          <w14:ligatures w14:val="none"/>
        </w:rPr>
        <w:t>robot, and</w:t>
      </w:r>
      <w:proofErr w:type="gramEnd"/>
      <w:r w:rsidRPr="003D0644">
        <w:rPr>
          <w:rFonts w:ascii="Helvetica" w:eastAsia="Times New Roman" w:hAnsi="Helvetica" w:cs="Times New Roman"/>
          <w:kern w:val="0"/>
          <w:sz w:val="22"/>
          <w:szCs w:val="22"/>
          <w:lang w:val="en-GB" w:eastAsia="es-ES_tradnl"/>
          <w14:ligatures w14:val="none"/>
        </w:rPr>
        <w:t xml:space="preserve"> waits there until a laboratory is available. The duration of this wait can vary significantly depending on production load, staffing, and equipment availability.</w:t>
      </w:r>
    </w:p>
    <w:p w14:paraId="3077BB94" w14:textId="04EC9297" w:rsidR="003D0644" w:rsidRDefault="003D0644" w:rsidP="003D0644">
      <w:p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sidRPr="003D0644">
        <w:rPr>
          <w:rFonts w:ascii="Helvetica" w:eastAsia="Times New Roman" w:hAnsi="Helvetica" w:cs="Times New Roman"/>
          <w:kern w:val="0"/>
          <w:sz w:val="22"/>
          <w:szCs w:val="22"/>
          <w:lang w:val="en-GB" w:eastAsia="es-ES_tradnl"/>
          <w14:ligatures w14:val="none"/>
        </w:rPr>
        <w:t>Once the batch reaches the laboratory, a stability and purity analysis is performed. This analysis includes chemical assays and stability tests that determine whether the drug batch meets regulatory standards. This step provides the definitive assessment required for batch distribution or discard.</w:t>
      </w:r>
    </w:p>
    <w:p w14:paraId="36FDAC69" w14:textId="7A1A5664" w:rsidR="00557716" w:rsidRPr="003803ED" w:rsidRDefault="00557716" w:rsidP="003D0644">
      <w:p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Pr>
          <w:rFonts w:ascii="Helvetica" w:eastAsia="Times New Roman" w:hAnsi="Helvetica" w:cs="Times New Roman"/>
          <w:noProof/>
          <w:kern w:val="0"/>
          <w:sz w:val="22"/>
          <w:szCs w:val="22"/>
          <w:lang w:val="en-GB" w:eastAsia="es-ES_tradnl"/>
        </w:rPr>
        <w:drawing>
          <wp:inline distT="0" distB="0" distL="0" distR="0" wp14:anchorId="5F7130CA" wp14:editId="45F74281">
            <wp:extent cx="5400040" cy="3456305"/>
            <wp:effectExtent l="0" t="0" r="1905" b="635"/>
            <wp:docPr id="42117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4565" name="Imagen 421174565"/>
                    <pic:cNvPicPr/>
                  </pic:nvPicPr>
                  <pic:blipFill>
                    <a:blip r:embed="rId5"/>
                    <a:stretch>
                      <a:fillRect/>
                    </a:stretch>
                  </pic:blipFill>
                  <pic:spPr>
                    <a:xfrm>
                      <a:off x="0" y="0"/>
                      <a:ext cx="5400040" cy="3456305"/>
                    </a:xfrm>
                    <a:prstGeom prst="rect">
                      <a:avLst/>
                    </a:prstGeom>
                  </pic:spPr>
                </pic:pic>
              </a:graphicData>
            </a:graphic>
          </wp:inline>
        </w:drawing>
      </w:r>
    </w:p>
    <w:p w14:paraId="766CD774" w14:textId="2ECA2D1F" w:rsidR="00EE570E" w:rsidRDefault="00CF474C" w:rsidP="003803ED">
      <w:p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sidRPr="00CF474C">
        <w:rPr>
          <w:rFonts w:ascii="Helvetica" w:eastAsia="Times New Roman" w:hAnsi="Helvetica" w:cs="Times New Roman"/>
          <w:kern w:val="0"/>
          <w:sz w:val="22"/>
          <w:szCs w:val="22"/>
          <w:lang w:val="en-GB" w:eastAsia="es-ES_tradnl"/>
          <w14:ligatures w14:val="none"/>
        </w:rPr>
        <w:t xml:space="preserve">Stability and purity analysis is one of the most expensive and time-consuming tasks in the process. Therefore, we </w:t>
      </w:r>
      <w:r>
        <w:rPr>
          <w:rFonts w:ascii="Helvetica" w:eastAsia="Times New Roman" w:hAnsi="Helvetica" w:cs="Times New Roman"/>
          <w:kern w:val="0"/>
          <w:sz w:val="22"/>
          <w:szCs w:val="22"/>
          <w:lang w:val="en-GB" w:eastAsia="es-ES_tradnl"/>
          <w14:ligatures w14:val="none"/>
        </w:rPr>
        <w:t xml:space="preserve">have trained a supervised ML </w:t>
      </w:r>
      <w:r w:rsidR="00BC1144">
        <w:rPr>
          <w:rFonts w:ascii="Helvetica" w:eastAsia="Times New Roman" w:hAnsi="Helvetica" w:cs="Times New Roman"/>
          <w:kern w:val="0"/>
          <w:sz w:val="22"/>
          <w:szCs w:val="22"/>
          <w:lang w:val="en-GB" w:eastAsia="es-ES_tradnl"/>
          <w14:ligatures w14:val="none"/>
        </w:rPr>
        <w:t>model</w:t>
      </w:r>
      <w:r>
        <w:rPr>
          <w:rFonts w:ascii="Helvetica" w:eastAsia="Times New Roman" w:hAnsi="Helvetica" w:cs="Times New Roman"/>
          <w:kern w:val="0"/>
          <w:sz w:val="22"/>
          <w:szCs w:val="22"/>
          <w:lang w:val="en-GB" w:eastAsia="es-ES_tradnl"/>
          <w14:ligatures w14:val="none"/>
        </w:rPr>
        <w:t xml:space="preserve"> with data extracted from previous instance executions</w:t>
      </w:r>
      <w:r w:rsidRPr="00CF474C">
        <w:rPr>
          <w:rFonts w:ascii="Helvetica" w:eastAsia="Times New Roman" w:hAnsi="Helvetica" w:cs="Times New Roman"/>
          <w:kern w:val="0"/>
          <w:sz w:val="22"/>
          <w:szCs w:val="22"/>
          <w:lang w:val="en-GB" w:eastAsia="es-ES_tradnl"/>
          <w14:ligatures w14:val="none"/>
        </w:rPr>
        <w:t>.</w:t>
      </w:r>
      <w:r>
        <w:rPr>
          <w:rFonts w:ascii="Helvetica" w:eastAsia="Times New Roman" w:hAnsi="Helvetica" w:cs="Times New Roman"/>
          <w:kern w:val="0"/>
          <w:sz w:val="22"/>
          <w:szCs w:val="22"/>
          <w:lang w:val="en-GB" w:eastAsia="es-ES_tradnl"/>
          <w14:ligatures w14:val="none"/>
        </w:rPr>
        <w:t xml:space="preserve"> This data includes </w:t>
      </w:r>
      <w:r w:rsidRPr="00CF474C">
        <w:rPr>
          <w:rFonts w:ascii="Helvetica" w:eastAsia="Times New Roman" w:hAnsi="Helvetica" w:cs="Times New Roman"/>
          <w:kern w:val="0"/>
          <w:sz w:val="22"/>
          <w:szCs w:val="22"/>
          <w:lang w:val="en-GB" w:eastAsia="es-ES_tradnl"/>
          <w14:ligatures w14:val="none"/>
        </w:rPr>
        <w:t>process execution data</w:t>
      </w:r>
      <w:r>
        <w:rPr>
          <w:rFonts w:ascii="Helvetica" w:eastAsia="Times New Roman" w:hAnsi="Helvetica" w:cs="Times New Roman"/>
          <w:kern w:val="0"/>
          <w:sz w:val="22"/>
          <w:szCs w:val="22"/>
          <w:lang w:val="en-GB" w:eastAsia="es-ES_tradnl"/>
          <w14:ligatures w14:val="none"/>
        </w:rPr>
        <w:t xml:space="preserve"> and </w:t>
      </w:r>
      <w:r w:rsidRPr="00CF474C">
        <w:rPr>
          <w:rFonts w:ascii="Helvetica" w:eastAsia="Times New Roman" w:hAnsi="Helvetica" w:cs="Times New Roman"/>
          <w:kern w:val="0"/>
          <w:sz w:val="22"/>
          <w:szCs w:val="22"/>
          <w:lang w:val="en-GB" w:eastAsia="es-ES_tradnl"/>
          <w14:ligatures w14:val="none"/>
        </w:rPr>
        <w:t xml:space="preserve">external environmental conditions such as the temperature, humidity, and light exposure </w:t>
      </w:r>
      <w:r>
        <w:rPr>
          <w:rFonts w:ascii="Helvetica" w:eastAsia="Times New Roman" w:hAnsi="Helvetica" w:cs="Times New Roman"/>
          <w:kern w:val="0"/>
          <w:sz w:val="22"/>
          <w:szCs w:val="22"/>
          <w:lang w:val="en-GB" w:eastAsia="es-ES_tradnl"/>
          <w14:ligatures w14:val="none"/>
        </w:rPr>
        <w:t>obtained from sensors</w:t>
      </w:r>
      <w:r w:rsidRPr="00CF474C">
        <w:rPr>
          <w:rFonts w:ascii="Helvetica" w:eastAsia="Times New Roman" w:hAnsi="Helvetica" w:cs="Times New Roman"/>
          <w:kern w:val="0"/>
          <w:sz w:val="22"/>
          <w:szCs w:val="22"/>
          <w:lang w:val="en-GB" w:eastAsia="es-ES_tradnl"/>
          <w14:ligatures w14:val="none"/>
        </w:rPr>
        <w:t>.</w:t>
      </w:r>
      <w:r w:rsidR="00BC1144">
        <w:rPr>
          <w:rFonts w:ascii="Helvetica" w:eastAsia="Times New Roman" w:hAnsi="Helvetica" w:cs="Times New Roman"/>
          <w:kern w:val="0"/>
          <w:sz w:val="22"/>
          <w:szCs w:val="22"/>
          <w:lang w:val="en-GB" w:eastAsia="es-ES_tradnl"/>
          <w14:ligatures w14:val="none"/>
        </w:rPr>
        <w:t xml:space="preserve"> Every prediction of the ML model returns a yes/no string indicating if the batch will meet the regulations and a probability of this prediction.</w:t>
      </w:r>
    </w:p>
    <w:p w14:paraId="0749AB2E" w14:textId="1A5664FA" w:rsidR="00BC1144" w:rsidRPr="003803ED" w:rsidRDefault="00BC1144" w:rsidP="003803ED">
      <w:p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Pr>
          <w:rFonts w:ascii="Helvetica" w:eastAsia="Times New Roman" w:hAnsi="Helvetica" w:cs="Times New Roman"/>
          <w:kern w:val="0"/>
          <w:sz w:val="22"/>
          <w:szCs w:val="22"/>
          <w:lang w:val="en-GB" w:eastAsia="es-ES_tradnl"/>
          <w14:ligatures w14:val="none"/>
        </w:rPr>
        <w:t>We provide you with a partial ML4IoTBP specification that describe the dataset and the ML model configuration. Please complete it to:</w:t>
      </w:r>
    </w:p>
    <w:p w14:paraId="036BDAE7" w14:textId="77777777" w:rsidR="00BC1144" w:rsidRDefault="00BC1144" w:rsidP="00EE570E">
      <w:pPr>
        <w:pStyle w:val="Prrafodelista"/>
        <w:numPr>
          <w:ilvl w:val="0"/>
          <w:numId w:val="4"/>
        </w:numPr>
        <w:spacing w:before="100" w:beforeAutospacing="1" w:after="100" w:afterAutospacing="1" w:line="240" w:lineRule="auto"/>
        <w:jc w:val="both"/>
        <w:rPr>
          <w:rFonts w:ascii="Helvetica" w:eastAsia="Times New Roman" w:hAnsi="Helvetica" w:cs="Times New Roman"/>
          <w:kern w:val="0"/>
          <w:sz w:val="22"/>
          <w:szCs w:val="22"/>
          <w:lang w:val="en-GB" w:eastAsia="es-ES_tradnl"/>
          <w14:ligatures w14:val="none"/>
        </w:rPr>
      </w:pPr>
      <w:r w:rsidRPr="00BC1144">
        <w:rPr>
          <w:rFonts w:ascii="Helvetica" w:eastAsia="Times New Roman" w:hAnsi="Helvetica" w:cs="Times New Roman"/>
          <w:kern w:val="0"/>
          <w:sz w:val="22"/>
          <w:szCs w:val="22"/>
          <w:lang w:val="en-GB" w:eastAsia="es-ES_tradnl"/>
          <w14:ligatures w14:val="none"/>
        </w:rPr>
        <w:lastRenderedPageBreak/>
        <w:t xml:space="preserve">Get a prediction from the ML Model every 40 second from </w:t>
      </w:r>
      <w:r w:rsidRPr="003D0644">
        <w:rPr>
          <w:rFonts w:ascii="Helvetica" w:eastAsia="Times New Roman" w:hAnsi="Helvetica" w:cs="Times New Roman"/>
          <w:kern w:val="0"/>
          <w:sz w:val="22"/>
          <w:szCs w:val="22"/>
          <w:lang w:val="en-GB" w:eastAsia="es-ES_tradnl"/>
          <w14:ligatures w14:val="none"/>
        </w:rPr>
        <w:t xml:space="preserve">the batch is moved to a controlled environment </w:t>
      </w:r>
      <w:r>
        <w:rPr>
          <w:rFonts w:ascii="Helvetica" w:eastAsia="Times New Roman" w:hAnsi="Helvetica" w:cs="Times New Roman"/>
          <w:kern w:val="0"/>
          <w:sz w:val="22"/>
          <w:szCs w:val="22"/>
          <w:lang w:val="en-GB" w:eastAsia="es-ES_tradnl"/>
          <w14:ligatures w14:val="none"/>
        </w:rPr>
        <w:t xml:space="preserve">until </w:t>
      </w:r>
      <w:r w:rsidRPr="003D0644">
        <w:rPr>
          <w:rFonts w:ascii="Helvetica" w:eastAsia="Times New Roman" w:hAnsi="Helvetica" w:cs="Times New Roman"/>
          <w:kern w:val="0"/>
          <w:sz w:val="22"/>
          <w:szCs w:val="22"/>
          <w:lang w:val="en-GB" w:eastAsia="es-ES_tradnl"/>
          <w14:ligatures w14:val="none"/>
        </w:rPr>
        <w:t>stability and purity analysis</w:t>
      </w:r>
      <w:r>
        <w:rPr>
          <w:rFonts w:ascii="Helvetica" w:eastAsia="Times New Roman" w:hAnsi="Helvetica" w:cs="Times New Roman"/>
          <w:kern w:val="0"/>
          <w:sz w:val="22"/>
          <w:szCs w:val="22"/>
          <w:lang w:val="en-GB" w:eastAsia="es-ES_tradnl"/>
          <w14:ligatures w14:val="none"/>
        </w:rPr>
        <w:t>.</w:t>
      </w:r>
    </w:p>
    <w:p w14:paraId="52415ECF" w14:textId="29D8B732" w:rsidR="00EE570E" w:rsidRPr="00BC1144" w:rsidRDefault="00BC1144" w:rsidP="00BC1144">
      <w:pPr>
        <w:pStyle w:val="Prrafodelista"/>
        <w:numPr>
          <w:ilvl w:val="0"/>
          <w:numId w:val="4"/>
        </w:numPr>
        <w:spacing w:before="100" w:beforeAutospacing="1" w:after="100" w:afterAutospacing="1" w:line="240" w:lineRule="auto"/>
        <w:jc w:val="both"/>
        <w:rPr>
          <w:lang w:val="en-GB"/>
        </w:rPr>
      </w:pPr>
      <w:r w:rsidRPr="00BC1144">
        <w:rPr>
          <w:rFonts w:ascii="Helvetica" w:eastAsia="Times New Roman" w:hAnsi="Helvetica" w:cs="Times New Roman"/>
          <w:kern w:val="0"/>
          <w:sz w:val="22"/>
          <w:szCs w:val="22"/>
          <w:lang w:val="en-GB" w:eastAsia="es-ES_tradnl"/>
          <w14:ligatures w14:val="none"/>
        </w:rPr>
        <w:t>If the prediction is “yes”, with a</w:t>
      </w:r>
      <w:r>
        <w:rPr>
          <w:rFonts w:ascii="Helvetica" w:eastAsia="Times New Roman" w:hAnsi="Helvetica" w:cs="Times New Roman"/>
          <w:kern w:val="0"/>
          <w:sz w:val="22"/>
          <w:szCs w:val="22"/>
          <w:lang w:val="en-GB" w:eastAsia="es-ES_tradnl"/>
          <w14:ligatures w14:val="none"/>
        </w:rPr>
        <w:t>t least a</w:t>
      </w:r>
      <w:r w:rsidRPr="00BC1144">
        <w:rPr>
          <w:rFonts w:ascii="Helvetica" w:eastAsia="Times New Roman" w:hAnsi="Helvetica" w:cs="Times New Roman"/>
          <w:kern w:val="0"/>
          <w:sz w:val="22"/>
          <w:szCs w:val="22"/>
          <w:lang w:val="en-GB" w:eastAsia="es-ES_tradnl"/>
          <w14:ligatures w14:val="none"/>
        </w:rPr>
        <w:t xml:space="preserve"> 70% of probability, do the foll</w:t>
      </w:r>
      <w:r>
        <w:rPr>
          <w:rFonts w:ascii="Helvetica" w:eastAsia="Times New Roman" w:hAnsi="Helvetica" w:cs="Times New Roman"/>
          <w:kern w:val="0"/>
          <w:sz w:val="22"/>
          <w:szCs w:val="22"/>
          <w:lang w:val="en-GB" w:eastAsia="es-ES_tradnl"/>
          <w14:ligatures w14:val="none"/>
        </w:rPr>
        <w:t>ow</w:t>
      </w:r>
      <w:r w:rsidRPr="00BC1144">
        <w:rPr>
          <w:rFonts w:ascii="Helvetica" w:eastAsia="Times New Roman" w:hAnsi="Helvetica" w:cs="Times New Roman"/>
          <w:kern w:val="0"/>
          <w:sz w:val="22"/>
          <w:szCs w:val="22"/>
          <w:lang w:val="en-GB" w:eastAsia="es-ES_tradnl"/>
          <w14:ligatures w14:val="none"/>
        </w:rPr>
        <w:t xml:space="preserve">ing actions: </w:t>
      </w:r>
    </w:p>
    <w:p w14:paraId="109E333B" w14:textId="6D4C872A" w:rsidR="00BC1144" w:rsidRDefault="00BC1144" w:rsidP="00BC1144">
      <w:pPr>
        <w:pStyle w:val="Prrafodelista"/>
        <w:numPr>
          <w:ilvl w:val="1"/>
          <w:numId w:val="4"/>
        </w:numPr>
        <w:spacing w:before="100" w:beforeAutospacing="1" w:after="100" w:afterAutospacing="1" w:line="240" w:lineRule="auto"/>
        <w:jc w:val="both"/>
        <w:rPr>
          <w:lang w:val="en-GB"/>
        </w:rPr>
      </w:pPr>
      <w:r>
        <w:rPr>
          <w:lang w:val="en-GB"/>
        </w:rPr>
        <w:t>Set the internal variable regulations to true</w:t>
      </w:r>
    </w:p>
    <w:p w14:paraId="5609D560" w14:textId="2CCC0E39" w:rsidR="00BC1144" w:rsidRDefault="00BC1144" w:rsidP="00BC1144">
      <w:pPr>
        <w:pStyle w:val="Prrafodelista"/>
        <w:numPr>
          <w:ilvl w:val="1"/>
          <w:numId w:val="4"/>
        </w:numPr>
        <w:spacing w:before="100" w:beforeAutospacing="1" w:after="100" w:afterAutospacing="1" w:line="240" w:lineRule="auto"/>
        <w:jc w:val="both"/>
        <w:rPr>
          <w:lang w:val="en-GB"/>
        </w:rPr>
      </w:pPr>
      <w:r>
        <w:rPr>
          <w:lang w:val="en-GB"/>
        </w:rPr>
        <w:t>Execute the task Place for Distribution</w:t>
      </w:r>
    </w:p>
    <w:p w14:paraId="18BF46BF" w14:textId="1AF796A9" w:rsidR="00BC1144" w:rsidRDefault="00BC1144" w:rsidP="00BC1144">
      <w:pPr>
        <w:spacing w:before="100" w:beforeAutospacing="1" w:after="100" w:afterAutospacing="1" w:line="240" w:lineRule="auto"/>
        <w:jc w:val="both"/>
        <w:rPr>
          <w:lang w:val="en-GB"/>
        </w:rPr>
      </w:pPr>
      <w:r>
        <w:rPr>
          <w:lang w:val="en-GB"/>
        </w:rPr>
        <w:t>The BPMN ids that you need to know to create this specification are the following:</w:t>
      </w:r>
    </w:p>
    <w:p w14:paraId="60882280" w14:textId="35D24383" w:rsidR="00BC1144" w:rsidRDefault="00BC1144" w:rsidP="00BC1144">
      <w:pPr>
        <w:pStyle w:val="Prrafodelista"/>
        <w:numPr>
          <w:ilvl w:val="0"/>
          <w:numId w:val="6"/>
        </w:numPr>
        <w:spacing w:before="100" w:beforeAutospacing="1" w:after="100" w:afterAutospacing="1" w:line="240" w:lineRule="auto"/>
        <w:jc w:val="both"/>
        <w:rPr>
          <w:lang w:val="en-GB"/>
        </w:rPr>
      </w:pPr>
      <w:r>
        <w:rPr>
          <w:lang w:val="en-GB"/>
        </w:rPr>
        <w:t xml:space="preserve">Task “Storage in Controlled Environment”: </w:t>
      </w:r>
      <w:proofErr w:type="spellStart"/>
      <w:r w:rsidRPr="00BC1144">
        <w:rPr>
          <w:lang w:val="en-GB"/>
        </w:rPr>
        <w:t>storageControlledEnvTask</w:t>
      </w:r>
      <w:proofErr w:type="spellEnd"/>
    </w:p>
    <w:p w14:paraId="7CB6681D" w14:textId="306BC895" w:rsidR="00BC1144" w:rsidRDefault="00BC1144" w:rsidP="00BC1144">
      <w:pPr>
        <w:pStyle w:val="Prrafodelista"/>
        <w:numPr>
          <w:ilvl w:val="0"/>
          <w:numId w:val="6"/>
        </w:numPr>
        <w:spacing w:before="100" w:beforeAutospacing="1" w:after="100" w:afterAutospacing="1" w:line="240" w:lineRule="auto"/>
        <w:jc w:val="both"/>
        <w:rPr>
          <w:lang w:val="en-GB"/>
        </w:rPr>
      </w:pPr>
      <w:r>
        <w:rPr>
          <w:lang w:val="en-GB"/>
        </w:rPr>
        <w:t xml:space="preserve">Task “Stability and Purity Analysis”: </w:t>
      </w:r>
      <w:proofErr w:type="spellStart"/>
      <w:r w:rsidRPr="00BC1144">
        <w:rPr>
          <w:lang w:val="en-GB"/>
        </w:rPr>
        <w:t>analysisTask</w:t>
      </w:r>
      <w:proofErr w:type="spellEnd"/>
    </w:p>
    <w:p w14:paraId="7C88D550" w14:textId="6FA7FF3C" w:rsidR="00BC1144" w:rsidRPr="00BC1144" w:rsidRDefault="00BC1144" w:rsidP="00BC1144">
      <w:pPr>
        <w:pStyle w:val="Prrafodelista"/>
        <w:numPr>
          <w:ilvl w:val="0"/>
          <w:numId w:val="6"/>
        </w:numPr>
        <w:spacing w:before="100" w:beforeAutospacing="1" w:after="100" w:afterAutospacing="1" w:line="240" w:lineRule="auto"/>
        <w:jc w:val="both"/>
        <w:rPr>
          <w:lang w:val="en-GB"/>
        </w:rPr>
      </w:pPr>
      <w:r w:rsidRPr="00BC1144">
        <w:rPr>
          <w:lang w:val="en-GB"/>
        </w:rPr>
        <w:t xml:space="preserve">Task </w:t>
      </w:r>
      <w:r>
        <w:rPr>
          <w:lang w:val="en-GB"/>
        </w:rPr>
        <w:t>“</w:t>
      </w:r>
      <w:r w:rsidRPr="00BC1144">
        <w:rPr>
          <w:lang w:val="en-GB"/>
        </w:rPr>
        <w:t>Place for Distribution</w:t>
      </w:r>
      <w:r>
        <w:rPr>
          <w:lang w:val="en-GB"/>
        </w:rPr>
        <w:t>”</w:t>
      </w:r>
      <w:r w:rsidRPr="00BC1144">
        <w:rPr>
          <w:lang w:val="en-GB"/>
        </w:rPr>
        <w:t>:</w:t>
      </w:r>
      <w:r>
        <w:rPr>
          <w:lang w:val="en-GB"/>
        </w:rPr>
        <w:t xml:space="preserve"> </w:t>
      </w:r>
      <w:proofErr w:type="spellStart"/>
      <w:r w:rsidRPr="00BC1144">
        <w:rPr>
          <w:lang w:val="en-GB"/>
        </w:rPr>
        <w:t>placeForDistribution</w:t>
      </w:r>
      <w:proofErr w:type="spellEnd"/>
    </w:p>
    <w:sectPr w:rsidR="00BC1144" w:rsidRPr="00BC11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5BE3"/>
    <w:multiLevelType w:val="hybridMultilevel"/>
    <w:tmpl w:val="C4B295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AD1566E"/>
    <w:multiLevelType w:val="multilevel"/>
    <w:tmpl w:val="FFD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50190"/>
    <w:multiLevelType w:val="hybridMultilevel"/>
    <w:tmpl w:val="53623064"/>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365A53BA"/>
    <w:multiLevelType w:val="multilevel"/>
    <w:tmpl w:val="838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834A2"/>
    <w:multiLevelType w:val="hybridMultilevel"/>
    <w:tmpl w:val="D5DC00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FAE5F69"/>
    <w:multiLevelType w:val="hybridMultilevel"/>
    <w:tmpl w:val="38AEF5F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901625170">
    <w:abstractNumId w:val="1"/>
  </w:num>
  <w:num w:numId="2" w16cid:durableId="180634280">
    <w:abstractNumId w:val="3"/>
  </w:num>
  <w:num w:numId="3" w16cid:durableId="956251759">
    <w:abstractNumId w:val="5"/>
  </w:num>
  <w:num w:numId="4" w16cid:durableId="964970368">
    <w:abstractNumId w:val="2"/>
  </w:num>
  <w:num w:numId="5" w16cid:durableId="1250389064">
    <w:abstractNumId w:val="4"/>
  </w:num>
  <w:num w:numId="6" w16cid:durableId="89065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ED"/>
    <w:rsid w:val="00054DCF"/>
    <w:rsid w:val="000E7F4A"/>
    <w:rsid w:val="00187D6F"/>
    <w:rsid w:val="003803ED"/>
    <w:rsid w:val="003D0644"/>
    <w:rsid w:val="00557716"/>
    <w:rsid w:val="005B37C8"/>
    <w:rsid w:val="0079542E"/>
    <w:rsid w:val="008259EE"/>
    <w:rsid w:val="0086785F"/>
    <w:rsid w:val="00BA418D"/>
    <w:rsid w:val="00BC1144"/>
    <w:rsid w:val="00CD2B07"/>
    <w:rsid w:val="00CF474C"/>
    <w:rsid w:val="00D06A0D"/>
    <w:rsid w:val="00EE570E"/>
    <w:rsid w:val="00FD28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22C230D"/>
  <w15:chartTrackingRefBased/>
  <w15:docId w15:val="{EBF49887-BA33-F049-96F7-D9E107E3A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0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0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803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03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03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03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03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03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03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03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03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803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03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03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03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03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03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03ED"/>
    <w:rPr>
      <w:rFonts w:eastAsiaTheme="majorEastAsia" w:cstheme="majorBidi"/>
      <w:color w:val="272727" w:themeColor="text1" w:themeTint="D8"/>
    </w:rPr>
  </w:style>
  <w:style w:type="paragraph" w:styleId="Ttulo">
    <w:name w:val="Title"/>
    <w:basedOn w:val="Normal"/>
    <w:next w:val="Normal"/>
    <w:link w:val="TtuloCar"/>
    <w:uiPriority w:val="10"/>
    <w:qFormat/>
    <w:rsid w:val="00380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03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03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03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03ED"/>
    <w:pPr>
      <w:spacing w:before="160"/>
      <w:jc w:val="center"/>
    </w:pPr>
    <w:rPr>
      <w:i/>
      <w:iCs/>
      <w:color w:val="404040" w:themeColor="text1" w:themeTint="BF"/>
    </w:rPr>
  </w:style>
  <w:style w:type="character" w:customStyle="1" w:styleId="CitaCar">
    <w:name w:val="Cita Car"/>
    <w:basedOn w:val="Fuentedeprrafopredeter"/>
    <w:link w:val="Cita"/>
    <w:uiPriority w:val="29"/>
    <w:rsid w:val="003803ED"/>
    <w:rPr>
      <w:i/>
      <w:iCs/>
      <w:color w:val="404040" w:themeColor="text1" w:themeTint="BF"/>
    </w:rPr>
  </w:style>
  <w:style w:type="paragraph" w:styleId="Prrafodelista">
    <w:name w:val="List Paragraph"/>
    <w:basedOn w:val="Normal"/>
    <w:uiPriority w:val="34"/>
    <w:qFormat/>
    <w:rsid w:val="003803ED"/>
    <w:pPr>
      <w:ind w:left="720"/>
      <w:contextualSpacing/>
    </w:pPr>
  </w:style>
  <w:style w:type="character" w:styleId="nfasisintenso">
    <w:name w:val="Intense Emphasis"/>
    <w:basedOn w:val="Fuentedeprrafopredeter"/>
    <w:uiPriority w:val="21"/>
    <w:qFormat/>
    <w:rsid w:val="003803ED"/>
    <w:rPr>
      <w:i/>
      <w:iCs/>
      <w:color w:val="0F4761" w:themeColor="accent1" w:themeShade="BF"/>
    </w:rPr>
  </w:style>
  <w:style w:type="paragraph" w:styleId="Citadestacada">
    <w:name w:val="Intense Quote"/>
    <w:basedOn w:val="Normal"/>
    <w:next w:val="Normal"/>
    <w:link w:val="CitadestacadaCar"/>
    <w:uiPriority w:val="30"/>
    <w:qFormat/>
    <w:rsid w:val="00380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03ED"/>
    <w:rPr>
      <w:i/>
      <w:iCs/>
      <w:color w:val="0F4761" w:themeColor="accent1" w:themeShade="BF"/>
    </w:rPr>
  </w:style>
  <w:style w:type="character" w:styleId="Referenciaintensa">
    <w:name w:val="Intense Reference"/>
    <w:basedOn w:val="Fuentedeprrafopredeter"/>
    <w:uiPriority w:val="32"/>
    <w:qFormat/>
    <w:rsid w:val="003803ED"/>
    <w:rPr>
      <w:b/>
      <w:bCs/>
      <w:smallCaps/>
      <w:color w:val="0F4761" w:themeColor="accent1" w:themeShade="BF"/>
      <w:spacing w:val="5"/>
    </w:rPr>
  </w:style>
  <w:style w:type="paragraph" w:styleId="NormalWeb">
    <w:name w:val="Normal (Web)"/>
    <w:basedOn w:val="Normal"/>
    <w:uiPriority w:val="99"/>
    <w:semiHidden/>
    <w:unhideWhenUsed/>
    <w:rsid w:val="003803ED"/>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3803ED"/>
    <w:rPr>
      <w:b/>
      <w:bCs/>
    </w:rPr>
  </w:style>
  <w:style w:type="character" w:styleId="Hipervnculo">
    <w:name w:val="Hyperlink"/>
    <w:basedOn w:val="Fuentedeprrafopredeter"/>
    <w:uiPriority w:val="99"/>
    <w:unhideWhenUsed/>
    <w:rsid w:val="00FD2848"/>
    <w:rPr>
      <w:color w:val="467886" w:themeColor="hyperlink"/>
      <w:u w:val="single"/>
    </w:rPr>
  </w:style>
  <w:style w:type="character" w:styleId="Mencinsinresolver">
    <w:name w:val="Unresolved Mention"/>
    <w:basedOn w:val="Fuentedeprrafopredeter"/>
    <w:uiPriority w:val="99"/>
    <w:semiHidden/>
    <w:unhideWhenUsed/>
    <w:rsid w:val="00FD2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368</Words>
  <Characters>2029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Jose Valderas Aranda</dc:creator>
  <cp:keywords/>
  <dc:description/>
  <cp:lastModifiedBy>Pedro Jose Valderas Aranda</cp:lastModifiedBy>
  <cp:revision>5</cp:revision>
  <dcterms:created xsi:type="dcterms:W3CDTF">2026-03-28T13:06:00Z</dcterms:created>
  <dcterms:modified xsi:type="dcterms:W3CDTF">2026-03-29T11:49:00Z</dcterms:modified>
</cp:coreProperties>
</file>