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spacing w:line="360" w:lineRule="auto"/>
        <w:jc w:val="both"/>
        <w:rPr>
          <w:rFonts w:hint="default" w:ascii="Times New Roman Bold" w:hAnsi="Times New Roman Bold" w:cs="Times New Roman Bold" w:eastAsiaTheme="minorEastAsia"/>
          <w:b/>
          <w:bCs/>
          <w:i w:val="0"/>
          <w:kern w:val="2"/>
          <w:sz w:val="24"/>
          <w:szCs w:val="24"/>
          <w:lang w:eastAsia="zh-CN" w:bidi="ar-SA"/>
        </w:rPr>
      </w:pPr>
      <w:bookmarkStart w:id="0" w:name="_GoBack"/>
      <w:r>
        <w:rPr>
          <w:rFonts w:hint="default" w:ascii="Times New Roman Bold" w:hAnsi="Times New Roman Bold" w:cs="Times New Roman Bold" w:eastAsiaTheme="minorEastAsia"/>
          <w:b/>
          <w:bCs/>
          <w:i w:val="0"/>
          <w:kern w:val="2"/>
          <w:sz w:val="24"/>
          <w:szCs w:val="24"/>
          <w:lang w:eastAsia="zh-CN" w:bidi="ar-SA"/>
        </w:rPr>
        <w:t>PyCity School Analysis</w:t>
      </w:r>
    </w:p>
    <w:p>
      <w:pPr>
        <w:keepNext w:val="0"/>
        <w:keepLines w:val="0"/>
        <w:widowControl/>
        <w:suppressLineNumbers w:val="0"/>
        <w:spacing w:line="360" w:lineRule="auto"/>
        <w:jc w:val="both"/>
        <w:rPr>
          <w:rFonts w:hint="default" w:ascii="Times New Roman Bold" w:hAnsi="Times New Roman Bold" w:cs="Times New Roman Bold" w:eastAsiaTheme="minorEastAsia"/>
          <w:b/>
          <w:bCs/>
          <w:i w:val="0"/>
          <w:kern w:val="2"/>
          <w:sz w:val="24"/>
          <w:szCs w:val="24"/>
          <w:lang w:eastAsia="zh-CN" w:bidi="ar-SA"/>
        </w:rPr>
      </w:pPr>
      <w:r>
        <w:rPr>
          <w:rFonts w:hint="default" w:ascii="Times New Roman Bold" w:hAnsi="Times New Roman Bold" w:cs="Times New Roman Bold" w:eastAsiaTheme="minorEastAsia"/>
          <w:b/>
          <w:bCs/>
          <w:i w:val="0"/>
          <w:kern w:val="2"/>
          <w:sz w:val="24"/>
          <w:szCs w:val="24"/>
          <w:lang w:eastAsia="zh-CN" w:bidi="ar-SA"/>
        </w:rPr>
        <w:t>Summary</w:t>
      </w:r>
    </w:p>
    <w:p>
      <w:pPr>
        <w:keepNext w:val="0"/>
        <w:keepLines w:val="0"/>
        <w:widowControl/>
        <w:suppressLineNumbers w:val="0"/>
        <w:spacing w:line="360" w:lineRule="auto"/>
        <w:jc w:val="both"/>
        <w:rPr>
          <w:rFonts w:hint="default" w:ascii="Times New Roman Regular" w:hAnsi="Times New Roman Regular" w:cs="Times New Roman Regular" w:eastAsiaTheme="minorEastAsia"/>
          <w:i w:val="0"/>
          <w:kern w:val="2"/>
          <w:sz w:val="24"/>
          <w:szCs w:val="24"/>
          <w:lang w:eastAsia="zh-CN" w:bidi="ar-SA"/>
        </w:rPr>
      </w:pPr>
      <w:r>
        <w:rPr>
          <w:rFonts w:hint="default" w:ascii="Times New Roman Regular" w:hAnsi="Times New Roman Regular" w:cs="Times New Roman Regular" w:eastAsiaTheme="minorEastAsia"/>
          <w:i w:val="0"/>
          <w:kern w:val="2"/>
          <w:sz w:val="24"/>
          <w:szCs w:val="24"/>
          <w:lang w:eastAsia="zh-CN" w:bidi="ar-SA"/>
        </w:rPr>
        <w:t>In Figure 1, there are a total of 15 schools with 39,170 students, and the total budget for all schools is $24,649,428. The average math score for all students is 78.985, with a passing rate of 74.981%. The average reading score is 81.878, with a passing rate of 85.805%. Additionally, 65.172% of students passed both math and reading.</w:t>
      </w:r>
    </w:p>
    <w:p>
      <w:pPr>
        <w:keepNext w:val="0"/>
        <w:keepLines w:val="0"/>
        <w:widowControl/>
        <w:suppressLineNumbers w:val="0"/>
        <w:spacing w:line="360" w:lineRule="auto"/>
        <w:jc w:val="both"/>
        <w:rPr>
          <w:rFonts w:hint="default" w:ascii="Times New Roman Regular" w:hAnsi="Times New Roman Regular" w:cs="Times New Roman Regular" w:eastAsiaTheme="minorEastAsia"/>
          <w:i w:val="0"/>
          <w:iCs/>
          <w:kern w:val="2"/>
          <w:sz w:val="24"/>
          <w:szCs w:val="24"/>
          <w:lang w:eastAsia="zh-CN" w:bidi="ar-SA"/>
        </w:rPr>
      </w:pPr>
      <w:r>
        <w:rPr>
          <w:rFonts w:hint="default" w:ascii="Times New Roman Regular" w:hAnsi="Times New Roman Regular" w:cs="Times New Roman Regular" w:eastAsiaTheme="minorEastAsia"/>
          <w:i w:val="0"/>
          <w:iCs/>
          <w:kern w:val="2"/>
          <w:sz w:val="24"/>
          <w:szCs w:val="24"/>
          <w:lang w:eastAsia="zh-CN" w:bidi="ar-SA"/>
        </w:rPr>
        <w:t>Figure 1.</w:t>
      </w:r>
    </w:p>
    <w:p>
      <w:pPr>
        <w:keepNext w:val="0"/>
        <w:keepLines w:val="0"/>
        <w:widowControl/>
        <w:suppressLineNumbers w:val="0"/>
        <w:spacing w:line="360" w:lineRule="auto"/>
        <w:jc w:val="both"/>
        <w:rPr>
          <w:rFonts w:hint="default" w:ascii="Times New Roman Regular" w:hAnsi="Times New Roman Regular" w:cs="Times New Roman Regular" w:eastAsiaTheme="minorEastAsia"/>
          <w:i w:val="0"/>
          <w:kern w:val="2"/>
          <w:sz w:val="24"/>
          <w:szCs w:val="24"/>
          <w:lang w:eastAsia="zh-CN" w:bidi="ar-SA"/>
        </w:rPr>
      </w:pPr>
      <w:r>
        <w:rPr>
          <w:rFonts w:hint="default" w:ascii="Times New Roman Regular" w:hAnsi="Times New Roman Regular" w:cs="Times New Roman Regular"/>
          <w:i w:val="0"/>
          <w:sz w:val="24"/>
          <w:szCs w:val="24"/>
        </w:rPr>
        <w:drawing>
          <wp:inline distT="0" distB="0" distL="114300" distR="114300">
            <wp:extent cx="5269865" cy="290195"/>
            <wp:effectExtent l="0" t="0" r="13335"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9865" cy="290195"/>
                    </a:xfrm>
                    <a:prstGeom prst="rect">
                      <a:avLst/>
                    </a:prstGeom>
                    <a:noFill/>
                    <a:ln>
                      <a:noFill/>
                    </a:ln>
                  </pic:spPr>
                </pic:pic>
              </a:graphicData>
            </a:graphic>
          </wp:inline>
        </w:drawing>
      </w:r>
    </w:p>
    <w:p>
      <w:pPr>
        <w:keepNext w:val="0"/>
        <w:keepLines w:val="0"/>
        <w:widowControl/>
        <w:suppressLineNumbers w:val="0"/>
        <w:spacing w:line="360" w:lineRule="auto"/>
        <w:jc w:val="both"/>
        <w:rPr>
          <w:rFonts w:hint="default" w:ascii="Times New Roman Regular" w:hAnsi="Times New Roman Regular" w:cs="Times New Roman Regular" w:eastAsiaTheme="minorEastAsia"/>
          <w:i w:val="0"/>
          <w:kern w:val="2"/>
          <w:sz w:val="24"/>
          <w:szCs w:val="24"/>
          <w:lang w:eastAsia="zh-CN" w:bidi="ar-SA"/>
        </w:rPr>
      </w:pPr>
      <w:r>
        <w:rPr>
          <w:rFonts w:hint="default" w:ascii="Times New Roman Regular" w:hAnsi="Times New Roman Regular" w:cs="Times New Roman Regular" w:eastAsiaTheme="minorEastAsia"/>
          <w:i w:val="0"/>
          <w:kern w:val="2"/>
          <w:sz w:val="24"/>
          <w:szCs w:val="24"/>
          <w:lang w:eastAsia="zh-CN" w:bidi="ar-SA"/>
        </w:rPr>
        <w:t>Figure 2 provides a description of different school types, the total number of students in each school, the total budget and budget per student for each school, as well as the average math and reading scores with passing rates, including the passing rate for students who passed both math and reading.</w:t>
      </w:r>
    </w:p>
    <w:p>
      <w:pPr>
        <w:keepNext w:val="0"/>
        <w:keepLines w:val="0"/>
        <w:widowControl/>
        <w:suppressLineNumbers w:val="0"/>
        <w:spacing w:line="360" w:lineRule="auto"/>
        <w:jc w:val="both"/>
        <w:rPr>
          <w:rFonts w:hint="default" w:ascii="Times New Roman Regular" w:hAnsi="Times New Roman Regular" w:cs="Times New Roman Regular" w:eastAsiaTheme="minorEastAsia"/>
          <w:i w:val="0"/>
          <w:iCs/>
          <w:kern w:val="2"/>
          <w:sz w:val="24"/>
          <w:szCs w:val="24"/>
          <w:lang w:eastAsia="zh-CN" w:bidi="ar-SA"/>
        </w:rPr>
      </w:pPr>
      <w:r>
        <w:rPr>
          <w:rFonts w:hint="default" w:ascii="Times New Roman Regular" w:hAnsi="Times New Roman Regular" w:cs="Times New Roman Regular" w:eastAsiaTheme="minorEastAsia"/>
          <w:i w:val="0"/>
          <w:iCs/>
          <w:kern w:val="2"/>
          <w:sz w:val="24"/>
          <w:szCs w:val="24"/>
          <w:lang w:eastAsia="zh-CN" w:bidi="ar-SA"/>
        </w:rPr>
        <w:t>Figure 2.</w:t>
      </w:r>
    </w:p>
    <w:p>
      <w:pPr>
        <w:keepNext w:val="0"/>
        <w:keepLines w:val="0"/>
        <w:widowControl/>
        <w:suppressLineNumbers w:val="0"/>
        <w:spacing w:line="360" w:lineRule="auto"/>
        <w:jc w:val="both"/>
        <w:rPr>
          <w:rFonts w:hint="default" w:ascii="Times New Roman Regular" w:hAnsi="Times New Roman Regular" w:cs="Times New Roman Regular" w:eastAsiaTheme="minorEastAsia"/>
          <w:i w:val="0"/>
          <w:kern w:val="2"/>
          <w:sz w:val="24"/>
          <w:szCs w:val="24"/>
          <w:lang w:eastAsia="zh-CN" w:bidi="ar-SA"/>
        </w:rPr>
      </w:pPr>
      <w:r>
        <w:rPr>
          <w:rFonts w:hint="default" w:ascii="Times New Roman Regular" w:hAnsi="Times New Roman Regular" w:cs="Times New Roman Regular"/>
          <w:i w:val="0"/>
          <w:sz w:val="24"/>
          <w:szCs w:val="24"/>
        </w:rPr>
        <w:drawing>
          <wp:inline distT="0" distB="0" distL="114300" distR="114300">
            <wp:extent cx="5062220" cy="2303145"/>
            <wp:effectExtent l="0" t="0" r="1778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062220" cy="2303145"/>
                    </a:xfrm>
                    <a:prstGeom prst="rect">
                      <a:avLst/>
                    </a:prstGeom>
                    <a:noFill/>
                    <a:ln>
                      <a:noFill/>
                    </a:ln>
                  </pic:spPr>
                </pic:pic>
              </a:graphicData>
            </a:graphic>
          </wp:inline>
        </w:drawing>
      </w:r>
    </w:p>
    <w:p>
      <w:pPr>
        <w:keepNext w:val="0"/>
        <w:keepLines w:val="0"/>
        <w:widowControl/>
        <w:suppressLineNumbers w:val="0"/>
        <w:spacing w:line="360" w:lineRule="auto"/>
        <w:jc w:val="both"/>
        <w:rPr>
          <w:rFonts w:hint="default" w:ascii="Times New Roman Regular" w:hAnsi="Times New Roman Regular" w:cs="Times New Roman Regular" w:eastAsiaTheme="minorEastAsia"/>
          <w:i w:val="0"/>
          <w:kern w:val="2"/>
          <w:sz w:val="24"/>
          <w:szCs w:val="24"/>
          <w:lang w:eastAsia="zh-CN" w:bidi="ar-SA"/>
        </w:rPr>
      </w:pPr>
      <w:r>
        <w:rPr>
          <w:rFonts w:hint="default" w:ascii="Times New Roman Regular" w:hAnsi="Times New Roman Regular" w:cs="Times New Roman Regular" w:eastAsiaTheme="minorEastAsia"/>
          <w:i w:val="0"/>
          <w:kern w:val="2"/>
          <w:sz w:val="24"/>
          <w:szCs w:val="24"/>
          <w:lang w:eastAsia="zh-CN" w:bidi="ar-SA"/>
        </w:rPr>
        <w:t>Based on the sorting of the overall passing rate, we identified the highest and lowest performing schools. Cabrera High School has the highest overall passing rate of 91.335%, while Rodriguez High School has the lowest overall passing rate of 52.988%. For more specific information about these two schools, refer to Figure 3.</w:t>
      </w:r>
    </w:p>
    <w:p>
      <w:pPr>
        <w:keepNext w:val="0"/>
        <w:keepLines w:val="0"/>
        <w:widowControl/>
        <w:suppressLineNumbers w:val="0"/>
        <w:spacing w:line="360" w:lineRule="auto"/>
        <w:jc w:val="both"/>
        <w:rPr>
          <w:rFonts w:hint="default" w:ascii="Times New Roman Regular" w:hAnsi="Times New Roman Regular" w:cs="Times New Roman Regular" w:eastAsiaTheme="minorEastAsia"/>
          <w:i w:val="0"/>
          <w:kern w:val="2"/>
          <w:sz w:val="24"/>
          <w:szCs w:val="24"/>
          <w:lang w:eastAsia="zh-CN" w:bidi="ar-SA"/>
        </w:rPr>
      </w:pPr>
      <w:r>
        <w:rPr>
          <w:rFonts w:hint="default" w:ascii="Times New Roman Regular" w:hAnsi="Times New Roman Regular" w:cs="Times New Roman Regular" w:eastAsiaTheme="minorEastAsia"/>
          <w:i w:val="0"/>
          <w:iCs/>
          <w:kern w:val="2"/>
          <w:sz w:val="24"/>
          <w:szCs w:val="24"/>
          <w:lang w:eastAsia="zh-CN" w:bidi="ar-SA"/>
        </w:rPr>
        <w:t>Figure 3.</w:t>
      </w:r>
    </w:p>
    <w:p>
      <w:pPr>
        <w:keepNext w:val="0"/>
        <w:keepLines w:val="0"/>
        <w:widowControl/>
        <w:suppressLineNumbers w:val="0"/>
        <w:spacing w:line="360" w:lineRule="auto"/>
        <w:jc w:val="both"/>
        <w:rPr>
          <w:rFonts w:hint="default" w:ascii="Times New Roman Regular" w:hAnsi="Times New Roman Regular" w:cs="Times New Roman Regular"/>
          <w:i w:val="0"/>
          <w:sz w:val="24"/>
          <w:szCs w:val="24"/>
        </w:rPr>
      </w:pPr>
      <w:r>
        <w:rPr>
          <w:rFonts w:hint="default" w:ascii="Times New Roman Regular" w:hAnsi="Times New Roman Regular" w:cs="Times New Roman Regular"/>
          <w:i w:val="0"/>
          <w:sz w:val="24"/>
          <w:szCs w:val="24"/>
        </w:rPr>
        <w:drawing>
          <wp:inline distT="0" distB="0" distL="114300" distR="114300">
            <wp:extent cx="5267960" cy="368300"/>
            <wp:effectExtent l="0" t="0" r="1524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67960" cy="368300"/>
                    </a:xfrm>
                    <a:prstGeom prst="rect">
                      <a:avLst/>
                    </a:prstGeom>
                    <a:noFill/>
                    <a:ln>
                      <a:noFill/>
                    </a:ln>
                  </pic:spPr>
                </pic:pic>
              </a:graphicData>
            </a:graphic>
          </wp:inline>
        </w:drawing>
      </w:r>
    </w:p>
    <w:p>
      <w:pPr>
        <w:keepNext w:val="0"/>
        <w:keepLines w:val="0"/>
        <w:widowControl/>
        <w:suppressLineNumbers w:val="0"/>
        <w:spacing w:line="360" w:lineRule="auto"/>
        <w:jc w:val="both"/>
        <w:rPr>
          <w:rFonts w:hint="default" w:ascii="Times New Roman Regular" w:hAnsi="Times New Roman Regular" w:cs="Times New Roman Regular" w:eastAsiaTheme="minorEastAsia"/>
          <w:i w:val="0"/>
          <w:kern w:val="2"/>
          <w:sz w:val="24"/>
          <w:szCs w:val="24"/>
          <w:lang w:eastAsia="zh-CN" w:bidi="ar-SA"/>
        </w:rPr>
      </w:pPr>
      <w:r>
        <w:rPr>
          <w:rFonts w:hint="default" w:ascii="Times New Roman Regular" w:hAnsi="Times New Roman Regular" w:cs="Times New Roman Regular"/>
          <w:i w:val="0"/>
          <w:sz w:val="24"/>
          <w:szCs w:val="24"/>
        </w:rPr>
        <w:drawing>
          <wp:inline distT="0" distB="0" distL="114300" distR="114300">
            <wp:extent cx="5266690" cy="353695"/>
            <wp:effectExtent l="0" t="0" r="1651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66690" cy="353695"/>
                    </a:xfrm>
                    <a:prstGeom prst="rect">
                      <a:avLst/>
                    </a:prstGeom>
                    <a:noFill/>
                    <a:ln>
                      <a:noFill/>
                    </a:ln>
                  </pic:spPr>
                </pic:pic>
              </a:graphicData>
            </a:graphic>
          </wp:inline>
        </w:drawing>
      </w:r>
    </w:p>
    <w:p>
      <w:pPr>
        <w:keepNext w:val="0"/>
        <w:keepLines w:val="0"/>
        <w:widowControl/>
        <w:suppressLineNumbers w:val="0"/>
        <w:spacing w:line="360" w:lineRule="auto"/>
        <w:jc w:val="both"/>
        <w:rPr>
          <w:rFonts w:hint="default" w:ascii="Times New Roman Regular" w:hAnsi="Times New Roman Regular" w:cs="Times New Roman Regular" w:eastAsiaTheme="minorEastAsia"/>
          <w:i w:val="0"/>
          <w:kern w:val="2"/>
          <w:sz w:val="24"/>
          <w:szCs w:val="24"/>
          <w:lang w:eastAsia="zh-CN" w:bidi="ar-SA"/>
        </w:rPr>
      </w:pPr>
      <w:r>
        <w:rPr>
          <w:rFonts w:hint="default" w:ascii="Times New Roman Regular" w:hAnsi="Times New Roman Regular" w:cs="Times New Roman Regular" w:eastAsiaTheme="minorEastAsia"/>
          <w:i w:val="0"/>
          <w:kern w:val="2"/>
          <w:sz w:val="24"/>
          <w:szCs w:val="24"/>
          <w:lang w:eastAsia="zh-CN" w:bidi="ar-SA"/>
        </w:rPr>
        <w:t>Figure 4 displays the math and reading scores for different grades in different schools.</w:t>
      </w:r>
    </w:p>
    <w:p>
      <w:pPr>
        <w:keepNext w:val="0"/>
        <w:keepLines w:val="0"/>
        <w:widowControl/>
        <w:suppressLineNumbers w:val="0"/>
        <w:spacing w:line="360" w:lineRule="auto"/>
        <w:jc w:val="both"/>
        <w:rPr>
          <w:rFonts w:hint="default" w:ascii="Times New Roman Regular" w:hAnsi="Times New Roman Regular" w:cs="Times New Roman Regular" w:eastAsiaTheme="minorEastAsia"/>
          <w:i w:val="0"/>
          <w:iCs/>
          <w:kern w:val="2"/>
          <w:sz w:val="24"/>
          <w:szCs w:val="24"/>
          <w:lang w:eastAsia="zh-CN" w:bidi="ar-SA"/>
        </w:rPr>
      </w:pPr>
      <w:r>
        <w:rPr>
          <w:rFonts w:hint="default" w:ascii="Times New Roman Regular" w:hAnsi="Times New Roman Regular" w:cs="Times New Roman Regular" w:eastAsiaTheme="minorEastAsia"/>
          <w:i w:val="0"/>
          <w:iCs/>
          <w:kern w:val="2"/>
          <w:sz w:val="24"/>
          <w:szCs w:val="24"/>
          <w:lang w:eastAsia="zh-CN" w:bidi="ar-SA"/>
        </w:rPr>
        <w:t>Figure 4.</w:t>
      </w:r>
    </w:p>
    <w:p>
      <w:pPr>
        <w:keepNext w:val="0"/>
        <w:keepLines w:val="0"/>
        <w:widowControl/>
        <w:suppressLineNumbers w:val="0"/>
        <w:spacing w:line="360" w:lineRule="auto"/>
        <w:jc w:val="both"/>
        <w:rPr>
          <w:rFonts w:hint="default" w:ascii="Times New Roman Regular" w:hAnsi="Times New Roman Regular" w:cs="Times New Roman Regular"/>
          <w:i w:val="0"/>
          <w:sz w:val="24"/>
          <w:szCs w:val="24"/>
        </w:rPr>
      </w:pPr>
      <w:r>
        <w:rPr>
          <w:rFonts w:hint="default" w:ascii="Times New Roman Regular" w:hAnsi="Times New Roman Regular" w:cs="Times New Roman Regular"/>
          <w:i w:val="0"/>
          <w:sz w:val="24"/>
          <w:szCs w:val="24"/>
        </w:rPr>
        <w:drawing>
          <wp:inline distT="0" distB="0" distL="114300" distR="114300">
            <wp:extent cx="2503805" cy="1922145"/>
            <wp:effectExtent l="0" t="0" r="1079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2503805" cy="1922145"/>
                    </a:xfrm>
                    <a:prstGeom prst="rect">
                      <a:avLst/>
                    </a:prstGeom>
                    <a:noFill/>
                    <a:ln>
                      <a:noFill/>
                    </a:ln>
                  </pic:spPr>
                </pic:pic>
              </a:graphicData>
            </a:graphic>
          </wp:inline>
        </w:drawing>
      </w:r>
      <w:r>
        <w:rPr>
          <w:rFonts w:hint="default" w:ascii="Times New Roman Regular" w:hAnsi="Times New Roman Regular" w:cs="Times New Roman Regular"/>
          <w:i w:val="0"/>
          <w:sz w:val="24"/>
          <w:szCs w:val="24"/>
        </w:rPr>
        <w:drawing>
          <wp:inline distT="0" distB="0" distL="114300" distR="114300">
            <wp:extent cx="2544445" cy="1912620"/>
            <wp:effectExtent l="0" t="0" r="20955" b="177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2544445" cy="1912620"/>
                    </a:xfrm>
                    <a:prstGeom prst="rect">
                      <a:avLst/>
                    </a:prstGeom>
                    <a:noFill/>
                    <a:ln>
                      <a:noFill/>
                    </a:ln>
                  </pic:spPr>
                </pic:pic>
              </a:graphicData>
            </a:graphic>
          </wp:inline>
        </w:drawing>
      </w:r>
    </w:p>
    <w:p>
      <w:pPr>
        <w:keepNext w:val="0"/>
        <w:keepLines w:val="0"/>
        <w:widowControl/>
        <w:suppressLineNumbers w:val="0"/>
        <w:spacing w:line="360" w:lineRule="auto"/>
        <w:jc w:val="both"/>
        <w:rPr>
          <w:rFonts w:hint="default" w:ascii="Times New Roman Regular" w:hAnsi="Times New Roman Regular" w:cs="Times New Roman Regular" w:eastAsiaTheme="minorEastAsia"/>
          <w:i w:val="0"/>
          <w:kern w:val="2"/>
          <w:sz w:val="24"/>
          <w:szCs w:val="24"/>
          <w:lang w:eastAsia="zh-CN" w:bidi="ar-SA"/>
        </w:rPr>
      </w:pPr>
      <w:r>
        <w:rPr>
          <w:rFonts w:hint="default" w:ascii="Times New Roman Regular" w:hAnsi="Times New Roman Regular" w:cs="Times New Roman Regular" w:eastAsiaTheme="minorEastAsia"/>
          <w:i w:val="0"/>
          <w:kern w:val="2"/>
          <w:sz w:val="24"/>
          <w:szCs w:val="24"/>
          <w:lang w:eastAsia="zh-CN" w:bidi="ar-SA"/>
        </w:rPr>
        <w:t>Figure 5 illustrates the average math and reading scores and passing rates based on different school spending levels.</w:t>
      </w:r>
    </w:p>
    <w:p>
      <w:pPr>
        <w:keepNext w:val="0"/>
        <w:keepLines w:val="0"/>
        <w:widowControl/>
        <w:suppressLineNumbers w:val="0"/>
        <w:spacing w:line="360" w:lineRule="auto"/>
        <w:jc w:val="both"/>
        <w:rPr>
          <w:rFonts w:hint="default" w:ascii="Times New Roman Regular" w:hAnsi="Times New Roman Regular" w:cs="Times New Roman Regular" w:eastAsiaTheme="minorEastAsia"/>
          <w:i w:val="0"/>
          <w:iCs/>
          <w:kern w:val="2"/>
          <w:sz w:val="24"/>
          <w:szCs w:val="24"/>
          <w:lang w:eastAsia="zh-CN" w:bidi="ar-SA"/>
        </w:rPr>
      </w:pPr>
      <w:r>
        <w:rPr>
          <w:rFonts w:hint="default" w:ascii="Times New Roman Regular" w:hAnsi="Times New Roman Regular" w:cs="Times New Roman Regular" w:eastAsiaTheme="minorEastAsia"/>
          <w:i w:val="0"/>
          <w:iCs/>
          <w:kern w:val="2"/>
          <w:sz w:val="24"/>
          <w:szCs w:val="24"/>
          <w:lang w:eastAsia="zh-CN" w:bidi="ar-SA"/>
        </w:rPr>
        <w:t>Figure 5.</w:t>
      </w:r>
    </w:p>
    <w:p>
      <w:pPr>
        <w:keepNext w:val="0"/>
        <w:keepLines w:val="0"/>
        <w:widowControl/>
        <w:suppressLineNumbers w:val="0"/>
        <w:spacing w:line="360" w:lineRule="auto"/>
        <w:jc w:val="both"/>
        <w:rPr>
          <w:rFonts w:hint="default" w:ascii="Times New Roman Regular" w:hAnsi="Times New Roman Regular" w:cs="Times New Roman Regular" w:eastAsiaTheme="minorEastAsia"/>
          <w:i w:val="0"/>
          <w:kern w:val="2"/>
          <w:sz w:val="24"/>
          <w:szCs w:val="24"/>
          <w:lang w:eastAsia="zh-CN" w:bidi="ar-SA"/>
        </w:rPr>
      </w:pPr>
      <w:r>
        <w:rPr>
          <w:rFonts w:hint="default" w:ascii="Times New Roman Regular" w:hAnsi="Times New Roman Regular" w:cs="Times New Roman Regular"/>
          <w:i w:val="0"/>
          <w:sz w:val="24"/>
          <w:szCs w:val="24"/>
        </w:rPr>
        <w:drawing>
          <wp:inline distT="0" distB="0" distL="114300" distR="114300">
            <wp:extent cx="5266055" cy="913765"/>
            <wp:effectExtent l="0" t="0" r="1714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tretch>
                      <a:fillRect/>
                    </a:stretch>
                  </pic:blipFill>
                  <pic:spPr>
                    <a:xfrm>
                      <a:off x="0" y="0"/>
                      <a:ext cx="5266055" cy="913765"/>
                    </a:xfrm>
                    <a:prstGeom prst="rect">
                      <a:avLst/>
                    </a:prstGeom>
                    <a:noFill/>
                    <a:ln>
                      <a:noFill/>
                    </a:ln>
                  </pic:spPr>
                </pic:pic>
              </a:graphicData>
            </a:graphic>
          </wp:inline>
        </w:drawing>
      </w:r>
    </w:p>
    <w:p>
      <w:pPr>
        <w:keepNext w:val="0"/>
        <w:keepLines w:val="0"/>
        <w:widowControl/>
        <w:suppressLineNumbers w:val="0"/>
        <w:spacing w:line="360" w:lineRule="auto"/>
        <w:jc w:val="both"/>
        <w:rPr>
          <w:rFonts w:hint="default" w:ascii="Times New Roman Regular" w:hAnsi="Times New Roman Regular" w:cs="Times New Roman Regular" w:eastAsiaTheme="minorEastAsia"/>
          <w:i w:val="0"/>
          <w:kern w:val="2"/>
          <w:sz w:val="24"/>
          <w:szCs w:val="24"/>
          <w:lang w:eastAsia="zh-CN" w:bidi="ar-SA"/>
        </w:rPr>
      </w:pPr>
      <w:r>
        <w:rPr>
          <w:rFonts w:hint="default" w:ascii="Times New Roman Regular" w:hAnsi="Times New Roman Regular" w:cs="Times New Roman Regular" w:eastAsiaTheme="minorEastAsia"/>
          <w:i w:val="0"/>
          <w:kern w:val="2"/>
          <w:sz w:val="24"/>
          <w:szCs w:val="24"/>
          <w:lang w:eastAsia="zh-CN" w:bidi="ar-SA"/>
        </w:rPr>
        <w:t>Figure 6 shows the average math and reading scores and passing rates based on different school sizes.</w:t>
      </w:r>
    </w:p>
    <w:p>
      <w:pPr>
        <w:keepNext w:val="0"/>
        <w:keepLines w:val="0"/>
        <w:widowControl/>
        <w:suppressLineNumbers w:val="0"/>
        <w:spacing w:line="360" w:lineRule="auto"/>
        <w:jc w:val="both"/>
        <w:rPr>
          <w:rFonts w:hint="default" w:ascii="Times New Roman Regular" w:hAnsi="Times New Roman Regular" w:cs="Times New Roman Regular" w:eastAsiaTheme="minorEastAsia"/>
          <w:b w:val="0"/>
          <w:bCs w:val="0"/>
          <w:i w:val="0"/>
          <w:iCs/>
          <w:kern w:val="2"/>
          <w:sz w:val="24"/>
          <w:szCs w:val="24"/>
          <w:lang w:eastAsia="zh-CN" w:bidi="ar-SA"/>
        </w:rPr>
      </w:pPr>
      <w:r>
        <w:rPr>
          <w:rFonts w:hint="default" w:ascii="Times New Roman Regular" w:hAnsi="Times New Roman Regular" w:cs="Times New Roman Regular" w:eastAsiaTheme="minorEastAsia"/>
          <w:b w:val="0"/>
          <w:bCs w:val="0"/>
          <w:i w:val="0"/>
          <w:iCs/>
          <w:kern w:val="2"/>
          <w:sz w:val="24"/>
          <w:szCs w:val="24"/>
          <w:lang w:eastAsia="zh-CN" w:bidi="ar-SA"/>
        </w:rPr>
        <w:t>Figure 6.</w:t>
      </w:r>
    </w:p>
    <w:p>
      <w:pPr>
        <w:keepNext w:val="0"/>
        <w:keepLines w:val="0"/>
        <w:widowControl/>
        <w:suppressLineNumbers w:val="0"/>
        <w:spacing w:line="360" w:lineRule="auto"/>
        <w:jc w:val="both"/>
        <w:rPr>
          <w:rFonts w:hint="default" w:ascii="Times New Roman Regular" w:hAnsi="Times New Roman Regular" w:cs="Times New Roman Regular" w:eastAsiaTheme="minorEastAsia"/>
          <w:i w:val="0"/>
          <w:kern w:val="2"/>
          <w:sz w:val="24"/>
          <w:szCs w:val="24"/>
          <w:lang w:eastAsia="zh-CN" w:bidi="ar-SA"/>
        </w:rPr>
      </w:pPr>
      <w:r>
        <w:rPr>
          <w:rFonts w:hint="default" w:ascii="Times New Roman Regular" w:hAnsi="Times New Roman Regular" w:cs="Times New Roman Regular"/>
          <w:i w:val="0"/>
          <w:sz w:val="24"/>
          <w:szCs w:val="24"/>
        </w:rPr>
        <w:drawing>
          <wp:inline distT="0" distB="0" distL="114300" distR="114300">
            <wp:extent cx="5271135" cy="808355"/>
            <wp:effectExtent l="0" t="0" r="1206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tretch>
                      <a:fillRect/>
                    </a:stretch>
                  </pic:blipFill>
                  <pic:spPr>
                    <a:xfrm>
                      <a:off x="0" y="0"/>
                      <a:ext cx="5271135" cy="808355"/>
                    </a:xfrm>
                    <a:prstGeom prst="rect">
                      <a:avLst/>
                    </a:prstGeom>
                    <a:noFill/>
                    <a:ln>
                      <a:noFill/>
                    </a:ln>
                  </pic:spPr>
                </pic:pic>
              </a:graphicData>
            </a:graphic>
          </wp:inline>
        </w:drawing>
      </w:r>
    </w:p>
    <w:p>
      <w:pPr>
        <w:keepNext w:val="0"/>
        <w:keepLines w:val="0"/>
        <w:widowControl/>
        <w:suppressLineNumbers w:val="0"/>
        <w:spacing w:line="360" w:lineRule="auto"/>
        <w:jc w:val="both"/>
        <w:rPr>
          <w:rFonts w:hint="default" w:ascii="Times New Roman Regular" w:hAnsi="Times New Roman Regular" w:cs="Times New Roman Regular" w:eastAsiaTheme="minorEastAsia"/>
          <w:i w:val="0"/>
          <w:kern w:val="2"/>
          <w:sz w:val="24"/>
          <w:szCs w:val="24"/>
          <w:lang w:eastAsia="zh-CN" w:bidi="ar-SA"/>
        </w:rPr>
      </w:pPr>
      <w:r>
        <w:rPr>
          <w:rFonts w:hint="default" w:ascii="Times New Roman Regular" w:hAnsi="Times New Roman Regular" w:cs="Times New Roman Regular" w:eastAsiaTheme="minorEastAsia"/>
          <w:i w:val="0"/>
          <w:kern w:val="2"/>
          <w:sz w:val="24"/>
          <w:szCs w:val="24"/>
          <w:lang w:eastAsia="zh-CN" w:bidi="ar-SA"/>
        </w:rPr>
        <w:t>Figure 7 presents the average math and reading scores and passing rates based on different school types.</w:t>
      </w:r>
    </w:p>
    <w:p>
      <w:pPr>
        <w:keepNext w:val="0"/>
        <w:keepLines w:val="0"/>
        <w:widowControl/>
        <w:suppressLineNumbers w:val="0"/>
        <w:spacing w:line="360" w:lineRule="auto"/>
        <w:jc w:val="both"/>
        <w:rPr>
          <w:rFonts w:hint="default" w:ascii="Times New Roman Regular" w:hAnsi="Times New Roman Regular" w:cs="Times New Roman Regular" w:eastAsiaTheme="minorEastAsia"/>
          <w:i w:val="0"/>
          <w:iCs/>
          <w:kern w:val="2"/>
          <w:sz w:val="24"/>
          <w:szCs w:val="24"/>
          <w:u w:val="none"/>
          <w:lang w:eastAsia="zh-CN" w:bidi="ar-SA"/>
        </w:rPr>
      </w:pPr>
      <w:r>
        <w:rPr>
          <w:rFonts w:hint="default" w:ascii="Times New Roman Regular" w:hAnsi="Times New Roman Regular" w:cs="Times New Roman Regular" w:eastAsiaTheme="minorEastAsia"/>
          <w:i w:val="0"/>
          <w:iCs/>
          <w:kern w:val="2"/>
          <w:sz w:val="24"/>
          <w:szCs w:val="24"/>
          <w:u w:val="none"/>
          <w:lang w:eastAsia="zh-CN" w:bidi="ar-SA"/>
        </w:rPr>
        <w:t>Figure 7.</w:t>
      </w:r>
    </w:p>
    <w:p>
      <w:pPr>
        <w:keepNext w:val="0"/>
        <w:keepLines w:val="0"/>
        <w:widowControl/>
        <w:suppressLineNumbers w:val="0"/>
        <w:spacing w:line="360" w:lineRule="auto"/>
        <w:jc w:val="both"/>
        <w:rPr>
          <w:rFonts w:hint="default" w:ascii="Times New Roman Regular" w:hAnsi="Times New Roman Regular" w:cs="Times New Roman Regular" w:eastAsiaTheme="minorEastAsia"/>
          <w:i w:val="0"/>
          <w:kern w:val="2"/>
          <w:sz w:val="24"/>
          <w:szCs w:val="24"/>
          <w:lang w:eastAsia="zh-CN" w:bidi="ar-SA"/>
        </w:rPr>
      </w:pPr>
      <w:r>
        <w:rPr>
          <w:rFonts w:hint="default" w:ascii="Times New Roman Regular" w:hAnsi="Times New Roman Regular" w:cs="Times New Roman Regular"/>
          <w:i w:val="0"/>
          <w:sz w:val="24"/>
          <w:szCs w:val="24"/>
        </w:rPr>
        <w:drawing>
          <wp:inline distT="0" distB="0" distL="114300" distR="114300">
            <wp:extent cx="5267325" cy="709295"/>
            <wp:effectExtent l="0" t="0" r="1587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267325" cy="709295"/>
                    </a:xfrm>
                    <a:prstGeom prst="rect">
                      <a:avLst/>
                    </a:prstGeom>
                    <a:noFill/>
                    <a:ln>
                      <a:noFill/>
                    </a:ln>
                  </pic:spPr>
                </pic:pic>
              </a:graphicData>
            </a:graphic>
          </wp:inline>
        </w:drawing>
      </w:r>
    </w:p>
    <w:p>
      <w:pPr>
        <w:keepNext w:val="0"/>
        <w:keepLines w:val="0"/>
        <w:widowControl/>
        <w:suppressLineNumbers w:val="0"/>
        <w:spacing w:line="360" w:lineRule="auto"/>
        <w:jc w:val="both"/>
        <w:rPr>
          <w:rFonts w:hint="default" w:ascii="Times New Roman Regular" w:hAnsi="Times New Roman Regular" w:cs="Times New Roman Regular" w:eastAsiaTheme="minorEastAsia"/>
          <w:i w:val="0"/>
          <w:kern w:val="2"/>
          <w:sz w:val="24"/>
          <w:szCs w:val="24"/>
          <w:lang w:eastAsia="zh-CN" w:bidi="ar-SA"/>
        </w:rPr>
      </w:pPr>
    </w:p>
    <w:p>
      <w:pPr>
        <w:keepNext w:val="0"/>
        <w:keepLines w:val="0"/>
        <w:widowControl/>
        <w:suppressLineNumbers w:val="0"/>
        <w:spacing w:line="360" w:lineRule="auto"/>
        <w:jc w:val="both"/>
        <w:rPr>
          <w:rFonts w:hint="default" w:ascii="Times New Roman Bold" w:hAnsi="Times New Roman Bold" w:cs="Times New Roman Bold" w:eastAsiaTheme="minorEastAsia"/>
          <w:b/>
          <w:bCs/>
          <w:i w:val="0"/>
          <w:kern w:val="2"/>
          <w:sz w:val="24"/>
          <w:szCs w:val="24"/>
          <w:lang w:eastAsia="zh-CN" w:bidi="ar-SA"/>
        </w:rPr>
      </w:pPr>
      <w:r>
        <w:rPr>
          <w:rFonts w:hint="default" w:ascii="Times New Roman Bold" w:hAnsi="Times New Roman Bold" w:cs="Times New Roman Bold" w:eastAsiaTheme="minorEastAsia"/>
          <w:b/>
          <w:bCs/>
          <w:i w:val="0"/>
          <w:kern w:val="2"/>
          <w:sz w:val="24"/>
          <w:szCs w:val="24"/>
          <w:lang w:eastAsia="zh-CN" w:bidi="ar-SA"/>
        </w:rPr>
        <w:t>Two Conclusions:</w:t>
      </w:r>
    </w:p>
    <w:p>
      <w:pPr>
        <w:keepNext w:val="0"/>
        <w:keepLines w:val="0"/>
        <w:widowControl/>
        <w:suppressLineNumbers w:val="0"/>
        <w:spacing w:line="360" w:lineRule="auto"/>
        <w:jc w:val="both"/>
        <w:rPr>
          <w:rFonts w:hint="default" w:ascii="Times New Roman Regular" w:hAnsi="Times New Roman Regular" w:cs="Times New Roman Regular" w:eastAsiaTheme="minorEastAsia"/>
          <w:i w:val="0"/>
          <w:kern w:val="2"/>
          <w:sz w:val="24"/>
          <w:szCs w:val="24"/>
          <w:lang w:eastAsia="zh-CN" w:bidi="ar-SA"/>
        </w:rPr>
      </w:pPr>
      <w:r>
        <w:rPr>
          <w:rFonts w:hint="default" w:ascii="Times New Roman Regular" w:hAnsi="Times New Roman Regular" w:cs="Times New Roman Regular" w:eastAsiaTheme="minorEastAsia"/>
          <w:i w:val="0"/>
          <w:kern w:val="2"/>
          <w:sz w:val="24"/>
          <w:szCs w:val="24"/>
          <w:lang w:eastAsia="zh-CN" w:bidi="ar-SA"/>
        </w:rPr>
        <w:t>1. Charter schools have significantly higher average math and reading scores, as well as higher passing rates, compared to district schools.</w:t>
      </w:r>
    </w:p>
    <w:p>
      <w:pPr>
        <w:keepNext w:val="0"/>
        <w:keepLines w:val="0"/>
        <w:widowControl/>
        <w:suppressLineNumbers w:val="0"/>
        <w:spacing w:line="360" w:lineRule="auto"/>
        <w:jc w:val="both"/>
        <w:rPr>
          <w:rFonts w:hint="default" w:ascii="Times New Roman Regular" w:hAnsi="Times New Roman Regular" w:cs="Times New Roman Regular" w:eastAsiaTheme="minorEastAsia"/>
          <w:i w:val="0"/>
          <w:kern w:val="2"/>
          <w:sz w:val="24"/>
          <w:szCs w:val="24"/>
          <w:lang w:eastAsia="zh-CN" w:bidi="ar-SA"/>
        </w:rPr>
      </w:pPr>
      <w:r>
        <w:rPr>
          <w:rFonts w:hint="default" w:ascii="Times New Roman Regular" w:hAnsi="Times New Roman Regular" w:cs="Times New Roman Regular" w:eastAsiaTheme="minorEastAsia"/>
          <w:i w:val="0"/>
          <w:kern w:val="2"/>
          <w:sz w:val="24"/>
          <w:szCs w:val="24"/>
          <w:lang w:eastAsia="zh-CN" w:bidi="ar-SA"/>
        </w:rPr>
        <w:t>2. As the school size and budget increase, the average math and reading scores, as well as the passing rates, decrease.</w:t>
      </w:r>
    </w:p>
    <w:bookmarkEnd w:id="0"/>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汉仪中黑KW"/>
    <w:panose1 w:val="02010600030101010101"/>
    <w:charset w:val="00"/>
    <w:family w:val="auto"/>
    <w:pitch w:val="default"/>
    <w:sig w:usb0="00000001" w:usb1="080E0000" w:usb2="00000010" w:usb3="00000000" w:csb0="00040000" w:csb1="00000000"/>
  </w:font>
  <w:font w:name="汉仪中黑KW">
    <w:panose1 w:val="00020600040101010101"/>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Times New Roman Bold">
    <w:panose1 w:val="02020603050405020304"/>
    <w:charset w:val="00"/>
    <w:family w:val="auto"/>
    <w:pitch w:val="default"/>
    <w:sig w:usb0="00000000" w:usb1="00000000" w:usb2="00000000" w:usb3="00000000" w:csb0="00000000" w:csb1="00000000"/>
  </w:font>
  <w:font w:name="Times New Roman Regular">
    <w:panose1 w:val="02020603050405020304"/>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3"/>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B9FBF58"/>
    <w:rsid w:val="3B9FBF58"/>
    <w:rsid w:val="7B9FAAC7"/>
    <w:rsid w:val="A7FEBE4C"/>
    <w:rsid w:val="EFFFA2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Office_5.1.1.7662_F1E327BC-269C-435d-A152-05C5408002CA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2023-07-26T23:09:00Z</dcterms:created>
  <dc:creator>WPS_1645560634</dc:creator>
  <cp:lastModifiedBy>WPS_1645560634</cp:lastModifiedBy>
  <dcterms:modified xsi:type="dcterms:W3CDTF">2023-07-27T20:22:21Z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1033-5.1.1.7662</vt:lpwstr>
  </property>
  <property fmtid="{D5CDD505-2E9C-101B-9397-08002B2CF9AE}" pid="3" name="ICV">
    <vt:lpwstr>C29D2315025AB2395026C264B551DD3F</vt:lpwstr>
  </property>
</Properties>
</file>