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T-pool</w:t>
      </w:r>
    </w:p>
    <w:p>
      <w:pPr>
        <w:spacing w:after="300"/>
      </w:pPr>
      <w:r>
        <w:rPr>
          <w:i/>
          <w:iCs/>
        </w:rPr>
        <w:t xml:space="preserve">Process log for WD NL-IT — questions, decisions, open items, future options. Paolo (Claude) and Michel (M) in dialogue. Confirmed and polished items leave this pool for integration into T-dox. Refuted items are deleted from here.</w:t>
      </w:r>
    </w:p>
    <w:p>
      <w:pPr>
        <w:pStyle w:val="Heading1"/>
      </w:pPr>
      <w:r>
        <w:t xml:space="preserve">2026-09-16 — Opening batch</w:t>
      </w:r>
    </w:p>
    <w:p>
      <w:pPr>
        <w:pStyle w:val="Heading2"/>
      </w:pPr>
      <w:r>
        <w:t xml:space="preserve">POOL status handling</w:t>
      </w:r>
    </w:p>
    <w:p>
      <w:pPr>
        <w:spacing w:after="160"/>
      </w:pPr>
      <w:r>
        <w:rPr>
          <w:b/>
          <w:bCs/>
        </w:rPr>
        <w:t xml:space="preserve">Question — </w:t>
      </w:r>
      <w:r>
        <w:t xml:space="preserve">Once a pooled word is solved, does it get a status flag or just move?</w:t>
      </w:r>
    </w:p>
    <w:p>
      <w:pPr>
        <w:spacing w:after="160"/>
      </w:pPr>
      <w:r>
        <w:rPr>
          <w:b/>
          <w:bCs/>
          <w:color w:val="1F7A3D"/>
        </w:rPr>
        <w:t xml:space="preserve">Decided — </w:t>
      </w:r>
      <w:r>
        <w:t xml:space="preserve">POOL is a plain dump, not a tracked queue — no status flags. A solved word moves to sheet "1" with a fresh ID and is deleted from POOL.</w:t>
      </w:r>
    </w:p>
    <w:p>
      <w:pPr>
        <w:pStyle w:val="Heading2"/>
      </w:pPr>
      <w:r>
        <w:t xml:space="preserve">A1 ordering principle</w:t>
      </w:r>
    </w:p>
    <w:p>
      <w:pPr>
        <w:spacing w:after="160"/>
      </w:pPr>
      <w:r>
        <w:rPr>
          <w:b/>
          <w:bCs/>
        </w:rPr>
        <w:t xml:space="preserve">Question — </w:t>
      </w:r>
      <w:r>
        <w:t xml:space="preserve">Is demoting pure frequency in favor of concreteness / pronounceability / usability a conscious rule?</w:t>
      </w:r>
    </w:p>
    <w:p>
      <w:pPr>
        <w:spacing w:after="160"/>
      </w:pPr>
      <w:r>
        <w:rPr>
          <w:b/>
          <w:bCs/>
          <w:color w:val="B36B00"/>
        </w:rPr>
        <w:t xml:space="preserve">Open — </w:t>
      </w:r>
      <w:r>
        <w:t xml:space="preserve">M is working word by word, intuitively — not yet a fixed rule. Revisit once the pattern shows up consistently across more entries.</w:t>
      </w:r>
    </w:p>
    <w:p>
      <w:pPr>
        <w:pStyle w:val="Heading2"/>
      </w:pPr>
      <w:r>
        <w:t xml:space="preserve">Level granularity vs. app filtering</w:t>
      </w:r>
    </w:p>
    <w:p>
      <w:pPr>
        <w:spacing w:after="160"/>
      </w:pPr>
      <w:r>
        <w:rPr>
          <w:b/>
          <w:bCs/>
        </w:rPr>
        <w:t xml:space="preserve">Tension — </w:t>
      </w:r>
      <w:r>
        <w:t xml:space="preserve">Fine-grained L values (A1…Z9) vs. keeping the level list viewable/filterable in the app UI.</w:t>
      </w:r>
    </w:p>
    <w:p>
      <w:pPr>
        <w:spacing w:after="160"/>
      </w:pPr>
      <w:r>
        <w:rPr>
          <w:b/>
          <w:bCs/>
          <w:color w:val="B36B00"/>
        </w:rPr>
        <w:t xml:space="preserve">Open — </w:t>
      </w:r>
      <w:r>
        <w:t xml:space="preserve">Flagged in T-dox app-functional section, not yet resolved.</w:t>
      </w:r>
    </w:p>
    <w:p>
      <w:pPr>
        <w:pStyle w:val="Heading2"/>
      </w:pPr>
      <w:r>
        <w:t xml:space="preserve">Meta-documentation method</w:t>
      </w:r>
    </w:p>
    <w:p>
      <w:pPr>
        <w:spacing w:after="160"/>
      </w:pPr>
      <w:r>
        <w:rPr>
          <w:b/>
          <w:bCs/>
        </w:rPr>
        <w:t xml:space="preserve">Observation — </w:t>
      </w:r>
      <w:r>
        <w:t xml:space="preserve">This Paolo/Michel dialogue is itself the source material for T-dox section V.</w:t>
      </w:r>
    </w:p>
    <w:p>
      <w:pPr>
        <w:spacing w:after="160"/>
      </w:pPr>
      <w:r>
        <w:rPr>
          <w:b/>
          <w:bCs/>
          <w:color w:val="1F7A3D"/>
        </w:rPr>
        <w:t xml:space="preserve">Decided — </w:t>
      </w:r>
      <w:r>
        <w:t xml:space="preserve">Two-tier model: T-pool = running process log (this document); T-dox = distilled, settled prose per pillar, summarizing groups of pool entries rather than repeating them.</w:t>
      </w:r>
    </w:p>
    <w:p>
      <w:pPr>
        <w:pBdr>
          <w:bottom w:val="single" w:color="CCCCCC" w:sz="4"/>
        </w:pBdr>
        <w:spacing w:after="200"/>
      </w:pPr>
      <w:r>
        <w:t xml:space="preserve"/>
      </w:r>
    </w:p>
    <w:p>
      <w:pPr>
        <w:pStyle w:val="Heading1"/>
      </w:pPr>
      <w:r>
        <w:t xml:space="preserve">2026-09-16 — Parameters, goals, pace</w:t>
      </w:r>
    </w:p>
    <w:p>
      <w:pPr>
        <w:pStyle w:val="Heading2"/>
      </w:pPr>
      <w:r>
        <w:t xml:space="preserve">Future: lesson-page / on-hover grammar page</w:t>
      </w:r>
    </w:p>
    <w:p>
      <w:pPr>
        <w:spacing w:after="160"/>
      </w:pPr>
      <w:r>
        <w:rPr>
          <w:b/>
          <w:bCs/>
        </w:rPr>
        <w:t xml:space="preserve">Idea — </w:t>
      </w:r>
      <w:r>
        <w:t xml:space="preserve">worddock.app could eventually show a short lesson-page or on-hover panel per row/ID: a few sentences of context plus a short grammar (forms/syntax) page.</w:t>
      </w:r>
    </w:p>
    <w:p>
      <w:pPr>
        <w:spacing w:after="160"/>
      </w:pPr>
      <w:r>
        <w:rPr>
          <w:b/>
          <w:bCs/>
          <w:color w:val="B36B00"/>
        </w:rPr>
        <w:t xml:space="preserve">Status — </w:t>
      </w:r>
      <w:r>
        <w:t xml:space="preserve">Not built now. Grammar and narrative content are curator content (never NOTE-column material) even before the page exists — the page is a future UI surface for content that starts life as curator notes today. Worth a placeholder thought per ID as the list grows, not urgent.</w:t>
      </w:r>
    </w:p>
    <w:p>
      <w:pPr>
        <w:pStyle w:val="Heading2"/>
      </w:pPr>
      <w:r>
        <w:t xml:space="preserve">The two extremes — mission framing</w:t>
      </w:r>
    </w:p>
    <w:p>
      <w:pPr>
        <w:spacing w:after="160"/>
      </w:pPr>
      <w:r>
        <w:rPr>
          <w:b/>
          <w:bCs/>
        </w:rPr>
        <w:t xml:space="preserve">Framing — </w:t>
      </w:r>
      <w:r>
        <w:t xml:space="preserve">One extreme: "what words exist in Italian" — an unordered list of thousands. Other extreme: a list built on ~29 parameters — too complex to ever finish. A WD-list has to navigate between the two, with didactic clarity as the primary gateway into sequencing, on both the vertical and the horizontal axis.</w:t>
      </w:r>
    </w:p>
    <w:p>
      <w:pPr>
        <w:spacing w:after="160"/>
      </w:pPr>
      <w:r>
        <w:rPr>
          <w:b/>
          <w:bCs/>
          <w:color w:val="B36B00"/>
        </w:rPr>
        <w:t xml:space="preserve">Status — </w:t>
      </w:r>
      <w:r>
        <w:t xml:space="preserve">Candidate for T-dox section V as the mission statement for structural criteria, once settled.</w:t>
      </w:r>
    </w:p>
    <w:p>
      <w:pPr>
        <w:pStyle w:val="Heading2"/>
      </w:pPr>
      <w:r>
        <w:t xml:space="preserve">Didactic goals list (curator-set, gates sequencing)</w:t>
      </w:r>
    </w:p>
    <w:p>
      <w:pPr>
        <w:spacing w:after="160"/>
      </w:pPr>
      <w:r>
        <w:rPr>
          <w:b/>
          <w:bCs/>
        </w:rPr>
        <w:t xml:space="preserve">List — </w:t>
      </w:r>
      <w:r>
        <w:t xml:space="preserve">1. pronunciation rules  2. noun vs. verb  3. gender  4. gender forms  5. verb tense (present/future/past)  6. plural  7. persons  8. verb aspect.</w:t>
      </w:r>
    </w:p>
    <w:p>
      <w:pPr>
        <w:spacing w:after="160"/>
      </w:pPr>
      <w:r>
        <w:rPr>
          <w:b/>
          <w:bCs/>
          <w:color w:val="1F7A3D"/>
        </w:rPr>
        <w:t xml:space="preserve">Clarification — </w:t>
      </w:r>
      <w:r>
        <w:t xml:space="preserve">These goals run parallel to the L/ID (bed/rail) structure — they are the gate-openers, both vertically (which lemma may enter) and horizontally (which Q/A elaboration may appear) at a given point in the sequence.</w:t>
      </w:r>
    </w:p>
    <w:p>
      <w:pPr>
        <w:spacing w:after="160"/>
      </w:pPr>
      <w:r>
        <w:rPr>
          <w:b/>
          <w:bCs/>
          <w:color w:val="1F7A3D"/>
        </w:rPr>
        <w:t xml:space="preserve">Relation to Goals tab — </w:t>
      </w:r>
      <w:r>
        <w:t xml:space="preserve">TTTT's existing "Goals" tab (er zijn taalelementen / vaste / veranderlijke) is not a competing framework — "vaste" (invariable) before "veranderlijke" (variable) is one instance of this goals list in action: invariable speech parts (sì, no) before variable ones (io/tu/lui/lei, amico/amica/amici, vedo/vedi/vede/vediamo/vedete/vedono). The three-row sketch gets absorbed into the fuller eight-item list rather than replaced by it.</w:t>
      </w:r>
    </w:p>
    <w:p>
      <w:pPr>
        <w:pStyle w:val="Heading2"/>
      </w:pPr>
      <w:r>
        <w:t xml:space="preserve">Pace — a throttle, not a fourth vertical parameter</w:t>
      </w:r>
    </w:p>
    <w:p>
      <w:pPr>
        <w:spacing w:after="160"/>
      </w:pPr>
      <w:r>
        <w:rPr>
          <w:b/>
          <w:bCs/>
        </w:rPr>
        <w:t xml:space="preserve">Clarification — </w:t>
      </w:r>
      <w:r>
        <w:t xml:space="preserve">Pace is not a selection criterion alongside frequency / exemplarity / narrative. It's a throttle that governs all three axes (lexical, goal/grammar, narrative) at once — it caps how much new material of any kind pours into the ID-rail per stretch of IDs, so a 10-row block doesn't front-load, say, all six verb persons at once. Gradual build-up; full elaboration of a form may only complete much later (e.g. around L=G9).</w:t>
      </w:r>
    </w:p>
    <w:p>
      <w:pPr>
        <w:spacing w:after="160"/>
      </w:pPr>
      <w:r>
        <w:rPr>
          <w:b/>
          <w:bCs/>
          <w:color w:val="1F7A3D"/>
        </w:rPr>
        <w:t xml:space="preserve">Status — </w:t>
      </w:r>
      <w:r>
        <w:t xml:space="preserve">Kept distinct from frequency/exemplarity/narrative precisely because it governs density of introduction, not which item gets in.</w:t>
      </w:r>
    </w:p>
    <w:p>
      <w:pPr>
        <w:pBdr>
          <w:bottom w:val="single" w:color="CCCCCC" w:sz="4"/>
        </w:pBdr>
        <w:spacing w:after="200"/>
      </w:pPr>
      <w:r>
        <w:t xml:space="preserve"/>
      </w:r>
    </w:p>
    <w:p>
      <w:pPr>
        <w:pStyle w:val="Heading1"/>
      </w:pPr>
      <w:r>
        <w:t xml:space="preserve">2026-09-16 — Lesson-page architecture &amp; filter design</w:t>
      </w:r>
    </w:p>
    <w:p>
      <w:pPr>
        <w:pStyle w:val="Heading2"/>
      </w:pPr>
      <w:r>
        <w:t xml:space="preserve">Trigger: live filter UI screenshot</w:t>
      </w:r>
    </w:p>
    <w:p>
      <w:pPr>
        <w:spacing w:after="160"/>
      </w:pPr>
      <w:r>
        <w:rPr>
          <w:b/>
          <w:bCs/>
        </w:rPr>
        <w:t xml:space="preserve">Observation — </w:t>
      </w:r>
      <w:r>
        <w:t xml:space="preserve">"Lists in NL-ITT" level filter shows flat A1/A2 chips — first live instance of the AZ9-granularity-vs-viewability tension, previously only theoretical.</w:t>
      </w:r>
    </w:p>
    <w:p>
      <w:pPr>
        <w:pStyle w:val="Heading2"/>
      </w:pPr>
      <w:r>
        <w:t xml:space="preserve">Narrative block = narrative cluster = one L-tier</w:t>
      </w:r>
    </w:p>
    <w:p>
      <w:pPr>
        <w:spacing w:after="160"/>
      </w:pPr>
      <w:r>
        <w:rPr>
          <w:b/>
          <w:bCs/>
          <w:color w:val="1F7A3D"/>
        </w:rPr>
        <w:t xml:space="preserve">Resolved — </w:t>
      </w:r>
      <w:r>
        <w:t xml:space="preserve">"Narrative block" and "narrative cluster" are two names for the same unit: the set of rows sharing one L value (e.g. all of A1). Earlier open question ("one idea or two?") closed.</w:t>
      </w:r>
    </w:p>
    <w:p>
      <w:pPr>
        <w:spacing w:after="160"/>
      </w:pPr>
      <w:r>
        <w:rPr>
          <w:b/>
          <w:bCs/>
        </w:rPr>
        <w:t xml:space="preserve">Illustration — </w:t>
      </w:r>
      <w:r>
        <w:t xml:space="preserve">Mister X excerpt (кто это? / он агент, не шпион / он мистер Икс? Да... — агент, шпион, чай, кофе, секрет + negation + Q&amp;A pattern) shows a tier's narrative weaving several lemmas together, not one word's context — confirms the anchor is the tier, not the individual ID.</w:t>
      </w:r>
    </w:p>
    <w:p>
      <w:pPr>
        <w:pStyle w:val="Heading2"/>
      </w:pPr>
      <w:r>
        <w:t xml:space="preserve">Lesson-page storage: several proposals tested and rejected in sequence</w:t>
      </w:r>
    </w:p>
    <w:p>
      <w:pPr>
        <w:spacing w:after="160"/>
      </w:pPr>
      <w:r>
        <w:rPr>
          <w:b/>
          <w:bCs/>
        </w:rPr>
        <w:t xml:space="preserve">1. RS-analogy (rejected) — </w:t>
      </w:r>
      <w:r>
        <w:t xml:space="preserve">First framed as "same pattern as RS, joined by L instead of ID." Wrong: RS is ephemeral, user-specific, client-side state; a lesson page is authored, curator-owned, shared content — closer kin to the word list than to RS.</w:t>
      </w:r>
    </w:p>
    <w:p>
      <w:pPr>
        <w:spacing w:after="160"/>
      </w:pPr>
      <w:r>
        <w:rPr>
          <w:b/>
          <w:bCs/>
        </w:rPr>
        <w:t xml:space="preserve">2. Cell in NL-IT (rejected) — </w:t>
      </w:r>
      <w:r>
        <w:t xml:space="preserve">A cell can hold a few sentences (~32k char limit), but sheet "1" duplicates the same text across every ID sharing an L — violates the one-writer/no-duplication discipline that NOTE and CAT already depend on.</w:t>
      </w:r>
    </w:p>
    <w:p>
      <w:pPr>
        <w:spacing w:after="160"/>
      </w:pPr>
      <w:r>
        <w:rPr>
          <w:b/>
          <w:bCs/>
        </w:rPr>
        <w:t xml:space="preserve">3. Side-table beside sheet "1", columns past Z (rejected) — </w:t>
      </w:r>
      <w:r>
        <w:t xml:space="preserve">Considered exploiting unparsed column range so the importer ignores it. Abandoned once confirmed the app only ever reads sheet "1" — a second table would be inert, and stacking data below the main list risks being misread as bogus ID rows.</w:t>
      </w:r>
    </w:p>
    <w:p>
      <w:pPr>
        <w:spacing w:after="160"/>
      </w:pPr>
      <w:r>
        <w:rPr>
          <w:b/>
          <w:bCs/>
        </w:rPr>
        <w:t xml:space="preserve">4. New WD26 column reserved for lesson text (rejected as ideal-future) — </w:t>
      </w:r>
      <w:r>
        <w:t xml:space="preserve">A dedicated LESSON column, filled once per tier. Rejected in favor of generation-from-rows, then that too was rejected.</w:t>
      </w:r>
    </w:p>
    <w:p>
      <w:pPr>
        <w:spacing w:after="160"/>
      </w:pPr>
      <w:r>
        <w:rPr>
          <w:b/>
          <w:bCs/>
        </w:rPr>
        <w:t xml:space="preserve">5. Generated from the tier's own Q/A rows (rejected) — </w:t>
      </w:r>
      <w:r>
        <w:t xml:space="preserve">Idea: stitch io/tu/lui-lei, amico/amica, vedo/vedi/vede... into prose automatically, no separate authoring. M: no — lesson content is curator-authored, not derivable from row data.</w:t>
      </w:r>
    </w:p>
    <w:p>
      <w:pPr>
        <w:spacing w:after="160"/>
      </w:pPr>
      <w:r>
        <w:rPr>
          <w:b/>
          <w:bCs/>
          <w:color w:val="1F7A3D"/>
        </w:rPr>
        <w:t xml:space="preserve">Decided — </w:t>
      </w:r>
      <w:r>
        <w:t xml:space="preserve">Lesson pages are a separate authored content stream: one JSON per cluster/L-tier, fetched by the app at runtime — not stored in NL-IT, not derived from its rows. Curator content, own format, own file(s), parallel to the word-list JSONs the app already derives from Excel.</w:t>
      </w:r>
    </w:p>
    <w:p>
      <w:pPr>
        <w:spacing w:after="160"/>
      </w:pPr>
      <w:r>
        <w:rPr>
          <w:b/>
          <w:bCs/>
        </w:rPr>
        <w:t xml:space="preserve">Linking mechanism — </w:t>
      </w:r>
      <w:r>
        <w:t xml:space="preserve">No new link column needed: name the JSON files to match L (A1.json, A2.json...) and the app fetches "L + .json" — implicit, free. Caveat: this makes an L rename more delicate than it currently is (T-dox describes L as changeable "without breaking anything"); a rename after pages exist would orphan a file. Open: accept that caveat, or add an explicit link column as a safety net.</w:t>
      </w:r>
    </w:p>
    <w:p>
      <w:pPr>
        <w:pStyle w:val="Heading2"/>
      </w:pPr>
      <w:r>
        <w:t xml:space="preserve">Tier size: loose 10 → 30, echoes the daily pace</w:t>
      </w:r>
    </w:p>
    <w:p>
      <w:pPr>
        <w:spacing w:after="160"/>
      </w:pPr>
      <w:r>
        <w:rPr>
          <w:b/>
          <w:bCs/>
          <w:color w:val="1F7A3D"/>
        </w:rPr>
        <w:t xml:space="preserve">Decided (loose) — </w:t>
      </w:r>
      <w:r>
        <w:t xml:space="preserve">Cluster/tier size not fixed at 10. Working default: first tiers ~10 rows, later tiers up to ~30 once scaffolding is trusted — mirrors the original 10–30 rows/day output pace, same principle applied to tier size instead of work rate.</w:t>
      </w:r>
    </w:p>
    <w:p>
      <w:pPr>
        <w:pStyle w:val="Heading2"/>
      </w:pPr>
      <w:r>
        <w:t xml:space="preserve">L format: expand to two digits, or reuse NOTE, or just parse the display?</w:t>
      </w:r>
    </w:p>
    <w:p>
      <w:pPr>
        <w:spacing w:after="160"/>
      </w:pPr>
      <w:r>
        <w:rPr>
          <w:b/>
          <w:bCs/>
        </w:rPr>
        <w:t xml:space="preserve">Considered — widen L (A1→A99) — </w:t>
      </w:r>
      <w:r>
        <w:t xml:space="preserve">260 clusters (A0-Z9) vs. 2,600 (A00-Z99). Rejected as premature: the 2,600 figure only makes sense if pace/cluster-size stays small forever; if a mature A-tier settles at 100-200 rows, single extra digit (A0-A9) is already more than enough — chasing granularity now solves the wrong layer.</w:t>
      </w:r>
    </w:p>
    <w:p>
      <w:pPr>
        <w:spacing w:after="160"/>
      </w:pPr>
      <w:r>
        <w:rPr>
          <w:b/>
          <w:bCs/>
        </w:rPr>
        <w:t xml:space="preserve">Considered — repurpose NOTE for a curator digit — </w:t>
      </w:r>
      <w:r>
        <w:t xml:space="preserve">Would add granularity without touching L, but breaks NOTE's core rule (single-writer, teacher/student only, "never curator content") — a NOTE filter could no longer distinguish curator sub-tier from teacher/student markers. Rejected: bigger structural cost than the gain justifies.</w:t>
      </w:r>
    </w:p>
    <w:p>
      <w:pPr>
        <w:spacing w:after="160"/>
      </w:pPr>
      <w:r>
        <w:rPr>
          <w:b/>
          <w:bCs/>
          <w:color w:val="1F7A3D"/>
        </w:rPr>
        <w:t xml:space="preserve">Decided — </w:t>
      </w:r>
      <w:r>
        <w:t xml:space="preserve">Neither — L stays exactly as specified (single letter + single digit, 260 clusters). The actual problem was never L's range, it was the filter UI showing all values flat. Fix: parse L client-side into letter-toggle + number-toggle for nested/horizontal display. No data-model change, no new column, purely a UI-layer read of existing data.</w:t>
      </w:r>
    </w:p>
    <w:p>
      <w:pPr>
        <w:pBdr>
          <w:bottom w:val="single" w:color="CCCCCC" w:sz="4"/>
        </w:pBdr>
        <w:spacing w:after="200"/>
      </w:pPr>
      <w:r>
        <w:t xml:space="preserve"/>
      </w:r>
    </w:p>
    <w:p>
      <w:pPr>
        <w:pStyle w:val="Heading1"/>
      </w:pPr>
      <w:r>
        <w:t xml:space="preserve">2026-09-16 — Lesson-page delivery: format, fetch strategy, UI mechanism</w:t>
      </w:r>
    </w:p>
    <w:p>
      <w:pPr>
        <w:pStyle w:val="Heading2"/>
      </w:pPr>
      <w:r>
        <w:t xml:space="preserve">L's role, named precisely</w:t>
      </w:r>
    </w:p>
    <w:p>
      <w:pPr>
        <w:spacing w:after="160"/>
      </w:pPr>
      <w:r>
        <w:rPr>
          <w:b/>
          <w:bCs/>
          <w:color w:val="1F7A3D"/>
        </w:rPr>
        <w:t xml:space="preserve">Clarification — </w:t>
      </w:r>
      <w:r>
        <w:t xml:space="preserve">L's purpose is to throttle progress into manageable blocks — the traditional textbook "lesson text" role. WordDock repurposes it as pacer (less content early, richer text later) and context-giver for the rows under it. Worth carrying this exact phrasing into T-dox.</w:t>
      </w:r>
    </w:p>
    <w:p>
      <w:pPr>
        <w:spacing w:after="160"/>
      </w:pPr>
      <w:r>
        <w:rPr>
          <w:b/>
          <w:bCs/>
          <w:color w:val="1F7A3D"/>
        </w:rPr>
        <w:t xml:space="preserve">Consequence — no link column — </w:t>
      </w:r>
      <w:r>
        <w:t xml:space="preserve">Since L's own stability is already load-bearing for the app (RS, ordering), an implicit filename link (L.json) adds no new risk — it's the same trust already extended to L, just reused. No safety-net link column needed.</w:t>
      </w:r>
    </w:p>
    <w:p>
      <w:pPr>
        <w:pStyle w:val="Heading2"/>
      </w:pPr>
      <w:r>
        <w:t xml:space="preserve">One JSON for the whole list, or one per L-tier?</w:t>
      </w:r>
    </w:p>
    <w:p>
      <w:pPr>
        <w:spacing w:after="160"/>
      </w:pPr>
      <w:r>
        <w:rPr>
          <w:b/>
          <w:bCs/>
          <w:color w:val="1F7A3D"/>
        </w:rPr>
        <w:t xml:space="preserve">Decided — per-tier JSON — </w:t>
      </w:r>
      <w:r>
        <w:t xml:space="preserve">Per-tier wins clearly: a single combined file forces every learner's browser to download the entire deck's lesson text just to study one tier — and gets worse precisely as later, richer tiers fill in (matches the pace principle: early tiers light, later tiers rich). Editing one tier only touches one small file. Matches an existing WordDock pattern: domains already live as separate per-domain JSONs rather than one giant file — this is the same idea one level down.</w:t>
      </w:r>
    </w:p>
    <w:p>
      <w:pPr>
        <w:pStyle w:val="Heading2"/>
      </w:pPr>
      <w:r>
        <w:t xml:space="preserve">Text vs. image for lesson content</w:t>
      </w:r>
    </w:p>
    <w:p>
      <w:pPr>
        <w:spacing w:after="160"/>
      </w:pPr>
      <w:r>
        <w:rPr>
          <w:b/>
          <w:bCs/>
          <w:color w:val="1F7A3D"/>
        </w:rPr>
        <w:t xml:space="preserve">Decided — text/JSON, locked — </w:t>
      </w:r>
      <w:r>
        <w:t xml:space="preserve">Text wins on size (KB vs. tens/hundreds of KB per tier), editability (open, fix, diff in git — same discipline as the rest of the project), accessibility (resizable, theme-aware), and utility (learner can select/copy a word to look up). An image would break the "everything is data, not a picture of data" principle the whole WD26 format rests on.</w:t>
      </w:r>
    </w:p>
    <w:p>
      <w:pPr>
        <w:pStyle w:val="Heading2"/>
      </w:pPr>
      <w:r>
        <w:t xml:space="preserve">Anchor point: per-card, not per-deck (RS correction)</w:t>
      </w:r>
    </w:p>
    <w:p>
      <w:pPr>
        <w:spacing w:after="160"/>
      </w:pPr>
      <w:r>
        <w:rPr>
          <w:b/>
          <w:bCs/>
        </w:rPr>
        <w:t xml:space="preserve">Correction — </w:t>
      </w:r>
      <w:r>
        <w:t xml:space="preserve">Initial idea (interstitial shown once before a tier's cards) assumed tiers stay grouped in the study flow. Wrong: RS reshuffles at row level, so a study session can mix cards from several L-tiers — there is no stable "entering tier X" moment to hook an interstitial to.</w:t>
      </w:r>
    </w:p>
    <w:p>
      <w:pPr>
        <w:spacing w:after="160"/>
      </w:pPr>
      <w:r>
        <w:rPr>
          <w:b/>
          <w:bCs/>
          <w:color w:val="1F7A3D"/>
        </w:rPr>
        <w:t xml:space="preserve">Decided — </w:t>
      </w:r>
      <w:r>
        <w:t xml:space="preserve">Lesson-text access is resolved per-card: each card already carries its own row's L (required for RS/ID lookups anyway), so a tap just fetches that card's L.json at render time. No session-state tracking needed — simpler than the interstitial version, not more complex.</w:t>
      </w:r>
    </w:p>
    <w:p>
      <w:pPr>
        <w:pStyle w:val="Heading2"/>
      </w:pPr>
      <w:r>
        <w:t xml:space="preserve">UI mechanism: persistent icon, three-state card, reused tap logic</w:t>
      </w:r>
    </w:p>
    <w:p>
      <w:pPr>
        <w:spacing w:after="160"/>
      </w:pPr>
      <w:r>
        <w:rPr>
          <w:b/>
          <w:bCs/>
          <w:color w:val="1F7A3D"/>
        </w:rPr>
        <w:t xml:space="preserve">Decided — locked — </w:t>
      </w:r>
      <w:r>
        <w:t xml:space="preserve">A persistent small icon on the card (not hover-only — hover doesn't exist on touch devices) toggles lesson-text mode at any time during study, without leaving the study flow. Three states: (1) normal Q&amp;A — dark card, light text; (2) lesson-text mode — tapping the icon switches the card surface to white background/black text, showing the fetched L-tier text; (3) within lesson-text mode, tapping the card (same gesture logic as the Q→A flip) flips source language to translation. Tapping the icon again reverts to normal Q&amp;A. Single exit only (icon-tap) — deliberately not also exiting via outside-frame tap, since that gesture already has an existing function elsewhere in the app and should not be overloaded.</w:t>
      </w:r>
    </w:p>
    <w:p>
      <w:pPr>
        <w:spacing w:after="160"/>
      </w:pPr>
      <w:r>
        <w:rPr>
          <w:b/>
          <w:bCs/>
        </w:rPr>
        <w:t xml:space="preserve">Open — </w:t>
      </w:r>
      <w:r>
        <w:t xml:space="preserve">Mobile readability of a full lesson text (up to ~10 sentences) on a card surface was raised and set aside — audience is high-engagement users, comparable to reading articles on a phone; no blocking concern identified, not treated as settled UX-tested fact.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2026-09-16T13:26:42.852Z</dcterms:created>
  <dcterms:modified xsi:type="dcterms:W3CDTF">2026-09-16T13:26:42.863Z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