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秦皇岛市国有房地产开发有限公司</w:t>
      </w:r>
    </w:p>
    <w:p>
      <w:pPr>
        <w:jc w:val="center"/>
      </w:pPr>
      <w:r>
        <w:rPr>
          <w:b/>
          <w:i w:val="0"/>
          <w:sz w:val="36"/>
        </w:rPr>
        <w:t>2026年内控体系监督评价工作规划</w:t>
      </w:r>
    </w:p>
    <w:p>
      <w:pPr>
        <w:jc w:val="center"/>
      </w:pPr>
      <w:r>
        <w:rPr>
          <w:b w:val="0"/>
          <w:i w:val="0"/>
          <w:color w:val="606060"/>
          <w:sz w:val="28"/>
        </w:rPr>
        <w:t>（审核意见 + 修订版）</w:t>
      </w:r>
    </w:p>
    <w:p/>
    <w:p>
      <w:pPr>
        <w:jc w:val="center"/>
      </w:pPr>
      <w:r>
        <w:rPr>
          <w:b w:val="0"/>
          <w:i w:val="0"/>
          <w:color w:val="606060"/>
          <w:sz w:val="22"/>
        </w:rPr>
        <w:t>审核把关：具有30年党政机关、事业单位、国有企业办公室办文经验的老笔杆、老主任</w:t>
      </w:r>
    </w:p>
    <w:p>
      <w:pPr>
        <w:jc w:val="center"/>
      </w:pPr>
      <w:r>
        <w:rPr>
          <w:b w:val="0"/>
          <w:i w:val="0"/>
          <w:color w:val="606060"/>
          <w:sz w:val="22"/>
        </w:rPr>
        <w:t>依据：资深党政机关办文参谋 3.3 完善版（含国企专版·全维度词汇限制·口径矩阵·建设性写法增强版）</w:t>
      </w:r>
    </w:p>
    <w:p/>
    <w:p>
      <w:pPr>
        <w:pStyle w:val="Heading1"/>
      </w:pPr>
      <w:r>
        <w:t>第一部分  审核意见摘要</w:t>
      </w:r>
    </w:p>
    <w:p>
      <w:r>
        <w:rPr>
          <w:b w:val="0"/>
          <w:i w:val="0"/>
        </w:rPr>
        <w:t>总体评价：总体框架基本完整，工作目标、重点任务、进度安排、组织保障四要素齐全，符合国有企业内控监督评价工作规划的一般结构。以下以“稳妥、合规、可用、可落地、不背锅”为标准，提出审核意见。</w:t>
      </w:r>
    </w:p>
    <w:p>
      <w:pPr>
        <w:pStyle w:val="Heading2"/>
      </w:pPr>
      <w:r>
        <w:t>一、必须核实/相关口径建议（合规类）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425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建议处理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“干部任免奖惩”表述偏机关化；国企应突出管理人员管理权限与公司章程治理体系。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改为“管理人员任免与薪酬奖惩”，或表述为“干部（管理人员）任免奖惩”。已在修订稿中统一。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“重大违规问题提级查办”的“查办”偏纪检监察、公安办案用语，企业侧用词偏重。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改为“提级管理、重点督办”，保留“涉嫌违纪违法按程序移送纪检监察机关或司法机关”。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“100%全覆盖”“95%”等量化指标，目前为公司层面设定，未经董事会审议确认。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以“原则上、力争”限定，并标注【待补】，交由董事会、审计与风险控制委员会审定后执行。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“大额资金运作、重大投资决策、重大项目、高风险金融业务”等标准未量化。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建议在《内控评价实施方案》中明确金额起点、业务范围和分级标准；本规划保留概括性表述。【待补】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“涉嫌违纪违法”与“违规违纪”口径。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涉及对外报送时，以纪检监察、审计最终认定口径为准；未经认定不得自行升级表述。已在修订稿中注明。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进度安排“8月30日前”与“2026年度”的关系。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如规划于2026年8月印发，建议在正文或附件中说明“2026年8月前已发生的高风险业务纳入延伸追溯范围”；如计划周期跨年度，请确认目标年度。【待核】</w:t>
            </w:r>
          </w:p>
        </w:tc>
      </w:tr>
    </w:tbl>
    <w:p/>
    <w:p>
      <w:pPr>
        <w:pStyle w:val="Heading2"/>
      </w:pPr>
      <w:r>
        <w:t>二、重点修改点位（结构性/文字类）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原稿问题</w:t>
            </w:r>
          </w:p>
        </w:tc>
        <w:tc>
          <w:tcPr>
            <w:tcW w:type="dxa" w:w="425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修订处理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缺少“长期目标”，目标体系不够完整。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新增“二、长期目标”，形成“总目标—阶段性目标—主要量化目标”三层目标架构。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(四)穿透监管 序号括号不统一。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统一为“（四）穿透式监管”，全文序号统一为“一、→（一）→1.”层级。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“重点检查对工程建设、招标采购……”语序失当，出现多余“对”。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改为“重点检查工程建设、招标采购……等制度执行情况，以及重大决策流程合规性”。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“查办”“应报尽报”“减少重复工作”等表述不够规范。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按国企口径规范为“重点督办、应报尽报、及时报、如实报、减少重复检查、提高监督质效”。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工作方式缺少评价独立性、回避要求和分类评价机制。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补充“评价人员独立性和回避要求”“按风险程度分类评价、滚动覆盖”。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监督问责条款“依规问责，涉嫌违法的移送相关机构”表述较空。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21"/>
              </w:rPr>
              <w:t>细化为“依规依纪问责，涉嫌违法犯罪的移送监察机关或司法机关”。</w:t>
            </w:r>
          </w:p>
        </w:tc>
      </w:tr>
    </w:tbl>
    <w:p/>
    <w:p>
      <w:pPr>
        <w:pStyle w:val="Heading2"/>
      </w:pPr>
      <w:r>
        <w:t>三、风险提示（老笔杆参谋提示）</w:t>
      </w:r>
    </w:p>
    <w:p>
      <w:pPr>
        <w:pStyle w:val="ListBullet"/>
      </w:pPr>
      <w:r>
        <w:t>本规划属于对内工作文件，正式印发前建议经董事会、审计与风险控制委员会审议，并按程序报市国资委备案；涉及对外报送的版本，须再经法务合规会签。</w:t>
      </w:r>
    </w:p>
    <w:p>
      <w:pPr>
        <w:pStyle w:val="ListBullet"/>
      </w:pPr>
      <w:r>
        <w:t>量化指标（覆盖100%、整改95%）在董事会审定前，建议使用“力争、原则上、按计划”等表述，避免“写死”。</w:t>
      </w:r>
    </w:p>
    <w:p>
      <w:pPr>
        <w:pStyle w:val="ListBullet"/>
      </w:pPr>
      <w:r>
        <w:t>“移送纪检监察机关或司法机关”属程序性表述，可在内部规划中使用；对外通报或新闻稿不得使用未经认定的“违规违纪、责任追究”等结论性表述。</w:t>
      </w:r>
    </w:p>
    <w:p>
      <w:pPr>
        <w:pStyle w:val="ListBullet"/>
      </w:pPr>
      <w:r>
        <w:t>涉职工切身利益、涉管理人员任免事项，须同步履行公司治理程序和职工（代表）会议程序，未经程序不写“已通过、已决定”。</w:t>
      </w:r>
    </w:p>
    <w:p>
      <w:pPr>
        <w:pStyle w:val="ListBullet"/>
      </w:pPr>
      <w:r>
        <w:t>如规划涉及子公司的经营数据、审计定性，必须以子公司审计报告、国资委巡视反馈原文为准，不得自行升格或降格。</w:t>
      </w:r>
    </w:p>
    <w:p>
      <w:r>
        <w:br w:type="page"/>
      </w:r>
    </w:p>
    <w:p>
      <w:pPr>
        <w:pStyle w:val="Heading1"/>
      </w:pPr>
      <w:r>
        <w:t>第二部分  修订版正文</w:t>
      </w:r>
    </w:p>
    <w:p>
      <w:r>
        <w:rPr>
          <w:b w:val="0"/>
          <w:i w:val="0"/>
        </w:rPr>
        <w:t>（黑色字体为修订后规范表述；带【待补】【待核】处，请结合公司实际审定后补齐删除。）</w:t>
      </w:r>
    </w:p>
    <w:p>
      <w:pPr>
        <w:pStyle w:val="Heading2"/>
      </w:pPr>
      <w:r>
        <w:t>秦皇岛市国有房地产开发有限公司2026年内控体系监督评价工作规划（修订版）</w:t>
      </w:r>
    </w:p>
    <w:p>
      <w:pPr>
        <w:pStyle w:val="Heading3"/>
      </w:pPr>
      <w:r>
        <w:t>一、工作目标</w:t>
      </w:r>
    </w:p>
    <w:p>
      <w:r>
        <w:rPr>
          <w:b w:val="0"/>
          <w:i w:val="0"/>
        </w:rPr>
        <w:t>（一）总体要求。紧紧围绕贯彻落实党和国家方针政策、推动企业高质量发展、坚持依法合规经营、严肃财经纪律、强化权力运行制约监督等总体要求，结合公司发展规划及经营发展实际，全面落实国资委工作部署，统筹推进公司及下属子公司内控监督评价全覆盖工作。</w:t>
      </w:r>
    </w:p>
    <w:p>
      <w:r>
        <w:rPr>
          <w:b w:val="0"/>
          <w:i w:val="0"/>
        </w:rPr>
        <w:t>（二）评价运用。运用“控制有效、控制较好、控制较弱、控制失效”评价等级，对内部控制有效性作出客观评价。将评价结果作为资源配置、经营授权、绩效考核、管理人员任免与薪酬奖惩的重要参考依据。</w:t>
      </w:r>
    </w:p>
    <w:p>
      <w:r>
        <w:rPr>
          <w:b w:val="0"/>
          <w:i w:val="0"/>
        </w:rPr>
        <w:t>（三）问题整改。对一般缺陷问题精准派单、限期整改、跟踪销号，实现“发现一个问题、完善一批制度、防范一类风险”；对重要缺陷问题提级管理、重点督办；对重大违规问题提级管理、重点督办，涉嫌违纪违法的，按程序移送纪检监察机关或司法机关处理。</w:t>
      </w:r>
    </w:p>
    <w:p>
      <w:r>
        <w:rPr>
          <w:b w:val="0"/>
          <w:i w:val="0"/>
        </w:rPr>
        <w:t>（四）以评促建。开展内控典型案例警示教育，发挥以评促建、以评促治作用。</w:t>
      </w:r>
    </w:p>
    <w:p>
      <w:r>
        <w:rPr>
          <w:b w:val="0"/>
          <w:i w:val="0"/>
        </w:rPr>
        <w:t>（五）监督评价全覆盖。对2026年新发生的大额资金运作、重大投资决策、重大购销业务、重大工程项目承揽、高风险金融业务，以及发生重大经营风险事件的子公司，原则上实行年度监督评价全覆盖；对其他业务领域和子公司，按照风险程度实行分类评价、滚动覆盖。</w:t>
      </w:r>
    </w:p>
    <w:p>
      <w:pPr>
        <w:pStyle w:val="Heading3"/>
      </w:pPr>
      <w:r>
        <w:t>二、长期目标（新增）</w:t>
      </w:r>
    </w:p>
    <w:p>
      <w:r>
        <w:rPr>
          <w:b w:val="0"/>
          <w:i w:val="0"/>
        </w:rPr>
        <w:t>（一）总体目标。利用三年左右时间（2026—2028年，具体考核周期可结合公司发展战略滚动调整【待核】），建立健全“制度健全、流程规范、权责清晰、监督有效、反馈闭环、结果运用”的内部控制体系，推动内控管理由“事后检查”向“事前防范、事中控制、事后评价”全链条延伸，为国有资产保值增值和公司高质量发展提供坚实保障。</w:t>
      </w:r>
    </w:p>
    <w:p>
      <w:r>
        <w:rPr>
          <w:b w:val="0"/>
          <w:i w:val="0"/>
        </w:rPr>
        <w:t>（二）阶段目标。</w:t>
      </w:r>
    </w:p>
    <w:p>
      <w:r>
        <w:rPr>
          <w:b w:val="0"/>
          <w:i w:val="0"/>
        </w:rPr>
        <w:t>1.基础规范年（2026年）：完成年度内控监督评价全覆盖，健全内控缺陷认定、整改、销号标准；重点领域和重要子公司内控评价实现全覆盖，重大缺陷整改闭环率力争达到95%以上【待补指标】。</w:t>
      </w:r>
    </w:p>
    <w:p>
      <w:r>
        <w:rPr>
          <w:b w:val="0"/>
          <w:i w:val="0"/>
        </w:rPr>
        <w:t>2.深化提升年（2027年）：推动内控评价与信息化、数字化监督相结合，建立重大风险动态监测预警机制；重点领域制度执行明显规范，内控薄弱环节整改到位，形成一批可复制、可推广的内控管理机制。</w:t>
      </w:r>
    </w:p>
    <w:p>
      <w:r>
        <w:rPr>
          <w:b w:val="0"/>
          <w:i w:val="0"/>
        </w:rPr>
        <w:t>3.巩固形成年（2028年）：内控体系运转有效，重大经营风险事件发生率持续下降，公司及子公司内部控制评价等级总体保持在“控制有效”或“控制较好”水平；以评促建、以评促治成效显著，内控合规文化基本形成。</w:t>
      </w:r>
    </w:p>
    <w:p>
      <w:r>
        <w:rPr>
          <w:b w:val="0"/>
          <w:i w:val="0"/>
        </w:rPr>
        <w:t>（三）主要目标（量化指标随年度年度指标动态调整，具体以董事会审定口径为准）。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目标类别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55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参考值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评价覆盖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1"/>
              </w:rPr>
              <w:t>高风险业务及重要子公司年度评价覆盖率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达到100%【待补】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整改闭环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1"/>
              </w:rPr>
              <w:t>一般缺陷整改销号率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不低于90%【待补】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整改闭环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1"/>
              </w:rPr>
              <w:t>重大缺陷整改闭环率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不低于95%【待补】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风险防控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1"/>
              </w:rPr>
              <w:t>重大风险事件报告及时率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达到100%【待补】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结果运用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1"/>
              </w:rPr>
              <w:t>内控评价结果与资源配置、授权、绩效、任免奖惩衔接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1"/>
              </w:rPr>
              <w:t>全面建立【待补】</w:t>
            </w:r>
          </w:p>
        </w:tc>
      </w:tr>
    </w:tbl>
    <w:p/>
    <w:p>
      <w:r>
        <w:rPr>
          <w:b w:val="0"/>
          <w:i w:val="0"/>
        </w:rPr>
        <w:t>说明：以上量化指标由公司结合实际合规设定，报董事会审议后执行；涉及对外报送的，以最终审定口径为准。</w:t>
      </w:r>
    </w:p>
    <w:p>
      <w:pPr>
        <w:pStyle w:val="Heading3"/>
      </w:pPr>
      <w:r>
        <w:t>三、重点任务和措施</w:t>
      </w:r>
    </w:p>
    <w:p>
      <w:r>
        <w:rPr>
          <w:b w:val="0"/>
          <w:i w:val="0"/>
        </w:rPr>
        <w:t>结合公司及下属子公司业务特点，围绕投资并购、财务资金、购销业务、产权管理、工程承揽等核心业务领域，聚焦内控制度、业务流程、岗位管理、授权管理、权责制衡、监督机制、问责标准等开展监督评价。</w:t>
      </w:r>
    </w:p>
    <w:p>
      <w:r>
        <w:rPr>
          <w:b w:val="0"/>
          <w:i w:val="0"/>
        </w:rPr>
        <w:t>（一）制度排查。梳理公司及下属子公司现有内控制度，补齐业务制度短板，推动国资监管要求转化为内部制度，做到应建尽建、应改尽改。</w:t>
      </w:r>
    </w:p>
    <w:p>
      <w:r>
        <w:rPr>
          <w:b w:val="0"/>
          <w:i w:val="0"/>
        </w:rPr>
        <w:t>（二）业务核查。重点检查工程建设、招标采购、贸易业务、资金支付、资产评估、绩效奖惩、考勤管理等制度执行情况，以及重大决策流程合规性。</w:t>
      </w:r>
    </w:p>
    <w:p>
      <w:r>
        <w:rPr>
          <w:b w:val="0"/>
          <w:i w:val="0"/>
        </w:rPr>
        <w:t>（三）缺陷管理。明确重大、重要、一般内控缺陷认定标准，健全缺陷认定、整改、销号、复核机制；对屡查屡犯、恶意规避制度问题重点核查、提级处理。</w:t>
      </w:r>
    </w:p>
    <w:p>
      <w:r>
        <w:rPr>
          <w:b w:val="0"/>
          <w:i w:val="0"/>
        </w:rPr>
        <w:t>（四）穿透式监管。强化下属子公司管控，落实重大事项、重大风险上报备案制度，做到应报尽报、及时报、如实报。</w:t>
      </w:r>
    </w:p>
    <w:p>
      <w:r>
        <w:rPr>
          <w:b w:val="0"/>
          <w:i w:val="0"/>
        </w:rPr>
        <w:t>（五）风险管控。落实重大风险年度评估、季度监测，规范风险事件上报与处置流程，健全风险预警和应对机制。</w:t>
      </w:r>
    </w:p>
    <w:p>
      <w:r>
        <w:rPr>
          <w:b w:val="0"/>
          <w:i w:val="0"/>
        </w:rPr>
        <w:t>（六）工作方式。采取部门自查、现场核查、穿行测试、抽样测试、访谈、流程梳理等方式，与内部审计协同开展评价；严格评价人员独立性和回避要求，减少重复检查，提高监督质效。</w:t>
      </w:r>
    </w:p>
    <w:p>
      <w:pPr>
        <w:pStyle w:val="Heading3"/>
      </w:pPr>
      <w:r>
        <w:t>四、进度安排</w:t>
      </w:r>
    </w:p>
    <w:p>
      <w:r>
        <w:rPr>
          <w:b w:val="0"/>
          <w:i w:val="0"/>
        </w:rPr>
        <w:t>（结合年度工作实际动态调整；如对8月以前已发生事项延伸追溯，由公司统筹明确。）</w:t>
      </w:r>
    </w:p>
    <w:p>
      <w:r>
        <w:rPr>
          <w:b w:val="0"/>
          <w:i w:val="0"/>
        </w:rPr>
        <w:t>（一）8月30日前：完成本规划内部审议，报送市国资委备案；组织公司及下属子公司开展内控宣贯，明确责任分工。</w:t>
      </w:r>
    </w:p>
    <w:p>
      <w:r>
        <w:rPr>
          <w:b w:val="0"/>
          <w:i w:val="0"/>
        </w:rPr>
        <w:t>（二）9—10月：组织各部门、下属子公司开展内控自查自评；优先完成大额资金、重大项目、高风险金融业务等高风险业务专项评价。</w:t>
      </w:r>
    </w:p>
    <w:p>
      <w:r>
        <w:rPr>
          <w:b w:val="0"/>
          <w:i w:val="0"/>
        </w:rPr>
        <w:t>（三）11月：公司组织复核评价，汇总内控缺陷，下达整改任务，明确责任人和整改时限。</w:t>
      </w:r>
    </w:p>
    <w:p>
      <w:r>
        <w:rPr>
          <w:b w:val="0"/>
          <w:i w:val="0"/>
        </w:rPr>
        <w:t>（四）12月：完成缺陷整改复核销号，确定内控评价等级，组织内控警示教育；形成年度评价报告，按程序报送。</w:t>
      </w:r>
    </w:p>
    <w:p>
      <w:pPr>
        <w:pStyle w:val="Heading3"/>
      </w:pPr>
      <w:r>
        <w:t>五、组织保障</w:t>
      </w:r>
    </w:p>
    <w:p>
      <w:r>
        <w:rPr>
          <w:b w:val="0"/>
          <w:i w:val="0"/>
        </w:rPr>
        <w:t>（一）组织领导。党总支统一领导，董事会承担内控主体责任；审计与风险控制委员会统筹内控监督评价工作，经理层负责内控日常执行；审计部作为内控牵头职能部门，各业务部门、子公司主要负责人为本单位内控第一责任人。</w:t>
      </w:r>
    </w:p>
    <w:p>
      <w:r>
        <w:rPr>
          <w:b w:val="0"/>
          <w:i w:val="0"/>
        </w:rPr>
        <w:t>（二）人员经费。依托审计部现有专职人员，各部门、子公司设置内控兼职联络员；必要时聘请外部中介机构提供技术支持，相关经费纳入年度预算。</w:t>
      </w:r>
    </w:p>
    <w:p>
      <w:r>
        <w:rPr>
          <w:b w:val="0"/>
          <w:i w:val="0"/>
        </w:rPr>
        <w:t>（三）协同联动。内控评价与内审工作统筹实施；审计发现违纪违法线索按程序移交纪检监察机构；加强同法务、财务、人力资源等部门的协同，形成监督合力。</w:t>
      </w:r>
    </w:p>
    <w:p>
      <w:r>
        <w:rPr>
          <w:b w:val="0"/>
          <w:i w:val="0"/>
        </w:rPr>
        <w:t>（四）激励约束。内控评价结果纳入部门、子公司及管理人员绩效考核；对内控成效突出的予以表彰；对整改不力、屡查屡犯的进行约谈、绩效扣减。</w:t>
      </w:r>
    </w:p>
    <w:p>
      <w:r>
        <w:rPr>
          <w:b w:val="0"/>
          <w:i w:val="0"/>
        </w:rPr>
        <w:t>（五）监督问责。一般缺陷实行整改闭环；重大缺陷提级上报董事会；因内控失效造成国有资产损失的，依规依纪问责，涉嫌违法犯罪的移送监察机关或司法机关。</w:t>
      </w:r>
    </w:p>
    <w:p>
      <w:pPr>
        <w:pStyle w:val="Heading1"/>
      </w:pPr>
      <w:r>
        <w:t>第三部分  主要新增与修订对照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位置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原稿</w:t>
            </w:r>
          </w:p>
        </w:tc>
        <w:tc>
          <w:tcPr>
            <w:tcW w:type="dxa" w:w="368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修订后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一、工作目标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未明确评价结果与“干部任免奖惩”的衔接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明确“作为资源配置、经营授权、绩效考核、管理人员任免与薪酬奖惩的重要参考依据”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一、工作目标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“实现全覆盖”表述偏刚性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改为“原则上实现全覆盖；其他领域按风险程度分类评价、滚动覆盖”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（新增）二、长期目标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新增“总体目标—阶段目标—主要量化目标”三层目标，明确2026—2028三年建设路径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三、重点任务（二）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“重点检查对工程建设……制度、重大决策执行流程”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修正为“重点检查……制度执行情况，以及重大决策流程合规性”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三、重点任务（四）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“(四)穿透监管”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“（四）穿透式监管”，统一序号；补充“应报尽报、及时报、如实报”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三、重点任务（六）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“与内部审计协同开展评价，减少重复工作”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补充“抽样测试、访谈、流程梳理”“评价人员独立性和回避要求”“减少重复检查，提高监督质效”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四、进度安排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时间节点表述单一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补充“动态调整；2026年8月前事项延伸追溯由公司统筹明确”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五、组织保障（三）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“审计发现违纪违法线索按程序移交纪检监察机构”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补充“加强同法务、财务、人力资源等部门的协同，形成监督合力”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1"/>
              </w:rPr>
              <w:t>五、组织保障（五）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sz w:val="21"/>
              </w:rPr>
              <w:t>“依规问责，涉嫌违法的移送相关机构”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sz w:val="21"/>
              </w:rPr>
              <w:t>改为“依规依纪问责，涉嫌违法犯罪的移送监察机关或司法机关”</w:t>
            </w:r>
          </w:p>
        </w:tc>
      </w:tr>
    </w:tbl>
    <w:p/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楷体" w:hAnsi="楷体" w:eastAsia="楷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