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b w:val="1"/>
          <w:bCs w:val="1"/>
        </w:rPr>
      </w:pPr>
      <w:r w:rsidDel="00000000" w:rsidR="00000000" w:rsidRPr="00000000">
        <w:rPr>
          <w:b w:val="1"/>
          <w:bCs w:val="1"/>
          <w:rtl w:val="0"/>
        </w:rPr>
        <w:t xml:space="preserve">effectiveness of measles mitigation methods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Roboto" w:cs="Roboto" w:eastAsia="Roboto" w:hAnsi="Roboto"/>
          <w:color w:val="212121"/>
          <w:sz w:val="24"/>
          <w:szCs w:val="24"/>
        </w:rPr>
      </w:pPr>
      <w:r w:rsidDel="00000000" w:rsidR="00000000" w:rsidRPr="00000000">
        <w:rPr>
          <w:rtl w:val="0"/>
        </w:rPr>
        <w:t xml:space="preserve">“</w:t>
      </w:r>
      <w:r w:rsidDel="00000000" w:rsidR="00000000" w:rsidRPr="00000000">
        <w:rPr>
          <w:rFonts w:ascii="Roboto" w:cs="Roboto" w:eastAsia="Roboto" w:hAnsi="Roboto"/>
          <w:color w:val="212121"/>
          <w:sz w:val="24"/>
          <w:szCs w:val="24"/>
          <w:highlight w:val="white"/>
          <w:rtl w:val="0"/>
        </w:rPr>
        <w:t xml:space="preserve">For measles, R</w:t>
      </w:r>
      <w:r w:rsidDel="00000000" w:rsidR="00000000" w:rsidRPr="00000000">
        <w:rPr>
          <w:rFonts w:ascii="Roboto" w:cs="Roboto" w:eastAsia="Roboto" w:hAnsi="Roboto"/>
          <w:color w:val="212121"/>
          <w:sz w:val="18"/>
          <w:szCs w:val="18"/>
          <w:highlight w:val="white"/>
          <w:rtl w:val="0"/>
        </w:rPr>
        <w:t xml:space="preserve">0</w:t>
      </w:r>
      <w:r w:rsidDel="00000000" w:rsidR="00000000" w:rsidRPr="00000000">
        <w:rPr>
          <w:rFonts w:ascii="Roboto" w:cs="Roboto" w:eastAsia="Roboto" w:hAnsi="Roboto"/>
          <w:color w:val="212121"/>
          <w:sz w:val="24"/>
          <w:szCs w:val="24"/>
          <w:highlight w:val="white"/>
          <w:rtl w:val="0"/>
        </w:rPr>
        <w:t xml:space="preserve"> is often cited to be 12-18, which means that each person with measles </w:t>
      </w:r>
      <w:r w:rsidDel="00000000" w:rsidR="00000000" w:rsidRPr="00000000">
        <w:rPr>
          <w:rFonts w:ascii="Roboto" w:cs="Roboto" w:eastAsia="Roboto" w:hAnsi="Roboto"/>
          <w:color w:val="212121"/>
          <w:sz w:val="24"/>
          <w:szCs w:val="24"/>
          <w:rtl w:val="0"/>
        </w:rPr>
        <w:t xml:space="preserve">would, on average, infect 12-18 other people in a totally susceptible population.”</w:t>
      </w:r>
    </w:p>
    <w:p w:rsidR="00000000" w:rsidDel="00000000" w:rsidP="00000000" w:rsidRDefault="00000000" w:rsidRPr="00000000" w14:paraId="00000004">
      <w:pPr>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“We found that R</w:t>
      </w:r>
      <w:r w:rsidDel="00000000" w:rsidR="00000000" w:rsidRPr="00000000">
        <w:rPr>
          <w:rFonts w:ascii="Roboto" w:cs="Roboto" w:eastAsia="Roboto" w:hAnsi="Roboto"/>
          <w:color w:val="212121"/>
          <w:sz w:val="18"/>
          <w:szCs w:val="18"/>
          <w:rtl w:val="0"/>
        </w:rPr>
        <w:t xml:space="preserve">0</w:t>
      </w:r>
      <w:r w:rsidDel="00000000" w:rsidR="00000000" w:rsidRPr="00000000">
        <w:rPr>
          <w:rFonts w:ascii="Roboto" w:cs="Roboto" w:eastAsia="Roboto" w:hAnsi="Roboto"/>
          <w:color w:val="212121"/>
          <w:sz w:val="24"/>
          <w:szCs w:val="24"/>
          <w:rtl w:val="0"/>
        </w:rPr>
        <w:t xml:space="preserve"> estimates vary more than the often cited range of 12-18.”</w:t>
      </w:r>
    </w:p>
    <w:p w:rsidR="00000000" w:rsidDel="00000000" w:rsidP="00000000" w:rsidRDefault="00000000" w:rsidRPr="00000000" w14:paraId="00000006">
      <w:pPr>
        <w:rPr>
          <w:rFonts w:ascii="Roboto" w:cs="Roboto" w:eastAsia="Roboto" w:hAnsi="Roboto"/>
          <w:color w:val="212121"/>
          <w:sz w:val="24"/>
          <w:szCs w:val="24"/>
        </w:rPr>
      </w:pPr>
      <w:r w:rsidDel="00000000" w:rsidR="00000000" w:rsidRPr="00000000">
        <w:rPr>
          <w:rtl w:val="0"/>
        </w:rPr>
      </w:r>
    </w:p>
    <w:p w:rsidR="00000000" w:rsidDel="00000000" w:rsidP="00000000" w:rsidRDefault="00000000" w:rsidRPr="00000000" w14:paraId="00000007">
      <w:pPr>
        <w:rPr>
          <w:rFonts w:ascii="Nunito" w:cs="Nunito" w:eastAsia="Nunito" w:hAnsi="Nunito"/>
          <w:color w:val="1c1d1f"/>
          <w:sz w:val="27"/>
          <w:szCs w:val="27"/>
          <w:highlight w:val="white"/>
        </w:rPr>
      </w:pPr>
      <w:r w:rsidDel="00000000" w:rsidR="00000000" w:rsidRPr="00000000">
        <w:rPr>
          <w:rFonts w:ascii="Nunito" w:cs="Nunito" w:eastAsia="Nunito" w:hAnsi="Nunito"/>
          <w:color w:val="1c1d1f"/>
          <w:sz w:val="27"/>
          <w:szCs w:val="27"/>
          <w:highlight w:val="white"/>
          <w:rtl w:val="0"/>
        </w:rPr>
        <w:t xml:space="preserve">“In the decade prior to the licensure of live measles vaccine in 1963, an average of 549,000 measles cases and 495 measles deaths were reported annually.  However, almost every American was affected by measles during their lifetime, and it is estimated that 3–4 million measles cases occurred each year.”</w:t>
      </w:r>
    </w:p>
    <w:p w:rsidR="00000000" w:rsidDel="00000000" w:rsidP="00000000" w:rsidRDefault="00000000" w:rsidRPr="00000000" w14:paraId="00000008">
      <w:pPr>
        <w:rPr>
          <w:rFonts w:ascii="Nunito" w:cs="Nunito" w:eastAsia="Nunito" w:hAnsi="Nunito"/>
          <w:color w:val="1c1d1f"/>
          <w:sz w:val="27"/>
          <w:szCs w:val="27"/>
          <w:highlight w:val="white"/>
        </w:rPr>
      </w:pPr>
      <w:r w:rsidDel="00000000" w:rsidR="00000000" w:rsidRPr="00000000">
        <w:rPr>
          <w:rtl w:val="0"/>
        </w:rPr>
      </w:r>
    </w:p>
    <w:p w:rsidR="00000000" w:rsidDel="00000000" w:rsidP="00000000" w:rsidRDefault="00000000" w:rsidRPr="00000000" w14:paraId="00000009">
      <w:pPr>
        <w:rPr>
          <w:rFonts w:ascii="Nunito" w:cs="Nunito" w:eastAsia="Nunito" w:hAnsi="Nunito"/>
          <w:color w:val="1c1d1f"/>
          <w:sz w:val="27"/>
          <w:szCs w:val="27"/>
          <w:highlight w:val="white"/>
        </w:rPr>
      </w:pPr>
      <w:r w:rsidDel="00000000" w:rsidR="00000000" w:rsidRPr="00000000">
        <w:rPr>
          <w:rFonts w:ascii="Nunito" w:cs="Nunito" w:eastAsia="Nunito" w:hAnsi="Nunito"/>
          <w:color w:val="1c1d1f"/>
          <w:sz w:val="27"/>
          <w:szCs w:val="27"/>
          <w:highlight w:val="white"/>
          <w:rtl w:val="0"/>
        </w:rPr>
        <w:t xml:space="preserve">“During 1989–1991, a resurgence of measles occurred when over 55,000 cases and 123 deaths were reported.”</w:t>
      </w:r>
    </w:p>
    <w:p w:rsidR="00000000" w:rsidDel="00000000" w:rsidP="00000000" w:rsidRDefault="00000000" w:rsidRPr="00000000" w14:paraId="0000000A">
      <w:pPr>
        <w:rPr>
          <w:rFonts w:ascii="Nunito" w:cs="Nunito" w:eastAsia="Nunito" w:hAnsi="Nunito"/>
          <w:color w:val="1c1d1f"/>
          <w:sz w:val="27"/>
          <w:szCs w:val="27"/>
          <w:highlight w:val="white"/>
        </w:rPr>
      </w:pPr>
      <w:r w:rsidDel="00000000" w:rsidR="00000000" w:rsidRPr="00000000">
        <w:rPr>
          <w:rtl w:val="0"/>
        </w:rPr>
      </w:r>
    </w:p>
    <w:p w:rsidR="00000000" w:rsidDel="00000000" w:rsidP="00000000" w:rsidRDefault="00000000" w:rsidRPr="00000000" w14:paraId="0000000B">
      <w:pPr>
        <w:rPr>
          <w:rFonts w:ascii="Nunito" w:cs="Nunito" w:eastAsia="Nunito" w:hAnsi="Nunito"/>
          <w:color w:val="1c1d1f"/>
          <w:sz w:val="27"/>
          <w:szCs w:val="27"/>
          <w:highlight w:val="white"/>
        </w:rPr>
      </w:pPr>
      <w:r w:rsidDel="00000000" w:rsidR="00000000" w:rsidRPr="00000000">
        <w:rPr>
          <w:rFonts w:ascii="Nunito" w:cs="Nunito" w:eastAsia="Nunito" w:hAnsi="Nunito"/>
          <w:color w:val="1c1d1f"/>
          <w:sz w:val="27"/>
          <w:szCs w:val="27"/>
          <w:highlight w:val="white"/>
          <w:rtl w:val="0"/>
        </w:rPr>
        <w:t xml:space="preserve">“In 2000, endemic measles was declared "eliminated" from the United States. For measles, elimination is defined as the absence of endemic measles transmission for a period of 12 months or more in the presence of an adequate surveillance system.”</w:t>
      </w:r>
    </w:p>
    <w:p w:rsidR="00000000" w:rsidDel="00000000" w:rsidP="00000000" w:rsidRDefault="00000000" w:rsidRPr="00000000" w14:paraId="0000000C">
      <w:pPr>
        <w:rPr>
          <w:rFonts w:ascii="Nunito" w:cs="Nunito" w:eastAsia="Nunito" w:hAnsi="Nunito"/>
          <w:color w:val="1c1d1f"/>
          <w:sz w:val="27"/>
          <w:szCs w:val="27"/>
          <w:highlight w:val="white"/>
        </w:rPr>
      </w:pPr>
      <w:r w:rsidDel="00000000" w:rsidR="00000000" w:rsidRPr="00000000">
        <w:rPr>
          <w:rtl w:val="0"/>
        </w:rPr>
      </w:r>
    </w:p>
    <w:p w:rsidR="00000000" w:rsidDel="00000000" w:rsidP="00000000" w:rsidRDefault="00000000" w:rsidRPr="00000000" w14:paraId="0000000D">
      <w:pPr>
        <w:rPr>
          <w:rFonts w:ascii="Nunito" w:cs="Nunito" w:eastAsia="Nunito" w:hAnsi="Nunito"/>
          <w:color w:val="1c1d1f"/>
          <w:sz w:val="27"/>
          <w:szCs w:val="27"/>
          <w:highlight w:val="white"/>
        </w:rPr>
      </w:pPr>
      <w:r w:rsidDel="00000000" w:rsidR="00000000" w:rsidRPr="00000000">
        <w:rPr>
          <w:rFonts w:ascii="Nunito" w:cs="Nunito" w:eastAsia="Nunito" w:hAnsi="Nunito"/>
          <w:color w:val="1c1d1f"/>
          <w:sz w:val="27"/>
          <w:szCs w:val="27"/>
          <w:highlight w:val="white"/>
          <w:rtl w:val="0"/>
        </w:rPr>
        <w:t xml:space="preserve">“Two-dose MMR coverage of 95% or higher is generally considered the threshold required to suppress community transmission and to prevent outbreaks.”</w:t>
      </w:r>
    </w:p>
    <w:p w:rsidR="00000000" w:rsidDel="00000000" w:rsidP="00000000" w:rsidRDefault="00000000" w:rsidRPr="00000000" w14:paraId="0000000E">
      <w:pPr>
        <w:rPr>
          <w:rFonts w:ascii="Nunito" w:cs="Nunito" w:eastAsia="Nunito" w:hAnsi="Nunito"/>
          <w:color w:val="1c1d1f"/>
          <w:sz w:val="27"/>
          <w:szCs w:val="27"/>
          <w:highlight w:val="white"/>
        </w:rPr>
      </w:pPr>
      <w:r w:rsidDel="00000000" w:rsidR="00000000" w:rsidRPr="00000000">
        <w:rPr>
          <w:rtl w:val="0"/>
        </w:rPr>
      </w:r>
    </w:p>
    <w:p w:rsidR="00000000" w:rsidDel="00000000" w:rsidP="00000000" w:rsidRDefault="00000000" w:rsidRPr="00000000" w14:paraId="0000000F">
      <w:pPr>
        <w:rPr>
          <w:rFonts w:ascii="Nunito" w:cs="Nunito" w:eastAsia="Nunito" w:hAnsi="Nunito"/>
          <w:color w:val="1c1d1f"/>
          <w:sz w:val="27"/>
          <w:szCs w:val="27"/>
          <w:highlight w:val="white"/>
        </w:rPr>
      </w:pPr>
      <w:r w:rsidDel="00000000" w:rsidR="00000000" w:rsidRPr="00000000">
        <w:rPr>
          <w:rFonts w:ascii="Nunito" w:cs="Nunito" w:eastAsia="Nunito" w:hAnsi="Nunito"/>
          <w:color w:val="1c1d1f"/>
          <w:sz w:val="27"/>
          <w:szCs w:val="27"/>
          <w:highlight w:val="white"/>
          <w:rtl w:val="0"/>
        </w:rPr>
        <w:t xml:space="preserve">“Historically, because of high population immunity and high measles vaccine effectiveness, the size of measles outbreaks in the United States has been limited during the post-elimination era. During 2001–2019, 158 outbreaks of measles occurred, with a median case count of 5 (range: 3–697 cases).”</w:t>
      </w:r>
    </w:p>
    <w:p w:rsidR="00000000" w:rsidDel="00000000" w:rsidP="00000000" w:rsidRDefault="00000000" w:rsidRPr="00000000" w14:paraId="00000010">
      <w:pPr>
        <w:rPr>
          <w:rFonts w:ascii="Nunito" w:cs="Nunito" w:eastAsia="Nunito" w:hAnsi="Nunito"/>
          <w:color w:val="1c1d1f"/>
          <w:sz w:val="27"/>
          <w:szCs w:val="27"/>
          <w:highlight w:val="white"/>
        </w:rPr>
      </w:pPr>
      <w:r w:rsidDel="00000000" w:rsidR="00000000" w:rsidRPr="00000000">
        <w:rPr>
          <w:rtl w:val="0"/>
        </w:rPr>
      </w:r>
    </w:p>
    <w:p w:rsidR="00000000" w:rsidDel="00000000" w:rsidP="00000000" w:rsidRDefault="00000000" w:rsidRPr="00000000" w14:paraId="00000011">
      <w:pPr>
        <w:rPr>
          <w:rFonts w:ascii="Nunito" w:cs="Nunito" w:eastAsia="Nunito" w:hAnsi="Nunito"/>
          <w:color w:val="1c1d1f"/>
          <w:sz w:val="27"/>
          <w:szCs w:val="27"/>
          <w:highlight w:val="white"/>
        </w:rPr>
      </w:pPr>
      <w:r w:rsidDel="00000000" w:rsidR="00000000" w:rsidRPr="00000000">
        <w:rPr>
          <w:rFonts w:ascii="Nunito" w:cs="Nunito" w:eastAsia="Nunito" w:hAnsi="Nunito"/>
          <w:color w:val="1c1d1f"/>
          <w:sz w:val="27"/>
          <w:szCs w:val="27"/>
          <w:highlight w:val="white"/>
          <w:rtl w:val="0"/>
        </w:rPr>
        <w:t xml:space="preserve">“For prevention of measles, two doses of MMR vaccine are recommended routinely for children, with the first dose at age 12 through 15 months and the second dose at ages four through six years. ACIP recommends that separate MMR and varicella vaccines be given for the first dose in children aged 12–47 months; however, MMRV can be used if parents or caregivers express a preference.”</w:t>
      </w:r>
    </w:p>
    <w:p w:rsidR="00000000" w:rsidDel="00000000" w:rsidP="00000000" w:rsidRDefault="00000000" w:rsidRPr="00000000" w14:paraId="00000012">
      <w:pPr>
        <w:rPr>
          <w:rFonts w:ascii="Nunito" w:cs="Nunito" w:eastAsia="Nunito" w:hAnsi="Nunito"/>
          <w:color w:val="1c1d1f"/>
          <w:sz w:val="27"/>
          <w:szCs w:val="27"/>
          <w:highlight w:val="white"/>
        </w:rPr>
      </w:pPr>
      <w:r w:rsidDel="00000000" w:rsidR="00000000" w:rsidRPr="00000000">
        <w:rPr>
          <w:rtl w:val="0"/>
        </w:rPr>
      </w:r>
    </w:p>
    <w:p w:rsidR="00000000" w:rsidDel="00000000" w:rsidP="00000000" w:rsidRDefault="00000000" w:rsidRPr="00000000" w14:paraId="00000013">
      <w:pPr>
        <w:rPr>
          <w:rFonts w:ascii="Nunito" w:cs="Nunito" w:eastAsia="Nunito" w:hAnsi="Nunito"/>
          <w:color w:val="1c1d1f"/>
          <w:sz w:val="27"/>
          <w:szCs w:val="27"/>
          <w:highlight w:val="white"/>
        </w:rPr>
      </w:pPr>
      <w:r w:rsidDel="00000000" w:rsidR="00000000" w:rsidRPr="00000000">
        <w:rPr>
          <w:rFonts w:ascii="Nunito" w:cs="Nunito" w:eastAsia="Nunito" w:hAnsi="Nunito"/>
          <w:color w:val="1c1d1f"/>
          <w:sz w:val="27"/>
          <w:szCs w:val="27"/>
          <w:highlight w:val="white"/>
          <w:rtl w:val="0"/>
        </w:rPr>
        <w:t xml:space="preserve">“Adults who do not have presumptive evidence of immunity should get at least one dose of MMR vaccine. Two doses of MMR vaccine are recommended for adults at high risk for measles, including international travelers, students at post-high school education institutions, and healthcare personnel.” </w:t>
      </w:r>
    </w:p>
    <w:p w:rsidR="00000000" w:rsidDel="00000000" w:rsidP="00000000" w:rsidRDefault="00000000" w:rsidRPr="00000000" w14:paraId="00000014">
      <w:pPr>
        <w:rPr>
          <w:rFonts w:ascii="Nunito" w:cs="Nunito" w:eastAsia="Nunito" w:hAnsi="Nunito"/>
          <w:color w:val="1c1d1f"/>
          <w:sz w:val="27"/>
          <w:szCs w:val="27"/>
          <w:highlight w:val="white"/>
        </w:rPr>
      </w:pPr>
      <w:r w:rsidDel="00000000" w:rsidR="00000000" w:rsidRPr="00000000">
        <w:rPr>
          <w:rtl w:val="0"/>
        </w:rPr>
      </w:r>
    </w:p>
    <w:p w:rsidR="00000000" w:rsidDel="00000000" w:rsidP="00000000" w:rsidRDefault="00000000" w:rsidRPr="00000000" w14:paraId="00000015">
      <w:pPr>
        <w:rPr>
          <w:color w:val="3c4245"/>
          <w:sz w:val="24"/>
          <w:szCs w:val="24"/>
          <w:highlight w:val="white"/>
        </w:rPr>
      </w:pPr>
      <w:r w:rsidDel="00000000" w:rsidR="00000000" w:rsidRPr="00000000">
        <w:rPr>
          <w:rFonts w:ascii="Nunito" w:cs="Nunito" w:eastAsia="Nunito" w:hAnsi="Nunito"/>
          <w:color w:val="1c1d1f"/>
          <w:sz w:val="27"/>
          <w:szCs w:val="27"/>
          <w:highlight w:val="white"/>
          <w:rtl w:val="0"/>
        </w:rPr>
        <w:t xml:space="preserve">“</w:t>
      </w:r>
      <w:r w:rsidDel="00000000" w:rsidR="00000000" w:rsidRPr="00000000">
        <w:rPr>
          <w:color w:val="3c4245"/>
          <w:sz w:val="24"/>
          <w:szCs w:val="24"/>
          <w:highlight w:val="white"/>
          <w:rtl w:val="0"/>
        </w:rPr>
        <w:t xml:space="preserve">Measles vaccination averted nearly 59 million deaths between 2000 and 2024.”</w:t>
      </w:r>
    </w:p>
    <w:p w:rsidR="00000000" w:rsidDel="00000000" w:rsidP="00000000" w:rsidRDefault="00000000" w:rsidRPr="00000000" w14:paraId="00000016">
      <w:pPr>
        <w:rPr>
          <w:color w:val="3c4245"/>
          <w:sz w:val="24"/>
          <w:szCs w:val="24"/>
          <w:highlight w:val="white"/>
        </w:rPr>
      </w:pPr>
      <w:r w:rsidDel="00000000" w:rsidR="00000000" w:rsidRPr="00000000">
        <w:rPr>
          <w:rtl w:val="0"/>
        </w:rPr>
      </w:r>
    </w:p>
    <w:p w:rsidR="00000000" w:rsidDel="00000000" w:rsidP="00000000" w:rsidRDefault="00000000" w:rsidRPr="00000000" w14:paraId="00000017">
      <w:pPr>
        <w:rPr>
          <w:color w:val="3c4245"/>
          <w:sz w:val="24"/>
          <w:szCs w:val="24"/>
          <w:highlight w:val="white"/>
        </w:rPr>
      </w:pPr>
      <w:r w:rsidDel="00000000" w:rsidR="00000000" w:rsidRPr="00000000">
        <w:rPr>
          <w:color w:val="3c4245"/>
          <w:sz w:val="24"/>
          <w:szCs w:val="24"/>
          <w:highlight w:val="white"/>
          <w:rtl w:val="0"/>
        </w:rPr>
        <w:t xml:space="preserve">“Accelerated immunization activities by countries, WHO, the Measles &amp; Rubella Partnership, and other international partners successfully prevented an estimated 59 million deaths between 2000 and 2024. Vaccination decreased an estimated measles deaths from 780 000 in 2000 to 95 000 in 2024.”</w:t>
      </w:r>
    </w:p>
    <w:p w:rsidR="00000000" w:rsidDel="00000000" w:rsidP="00000000" w:rsidRDefault="00000000" w:rsidRPr="00000000" w14:paraId="00000018">
      <w:pPr>
        <w:rPr>
          <w:color w:val="3c4245"/>
          <w:sz w:val="24"/>
          <w:szCs w:val="24"/>
          <w:highlight w:val="white"/>
        </w:rPr>
      </w:pPr>
      <w:r w:rsidDel="00000000" w:rsidR="00000000" w:rsidRPr="00000000">
        <w:rPr>
          <w:rtl w:val="0"/>
        </w:rPr>
      </w:r>
    </w:p>
    <w:p w:rsidR="00000000" w:rsidDel="00000000" w:rsidP="00000000" w:rsidRDefault="00000000" w:rsidRPr="00000000" w14:paraId="00000019">
      <w:pPr>
        <w:rPr>
          <w:color w:val="3c4245"/>
          <w:sz w:val="24"/>
          <w:szCs w:val="24"/>
          <w:highlight w:val="white"/>
        </w:rPr>
      </w:pPr>
      <w:r w:rsidDel="00000000" w:rsidR="00000000" w:rsidRPr="00000000">
        <w:rPr>
          <w:color w:val="3c4245"/>
          <w:sz w:val="24"/>
          <w:szCs w:val="24"/>
          <w:highlight w:val="white"/>
          <w:rtl w:val="0"/>
        </w:rPr>
        <w:t xml:space="preserve">“Children should receive two doses of the vaccine to ensure they are immune. The first dose is usually given at 9 months of age in countries where measles is common and 12–15 months in other countries. A second dose should be given later in childhood, usually at 15–18 months.”</w:t>
      </w:r>
    </w:p>
    <w:p w:rsidR="00000000" w:rsidDel="00000000" w:rsidP="00000000" w:rsidRDefault="00000000" w:rsidRPr="00000000" w14:paraId="0000001A">
      <w:pPr>
        <w:rPr>
          <w:color w:val="3c4245"/>
          <w:sz w:val="24"/>
          <w:szCs w:val="24"/>
          <w:highlight w:val="white"/>
        </w:rPr>
      </w:pPr>
      <w:r w:rsidDel="00000000" w:rsidR="00000000" w:rsidRPr="00000000">
        <w:rPr>
          <w:rtl w:val="0"/>
        </w:rPr>
      </w:r>
    </w:p>
    <w:p w:rsidR="00000000" w:rsidDel="00000000" w:rsidP="00000000" w:rsidRDefault="00000000" w:rsidRPr="00000000" w14:paraId="0000001B">
      <w:pPr>
        <w:rPr>
          <w:color w:val="3c4245"/>
          <w:sz w:val="24"/>
          <w:szCs w:val="24"/>
          <w:highlight w:val="white"/>
        </w:rPr>
      </w:pPr>
      <w:r w:rsidDel="00000000" w:rsidR="00000000" w:rsidRPr="00000000">
        <w:rPr>
          <w:color w:val="3c4245"/>
          <w:sz w:val="24"/>
          <w:szCs w:val="24"/>
          <w:highlight w:val="white"/>
          <w:rtl w:val="0"/>
        </w:rPr>
        <w:t xml:space="preserve">“Two doses of the vaccine are recommended to ensure immunity and prevent outbreaks, as not all children develop immunity from the first dose.”</w:t>
      </w:r>
    </w:p>
    <w:p w:rsidR="00000000" w:rsidDel="00000000" w:rsidP="00000000" w:rsidRDefault="00000000" w:rsidRPr="00000000" w14:paraId="0000001C">
      <w:pPr>
        <w:rPr>
          <w:color w:val="3c4245"/>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1b1b1b"/>
          <w:sz w:val="26"/>
          <w:szCs w:val="26"/>
          <w:shd w:fill="f5fff0" w:val="clear"/>
        </w:rPr>
      </w:pPr>
      <w:r w:rsidDel="00000000" w:rsidR="00000000" w:rsidRPr="00000000">
        <w:rPr>
          <w:color w:val="3c4245"/>
          <w:sz w:val="24"/>
          <w:szCs w:val="24"/>
          <w:highlight w:val="white"/>
          <w:rtl w:val="0"/>
        </w:rPr>
        <w:t xml:space="preserve">“ </w:t>
      </w:r>
      <w:r w:rsidDel="00000000" w:rsidR="00000000" w:rsidRPr="00000000">
        <w:rPr>
          <w:rFonts w:ascii="Gungsuh" w:cs="Gungsuh" w:eastAsia="Gungsuh" w:hAnsi="Gungsuh"/>
          <w:color w:val="1b1b1b"/>
          <w:sz w:val="26"/>
          <w:szCs w:val="26"/>
          <w:shd w:fill="f5fff0" w:val="clear"/>
          <w:rtl w:val="0"/>
        </w:rPr>
        <w:t xml:space="preserve">Interval for Successful Postexposure Vaccination (Maximum) and Current ACIP Recommendations for Postexposure Prophylactic Vaccine Use: ≤3 days”</w:t>
      </w:r>
    </w:p>
    <w:p w:rsidR="00000000" w:rsidDel="00000000" w:rsidP="00000000" w:rsidRDefault="00000000" w:rsidRPr="00000000" w14:paraId="0000001E">
      <w:pPr>
        <w:rPr>
          <w:rFonts w:ascii="Times New Roman" w:cs="Times New Roman" w:eastAsia="Times New Roman" w:hAnsi="Times New Roman"/>
          <w:color w:val="1b1b1b"/>
          <w:sz w:val="26"/>
          <w:szCs w:val="26"/>
          <w:shd w:fill="f5fff0" w:val="clea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1b1b1b"/>
          <w:sz w:val="26"/>
          <w:szCs w:val="26"/>
          <w:shd w:fill="f5fff0" w:val="clear"/>
        </w:rPr>
      </w:pPr>
      <w:r w:rsidDel="00000000" w:rsidR="00000000" w:rsidRPr="00000000">
        <w:rPr>
          <w:rFonts w:ascii="Times New Roman" w:cs="Times New Roman" w:eastAsia="Times New Roman" w:hAnsi="Times New Roman"/>
          <w:color w:val="1b1b1b"/>
          <w:sz w:val="26"/>
          <w:szCs w:val="26"/>
          <w:shd w:fill="f5fff0" w:val="clear"/>
          <w:rtl w:val="0"/>
        </w:rPr>
        <w:t xml:space="preserve">“83%–90% reduction in secondary attack rates if the vaccine is used as a mitigation tool within 72 hours of exposure”</w:t>
      </w:r>
    </w:p>
    <w:p w:rsidR="00000000" w:rsidDel="00000000" w:rsidP="00000000" w:rsidRDefault="00000000" w:rsidRPr="00000000" w14:paraId="00000020">
      <w:pPr>
        <w:rPr>
          <w:rFonts w:ascii="Times New Roman" w:cs="Times New Roman" w:eastAsia="Times New Roman" w:hAnsi="Times New Roman"/>
          <w:color w:val="1b1b1b"/>
          <w:sz w:val="26"/>
          <w:szCs w:val="26"/>
          <w:shd w:fill="f5fff0" w:val="clear"/>
        </w:rPr>
      </w:pPr>
      <w:r w:rsidDel="00000000" w:rsidR="00000000" w:rsidRPr="00000000">
        <w:rPr>
          <w:rtl w:val="0"/>
        </w:rPr>
      </w:r>
    </w:p>
    <w:p w:rsidR="00000000" w:rsidDel="00000000" w:rsidP="00000000" w:rsidRDefault="00000000" w:rsidRPr="00000000" w14:paraId="00000021">
      <w:pPr>
        <w:rPr>
          <w:rFonts w:ascii="Roboto" w:cs="Roboto" w:eastAsia="Roboto" w:hAnsi="Roboto"/>
          <w:color w:val="212121"/>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