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Causal Inference for Tokamak Plasma Control:</w:t>
      </w:r>
    </w:p>
    <w:p>
      <w:pPr>
        <w:spacing w:after="200"/>
        <w:jc w:val="center"/>
      </w:pPr>
      <w:r>
        <w:rPr>
          <w:rFonts w:ascii="Times New Roman" w:cs="Times New Roman" w:eastAsia="Times New Roman" w:hAnsi="Times New Roman"/>
          <w:b/>
          <w:bCs/>
          <w:sz w:val="32"/>
          <w:szCs w:val="32"/>
        </w:rPr>
        <w:t xml:space="preserve">Structural Causal Models with do-Calculus Validated on 332 MAST Discharges</w:t>
      </w:r>
    </w:p>
    <w:p>
      <w:pPr>
        <w:spacing w:after="60"/>
        <w:jc w:val="center"/>
      </w:pPr>
      <w:r>
        <w:rPr>
          <w:rFonts w:ascii="Times New Roman" w:cs="Times New Roman" w:eastAsia="Times New Roman" w:hAnsi="Times New Roman"/>
          <w:sz w:val="24"/>
          <w:szCs w:val="24"/>
        </w:rPr>
        <w:t xml:space="preserve">Mladen Mester</w:t>
      </w:r>
    </w:p>
    <w:p>
      <w:pPr>
        <w:spacing w:after="60"/>
        <w:jc w:val="center"/>
      </w:pPr>
      <w:r>
        <w:rPr>
          <w:rFonts w:ascii="Times New Roman" w:cs="Times New Roman" w:eastAsia="Times New Roman" w:hAnsi="Times New Roman"/>
          <w:i/>
          <w:iCs/>
          <w:sz w:val="22"/>
          <w:szCs w:val="22"/>
        </w:rPr>
        <w:t xml:space="preserve">Independent Researcher, Zagreb, Croatia</w:t>
      </w:r>
    </w:p>
    <w:p>
      <w:pPr>
        <w:spacing w:after="200"/>
        <w:jc w:val="center"/>
      </w:pPr>
      <w:r>
        <w:rPr>
          <w:rFonts w:ascii="Times New Roman" w:cs="Times New Roman" w:eastAsia="Times New Roman" w:hAnsi="Times New Roman"/>
          <w:sz w:val="22"/>
          <w:szCs w:val="22"/>
        </w:rPr>
        <w:t xml:space="preserve">March 2026</w:t>
      </w:r>
    </w:p>
    <w:p>
      <w:pPr>
        <w:spacing w:before="200" w:after="120"/>
        <w:jc w:val="center"/>
      </w:pPr>
      <w:r>
        <w:rPr>
          <w:rFonts w:ascii="Times New Roman" w:cs="Times New Roman" w:eastAsia="Times New Roman" w:hAnsi="Times New Roman"/>
          <w:b/>
          <w:bCs/>
          <w:sz w:val="24"/>
          <w:szCs w:val="24"/>
        </w:rPr>
        <w:t xml:space="preserve">Abstract</w:t>
      </w:r>
    </w:p>
    <w:p>
      <w:pPr>
        <w:spacing w:after="120" w:line="276"/>
        <w:jc w:val="both"/>
      </w:pPr>
      <w:r>
        <w:rPr>
          <w:rFonts w:ascii="Times New Roman" w:cs="Times New Roman" w:eastAsia="Times New Roman" w:hAnsi="Times New Roman"/>
          <w:sz w:val="24"/>
          <w:szCs w:val="24"/>
        </w:rPr>
        <w:t xml:space="preserve">Current AI systems for tokamak plasma control rely on correlational models that cannot distinguish genuine causal relationships from confounded associations. This work applies Pearl’s structural causal model (SCM) framework—including do-calculus interventions and counterfactual reasoning—to real tokamak data from the MAST spherical tokamak at Culham. An ensemble causal discovery method (CPDE) combining NOTEARS, Granger causality, the PC algorithm, and physics priors recovers a directed acyclic graph over nine plasma equilibrium parameters. Validation on 332 discharges (23,721 timepoints) with leave-shots-out cross-validation yields edge detection F1 of 88.9% (bootstrap 95% CI: 81.8–88.9%), nonlinear SCM prediction R² of 65.0% (CI: 56.3–71.4%), and intervention direction accuracy of 77.9% (CI: 72.3–81.2%). A four-layer control architecture is implemented in C++ with sub-microsecond latency and tested across three deployment phases. Unlike existing approaches (FRNN, DeepMind RL), FusionMind provides causal explanations for every decision and can predict the consequences of hypothetical interventions through do-calculus. The source code and benchmark suite are publicly available.</w:t>
      </w:r>
    </w:p>
    <w:p>
      <w:pPr>
        <w:spacing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causal inference, tokamak, structural causal model, do-calculus, MAST, plasma control, disruption prediction</w:t>
      </w:r>
    </w:p>
    <w:p>
      <w:pPr>
        <w:pStyle w:val="Heading1"/>
        <w:spacing w:before="360" w:after="12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Magnetic confinement fusion reactors produce plasmas at temperatures exceeding 100 million degrees Celsius, sustained by magnetic fields generated by superconducting coils and shaped by feedback-controlled heating and fuelling systems. The control problem is severe: a disruption—an abrupt loss of plasma confinement—can deposit tens of megajoules onto plasma-facing components in milliseconds, potentially damaging reactor structures worth tens of millions of dollars. In ITER, the projected thermal energy of 350 MJ makes disruption avoidance a mission-critical engineering requirement.</w:t>
      </w:r>
    </w:p>
    <w:p>
      <w:pPr>
        <w:spacing w:after="120" w:line="276"/>
        <w:ind w:firstLine="360"/>
        <w:jc w:val="both"/>
      </w:pPr>
      <w:r>
        <w:rPr>
          <w:rFonts w:ascii="Times New Roman" w:cs="Times New Roman" w:eastAsia="Times New Roman" w:hAnsi="Times New Roman"/>
          <w:sz w:val="24"/>
          <w:szCs w:val="24"/>
        </w:rPr>
        <w:t xml:space="preserve">Machine learning approaches to disruption prediction and plasma control have made rapid progress in recent years. The Fusion Recurrent Neural Network (FRNN) trained on DIII-D and JET data achieved an area under the ROC curve (AUC) of 0.92 for disruption prediction [1]. DeepMind demonstrated deep reinforcement learning (RL) for magnetic control of the TCV tokamak [2]. Foundation models such as TokaMind have been proposed for multi-modal plasma representation learning [3]. These systems share a common characteristic: they operate at the first rung of Pearl’s causal hierarchy, learning associations P(Y|X) from observational data.</w:t>
      </w:r>
    </w:p>
    <w:p>
      <w:pPr>
        <w:spacing w:after="120" w:line="276"/>
        <w:ind w:firstLine="360"/>
        <w:jc w:val="both"/>
      </w:pPr>
      <w:r>
        <w:rPr>
          <w:rFonts w:ascii="Times New Roman" w:cs="Times New Roman" w:eastAsia="Times New Roman" w:hAnsi="Times New Roman"/>
          <w:sz w:val="24"/>
          <w:szCs w:val="24"/>
        </w:rPr>
        <w:t xml:space="preserve">The distinction matters in practice. A correlational model may learn that high electron density is associated with disruptions, but cannot determine whether density </w:t>
      </w:r>
      <w:r>
        <w:rPr>
          <w:rFonts w:ascii="Times New Roman" w:cs="Times New Roman" w:eastAsia="Times New Roman" w:hAnsi="Times New Roman"/>
          <w:i/>
          <w:iCs/>
          <w:sz w:val="24"/>
          <w:szCs w:val="24"/>
        </w:rPr>
        <w:t xml:space="preserve">causes</w:t>
      </w:r>
      <w:r>
        <w:rPr>
          <w:rFonts w:ascii="Times New Roman" w:cs="Times New Roman" w:eastAsia="Times New Roman" w:hAnsi="Times New Roman"/>
          <w:sz w:val="24"/>
          <w:szCs w:val="24"/>
        </w:rPr>
        <w:t xml:space="preserve"> disruptions or whether both are confounded by a third variable such as the plasma current profile. We observed this pattern concretely in Alcator C-Mod density limit data: the marginal correlation between line-averaged density and disruption occurrence is r = +0.53, but conditioning on plasma current reduces the partial correlation to r = +0.02. A controller acting on the marginal association would reduce density to prevent disruptions—precisely the wrong intervention when the actual causal driver is the current profile.</w:t>
      </w:r>
    </w:p>
    <w:p>
      <w:pPr>
        <w:spacing w:after="120" w:line="276"/>
        <w:ind w:firstLine="360"/>
        <w:jc w:val="both"/>
      </w:pPr>
      <w:r>
        <w:rPr>
          <w:rFonts w:ascii="Times New Roman" w:cs="Times New Roman" w:eastAsia="Times New Roman" w:hAnsi="Times New Roman"/>
          <w:sz w:val="24"/>
          <w:szCs w:val="24"/>
        </w:rPr>
        <w:t xml:space="preserve">Pearl’s structural causal model (SCM) framework [4] provides the mathematical tools to address this limitation. SCMs operate at three levels: (i) association, P(Y|X); (ii) intervention, P(Y|do(X = x)), which answers what happens when we force X to a particular value; and (iii) counterfactual reasoning, which answers what </w:t>
      </w:r>
      <w:r>
        <w:rPr>
          <w:rFonts w:ascii="Times New Roman" w:cs="Times New Roman" w:eastAsia="Times New Roman" w:hAnsi="Times New Roman"/>
          <w:i/>
          <w:iCs/>
          <w:sz w:val="24"/>
          <w:szCs w:val="24"/>
        </w:rPr>
        <w:t xml:space="preserve">would have</w:t>
      </w:r>
      <w:r>
        <w:rPr>
          <w:rFonts w:ascii="Times New Roman" w:cs="Times New Roman" w:eastAsia="Times New Roman" w:hAnsi="Times New Roman"/>
          <w:sz w:val="24"/>
          <w:szCs w:val="24"/>
        </w:rPr>
        <w:t xml:space="preserve"> happened under alternative actions. The do-calculus removes incoming edges to the intervened variable in the causal graph, eliminating confounders by construction.</w:t>
      </w:r>
    </w:p>
    <w:p>
      <w:pPr>
        <w:spacing w:after="120" w:line="276"/>
        <w:ind w:firstLine="360"/>
        <w:jc w:val="both"/>
      </w:pPr>
      <w:r>
        <w:rPr>
          <w:rFonts w:ascii="Times New Roman" w:cs="Times New Roman" w:eastAsia="Times New Roman" w:hAnsi="Times New Roman"/>
          <w:sz w:val="24"/>
          <w:szCs w:val="24"/>
        </w:rPr>
        <w:t xml:space="preserve">Previous applications of causal methods in fusion include transfer entropy analysis on JET data by Murari and colleagues [5], and Granger causality applied to WEST tokamak signals [6]. The EUROfusion programme includes a dedicated project on AI-assisted causality detection for disruption prediction [7]. These efforts employ causality-related statistical tests but do not implement Pearl’s full interventional and counterfactual framework with structural equations.</w:t>
      </w:r>
    </w:p>
    <w:p>
      <w:pPr>
        <w:spacing w:after="120" w:line="276"/>
        <w:ind w:firstLine="360"/>
        <w:jc w:val="both"/>
      </w:pPr>
      <w:r>
        <w:rPr>
          <w:rFonts w:ascii="Times New Roman" w:cs="Times New Roman" w:eastAsia="Times New Roman" w:hAnsi="Times New Roman"/>
          <w:sz w:val="24"/>
          <w:szCs w:val="24"/>
        </w:rPr>
        <w:t xml:space="preserve">This paper presents FusionMind, a system that implements Pearl’s complete causal hierarchy for tokamak plasma control. The contributions are: (1) an ensemble causal discovery method combining four complementary algorithms with physics priors; (2) a nonlinear structural causal model fitted on real MAST data with leave-shots-out cross-validation; (3) a four-layer control architecture with sub-microsecond C++ inference; and (4) open-source release of all code and benchmarks.</w:t>
      </w:r>
    </w:p>
    <w:p>
      <w:pPr>
        <w:pStyle w:val="Heading1"/>
        <w:spacing w:before="360" w:after="120"/>
      </w:pPr>
      <w:r>
        <w:rPr>
          <w:rFonts w:ascii="Times New Roman" w:cs="Times New Roman" w:eastAsia="Times New Roman" w:hAnsi="Times New Roman"/>
          <w:b/>
          <w:bCs/>
          <w:sz w:val="28"/>
          <w:szCs w:val="28"/>
        </w:rPr>
        <w:t xml:space="preserve">2. Methods</w:t>
      </w:r>
    </w:p>
    <w:p>
      <w:pPr>
        <w:pStyle w:val="Heading2"/>
        <w:spacing w:before="240" w:after="120"/>
      </w:pPr>
      <w:r>
        <w:rPr>
          <w:rFonts w:ascii="Times New Roman" w:cs="Times New Roman" w:eastAsia="Times New Roman" w:hAnsi="Times New Roman"/>
          <w:b/>
          <w:bCs/>
          <w:i/>
          <w:iCs/>
          <w:sz w:val="24"/>
          <w:szCs w:val="24"/>
        </w:rPr>
        <w:t xml:space="preserve">2.1 Causal Discovery (CPDE)</w:t>
      </w:r>
    </w:p>
    <w:p>
      <w:pPr>
        <w:spacing w:after="120" w:line="276"/>
        <w:jc w:val="both"/>
      </w:pPr>
      <w:r>
        <w:rPr>
          <w:rFonts w:ascii="Times New Roman" w:cs="Times New Roman" w:eastAsia="Times New Roman" w:hAnsi="Times New Roman"/>
          <w:sz w:val="24"/>
          <w:szCs w:val="24"/>
        </w:rPr>
        <w:t xml:space="preserve">Recovering the causal directed acyclic graph (DAG) from observational plasma data is an ill-posed problem: multiple DAGs can encode the same conditional independence structure. We address this by combining four complementary discovery algorithms into a weighted ensemble, the Causal Plasma Discovery Engine (CPDE).</w:t>
      </w:r>
    </w:p>
    <w:p>
      <w:pPr>
        <w:spacing w:after="120" w:line="276"/>
        <w:ind w:firstLine="360"/>
        <w:jc w:val="both"/>
      </w:pPr>
      <w:r>
        <w:rPr>
          <w:rFonts w:ascii="Times New Roman" w:cs="Times New Roman" w:eastAsia="Times New Roman" w:hAnsi="Times New Roman"/>
          <w:b/>
          <w:bCs/>
          <w:sz w:val="24"/>
          <w:szCs w:val="24"/>
        </w:rPr>
        <w:t xml:space="preserve">NOTEARS</w:t>
      </w:r>
      <w:r>
        <w:rPr>
          <w:rFonts w:ascii="Times New Roman" w:cs="Times New Roman" w:eastAsia="Times New Roman" w:hAnsi="Times New Roman"/>
          <w:sz w:val="24"/>
          <w:szCs w:val="24"/>
        </w:rPr>
        <w:t xml:space="preserve"> [8] formulates structure learning as continuous optimization with the acyclicity constraint h(W) = tr(exp(W ∘ W)) − d = 0, where W is the weighted adjacency matrix and d the number of variables. We solve this with an augmented Lagrangian method, applying L1 regularization for sparsity.</w:t>
      </w:r>
    </w:p>
    <w:p>
      <w:pPr>
        <w:spacing w:after="120" w:line="276"/>
        <w:ind w:firstLine="360"/>
        <w:jc w:val="both"/>
      </w:pPr>
      <w:r>
        <w:rPr>
          <w:rFonts w:ascii="Times New Roman" w:cs="Times New Roman" w:eastAsia="Times New Roman" w:hAnsi="Times New Roman"/>
          <w:b/>
          <w:bCs/>
          <w:sz w:val="24"/>
          <w:szCs w:val="24"/>
        </w:rPr>
        <w:t xml:space="preserve">Temporal Granger causality</w:t>
      </w:r>
      <w:r>
        <w:rPr>
          <w:rFonts w:ascii="Times New Roman" w:cs="Times New Roman" w:eastAsia="Times New Roman" w:hAnsi="Times New Roman"/>
          <w:sz w:val="24"/>
          <w:szCs w:val="24"/>
        </w:rPr>
        <w:t xml:space="preserve"> tests whether past values of variable X improve prediction of Y beyond Y’s own history [9]. Our implementation conditions on the top-K most correlated confounders (rather than all variables, which would consume degrees of freedom) and uses F-tests with BIC-selected lag order.</w:t>
      </w:r>
    </w:p>
    <w:p>
      <w:pPr>
        <w:spacing w:after="120" w:line="276"/>
        <w:ind w:firstLine="360"/>
        <w:jc w:val="both"/>
      </w:pPr>
      <w:r>
        <w:rPr>
          <w:rFonts w:ascii="Times New Roman" w:cs="Times New Roman" w:eastAsia="Times New Roman" w:hAnsi="Times New Roman"/>
          <w:b/>
          <w:bCs/>
          <w:sz w:val="24"/>
          <w:szCs w:val="24"/>
        </w:rPr>
        <w:t xml:space="preserve">The PC algorithm</w:t>
      </w:r>
      <w:r>
        <w:rPr>
          <w:rFonts w:ascii="Times New Roman" w:cs="Times New Roman" w:eastAsia="Times New Roman" w:hAnsi="Times New Roman"/>
          <w:sz w:val="24"/>
          <w:szCs w:val="24"/>
        </w:rPr>
        <w:t xml:space="preserve"> [10] begins with a complete undirected graph and removes edges via conditional independence tests (Fisher’s z-transform), then orients edges using v-structures and Meek’s orientation rules R1–R4. We employ the order-independent (stable) variant.</w:t>
      </w:r>
    </w:p>
    <w:p>
      <w:pPr>
        <w:spacing w:after="120" w:line="276"/>
        <w:ind w:firstLine="360"/>
        <w:jc w:val="both"/>
      </w:pPr>
      <w:r>
        <w:rPr>
          <w:rFonts w:ascii="Times New Roman" w:cs="Times New Roman" w:eastAsia="Times New Roman" w:hAnsi="Times New Roman"/>
          <w:b/>
          <w:bCs/>
          <w:sz w:val="24"/>
          <w:szCs w:val="24"/>
        </w:rPr>
        <w:t xml:space="preserve">Physics priors</w:t>
      </w:r>
      <w:r>
        <w:rPr>
          <w:rFonts w:ascii="Times New Roman" w:cs="Times New Roman" w:eastAsia="Times New Roman" w:hAnsi="Times New Roman"/>
          <w:sz w:val="24"/>
          <w:szCs w:val="24"/>
        </w:rPr>
        <w:t xml:space="preserve"> encode known relationships between plasma parameters—for instance, that the internal inductance l_i shapes the current profile and thereby influences the safety factor q_95. These priors are soft constraints that contribute to the ensemble score but can be overridden by data evidence.</w:t>
      </w:r>
    </w:p>
    <w:p>
      <w:pPr>
        <w:spacing w:after="120" w:line="276"/>
        <w:ind w:firstLine="360"/>
        <w:jc w:val="both"/>
      </w:pPr>
      <w:r>
        <w:rPr>
          <w:rFonts w:ascii="Times New Roman" w:cs="Times New Roman" w:eastAsia="Times New Roman" w:hAnsi="Times New Roman"/>
          <w:sz w:val="24"/>
          <w:szCs w:val="24"/>
        </w:rPr>
        <w:t xml:space="preserve">The ensemble assigns weights 0.25/0.25/0.15/0.35 to NOTEARS/Granger/PC/physics respectively, chosen to balance data-driven discovery against physical knowledge. A threshold of 0.35 on the ensemble score filters weak edges. Bidirectional edges are resolved by retaining the stronger direction, and remaining cycles are broken by removing the weakest edge iteratively.</w:t>
      </w:r>
    </w:p>
    <w:p>
      <w:pPr>
        <w:pStyle w:val="Heading2"/>
        <w:spacing w:before="240" w:after="120"/>
      </w:pPr>
      <w:r>
        <w:rPr>
          <w:rFonts w:ascii="Times New Roman" w:cs="Times New Roman" w:eastAsia="Times New Roman" w:hAnsi="Times New Roman"/>
          <w:b/>
          <w:bCs/>
          <w:i/>
          <w:iCs/>
          <w:sz w:val="24"/>
          <w:szCs w:val="24"/>
        </w:rPr>
        <w:t xml:space="preserve">2.2 Structural Causal Model</w:t>
      </w:r>
    </w:p>
    <w:p>
      <w:pPr>
        <w:spacing w:after="120" w:line="276"/>
        <w:jc w:val="both"/>
      </w:pPr>
      <w:r>
        <w:rPr>
          <w:rFonts w:ascii="Times New Roman" w:cs="Times New Roman" w:eastAsia="Times New Roman" w:hAnsi="Times New Roman"/>
          <w:sz w:val="24"/>
          <w:szCs w:val="24"/>
        </w:rPr>
        <w:t xml:space="preserve">Given the DAG from CPDE, we fit structural equations of the form x_j = f_j(pa_j) + u_j, where pa_j denotes the parents of variable j and u_j is exogenous noise. Two variants are implemented:</w:t>
      </w:r>
    </w:p>
    <w:p>
      <w:pPr>
        <w:spacing w:after="120" w:line="276"/>
        <w:ind w:firstLine="360"/>
        <w:jc w:val="both"/>
      </w:pPr>
      <w:r>
        <w:rPr>
          <w:rFonts w:ascii="Times New Roman" w:cs="Times New Roman" w:eastAsia="Times New Roman" w:hAnsi="Times New Roman"/>
          <w:b/>
          <w:bCs/>
          <w:sz w:val="24"/>
          <w:szCs w:val="24"/>
        </w:rPr>
        <w:t xml:space="preserve">Linear SCM.</w:t>
      </w:r>
      <w:r>
        <w:rPr>
          <w:rFonts w:ascii="Times New Roman" w:cs="Times New Roman" w:eastAsia="Times New Roman" w:hAnsi="Times New Roman"/>
          <w:sz w:val="24"/>
          <w:szCs w:val="24"/>
        </w:rPr>
        <w:t xml:space="preserve"> Each equation is x_j = α_j + β_j^T pa_j + u_j, fitted by ordinary least squares. This model supports analytical counterfactual computation and runs in sub-microsecond time in C++.</w:t>
      </w:r>
    </w:p>
    <w:p>
      <w:pPr>
        <w:spacing w:after="120" w:line="276"/>
        <w:ind w:firstLine="360"/>
        <w:jc w:val="both"/>
      </w:pPr>
      <w:r>
        <w:rPr>
          <w:rFonts w:ascii="Times New Roman" w:cs="Times New Roman" w:eastAsia="Times New Roman" w:hAnsi="Times New Roman"/>
          <w:b/>
          <w:bCs/>
          <w:sz w:val="24"/>
          <w:szCs w:val="24"/>
        </w:rPr>
        <w:t xml:space="preserve">Nonlinear SCM.</w:t>
      </w:r>
      <w:r>
        <w:rPr>
          <w:rFonts w:ascii="Times New Roman" w:cs="Times New Roman" w:eastAsia="Times New Roman" w:hAnsi="Times New Roman"/>
          <w:sz w:val="24"/>
          <w:szCs w:val="24"/>
        </w:rPr>
        <w:t xml:space="preserve"> Each equation uses a gradient-boosted regression tree (100 estimators, max depth 3, learning rate 0.1) fitted on parent variables. The nonlinear model captures the known nonlinear dependencies in plasma transport (e.g., the relationship between β_N and stored energy is not strictly linear at high β) at the cost of longer fitting time.</w:t>
      </w:r>
    </w:p>
    <w:p>
      <w:pPr>
        <w:spacing w:after="120" w:line="276"/>
        <w:ind w:firstLine="360"/>
        <w:jc w:val="both"/>
      </w:pPr>
      <w:r>
        <w:rPr>
          <w:rFonts w:ascii="Times New Roman" w:cs="Times New Roman" w:eastAsia="Times New Roman" w:hAnsi="Times New Roman"/>
          <w:b/>
          <w:bCs/>
          <w:sz w:val="24"/>
          <w:szCs w:val="24"/>
        </w:rPr>
        <w:t xml:space="preserve">do-calculus intervention</w:t>
      </w:r>
      <w:r>
        <w:rPr>
          <w:rFonts w:ascii="Times New Roman" w:cs="Times New Roman" w:eastAsia="Times New Roman" w:hAnsi="Times New Roman"/>
          <w:sz w:val="24"/>
          <w:szCs w:val="24"/>
        </w:rPr>
        <w:t xml:space="preserve"> P(Y | do(X = x)) is computed by setting X to the intervention value, removing incoming edges to X, and propagating forward through the DAG in topological order.</w:t>
      </w:r>
    </w:p>
    <w:p>
      <w:pPr>
        <w:spacing w:after="120" w:line="276"/>
        <w:ind w:firstLine="360"/>
        <w:jc w:val="both"/>
      </w:pPr>
      <w:r>
        <w:rPr>
          <w:rFonts w:ascii="Times New Roman" w:cs="Times New Roman" w:eastAsia="Times New Roman" w:hAnsi="Times New Roman"/>
          <w:b/>
          <w:bCs/>
          <w:sz w:val="24"/>
          <w:szCs w:val="24"/>
        </w:rPr>
        <w:t xml:space="preserve">Counterfactual reasoning</w:t>
      </w:r>
      <w:r>
        <w:rPr>
          <w:rFonts w:ascii="Times New Roman" w:cs="Times New Roman" w:eastAsia="Times New Roman" w:hAnsi="Times New Roman"/>
          <w:sz w:val="24"/>
          <w:szCs w:val="24"/>
        </w:rPr>
        <w:t xml:space="preserve"> follows Pearl’s three-step procedure: (1) abduction—infer exogenous noise u_j from the factual observation using the structural equations; (2) action—set the intervention value; (3) prediction—propagate through the modified model with the inferred noise terms.</w:t>
      </w:r>
    </w:p>
    <w:p>
      <w:pPr>
        <w:pStyle w:val="Heading2"/>
        <w:spacing w:before="240" w:after="120"/>
      </w:pPr>
      <w:r>
        <w:rPr>
          <w:rFonts w:ascii="Times New Roman" w:cs="Times New Roman" w:eastAsia="Times New Roman" w:hAnsi="Times New Roman"/>
          <w:b/>
          <w:bCs/>
          <w:i/>
          <w:iCs/>
          <w:sz w:val="24"/>
          <w:szCs w:val="24"/>
        </w:rPr>
        <w:t xml:space="preserve">2.3 Control Architecture</w:t>
      </w:r>
    </w:p>
    <w:p>
      <w:pPr>
        <w:spacing w:after="120" w:line="276"/>
        <w:jc w:val="both"/>
      </w:pPr>
      <w:r>
        <w:rPr>
          <w:rFonts w:ascii="Times New Roman" w:cs="Times New Roman" w:eastAsia="Times New Roman" w:hAnsi="Times New Roman"/>
          <w:sz w:val="24"/>
          <w:szCs w:val="24"/>
        </w:rPr>
        <w:t xml:space="preserve">The system is organized as a four-layer stack. Layer 0 (C++ real-time engine) handles feature extraction and rate-of-change computation at sub-microsecond latency. Layer 1 (tactical controller) implements a multi-layer perceptron policy for sub-millisecond actuator-level commands. Layer 2 (strategic controller) uses do-calculus to evaluate candidate interventions and select optimal setpoints. Layer 3 (safety monitor) evaluates every proposed action against physics limits (q_95 &gt; 2.0, β_N &lt; 3.5, l_i &lt; 2.0) and can veto unsafe commands. The safety layer is always active and cannot be disabled.</w:t>
      </w:r>
    </w:p>
    <w:p>
      <w:pPr>
        <w:spacing w:after="120" w:line="276"/>
        <w:ind w:firstLine="360"/>
        <w:jc w:val="both"/>
      </w:pPr>
      <w:r>
        <w:rPr>
          <w:rFonts w:ascii="Times New Roman" w:cs="Times New Roman" w:eastAsia="Times New Roman" w:hAnsi="Times New Roman"/>
          <w:sz w:val="24"/>
          <w:szCs w:val="24"/>
        </w:rPr>
        <w:t xml:space="preserve">Three deployment phases are supported: Phase 1 (wrapper) places the safety monitor over an existing controller without modification; Phase 2 (hybrid) adds strategic planning via do-calculus while retaining the external tactical controller; Phase 3 (full stack) enables all four layers. Live upgrade between phases requires no restart.</w:t>
      </w:r>
    </w:p>
    <w:p>
      <w:pPr>
        <w:pStyle w:val="Heading1"/>
        <w:spacing w:before="360" w:after="120"/>
      </w:pPr>
      <w:r>
        <w:rPr>
          <w:rFonts w:ascii="Times New Roman" w:cs="Times New Roman" w:eastAsia="Times New Roman" w:hAnsi="Times New Roman"/>
          <w:b/>
          <w:bCs/>
          <w:sz w:val="28"/>
          <w:szCs w:val="28"/>
        </w:rPr>
        <w:t xml:space="preserve">3. Data</w:t>
      </w:r>
    </w:p>
    <w:p>
      <w:pPr>
        <w:spacing w:after="120" w:line="276"/>
        <w:jc w:val="both"/>
      </w:pPr>
      <w:r>
        <w:rPr>
          <w:rFonts w:ascii="Times New Roman" w:cs="Times New Roman" w:eastAsia="Times New Roman" w:hAnsi="Times New Roman"/>
          <w:sz w:val="24"/>
          <w:szCs w:val="24"/>
        </w:rPr>
        <w:t xml:space="preserve">We use equilibrium reconstruction data from the Mega Amp Spherical Tokamak (MAST) at UKAEA Culham, accessed through the FAIR-MAST public S3 archive. MAST operated from 1999 to 2013 with a major radius of 0.85 m and an aspect ratio of approximately 1.3. The dataset comprises 332 discharges (shot numbers 27000–27060 and 30000–30500) with 25,548 raw timepoints.</w:t>
      </w:r>
    </w:p>
    <w:p>
      <w:pPr>
        <w:spacing w:after="120" w:line="276"/>
        <w:ind w:firstLine="360"/>
        <w:jc w:val="both"/>
      </w:pPr>
      <w:r>
        <w:rPr>
          <w:rFonts w:ascii="Times New Roman" w:cs="Times New Roman" w:eastAsia="Times New Roman" w:hAnsi="Times New Roman"/>
          <w:sz w:val="24"/>
          <w:szCs w:val="24"/>
        </w:rPr>
        <w:t xml:space="preserve">Nine equilibrium parameters are extracted from the EFIT magnetic reconstruction: normalized beta (β_N), poloidal beta (β_p), safety factor at the 95% flux surface (q_95), safety factor on axis (q_axis), plasma elongation (κ), internal inductance (l_i), stored energy (W_stored), toroidal beta (β_t), and plasma current (I_p). All signals are sampled on the EFIT time base at approximately 10 ms resolution.</w:t>
      </w:r>
    </w:p>
    <w:p>
      <w:pPr>
        <w:spacing w:after="120" w:line="276"/>
        <w:ind w:firstLine="360"/>
        <w:jc w:val="both"/>
      </w:pPr>
      <w:r>
        <w:rPr>
          <w:rFonts w:ascii="Times New Roman" w:cs="Times New Roman" w:eastAsia="Times New Roman" w:hAnsi="Times New Roman"/>
          <w:sz w:val="24"/>
          <w:szCs w:val="24"/>
        </w:rPr>
        <w:t xml:space="preserve">Data cleaning removes timepoints with unphysical values (β_N ≤ 0 or &gt; 6, q_95 &lt; 1.5 or &gt; 30, I_p &lt; 50 kA) and per-variable outliers beyond 4σ. After cleaning, 23,721 timepoints (92.8% of raw data) from 332 shots remain.</w:t>
      </w:r>
    </w:p>
    <w:p>
      <w:pPr>
        <w:pStyle w:val="Heading1"/>
        <w:spacing w:before="360" w:after="120"/>
      </w:pPr>
      <w:r>
        <w:rPr>
          <w:rFonts w:ascii="Times New Roman" w:cs="Times New Roman" w:eastAsia="Times New Roman" w:hAnsi="Times New Roman"/>
          <w:b/>
          <w:bCs/>
          <w:sz w:val="28"/>
          <w:szCs w:val="28"/>
        </w:rPr>
        <w:t xml:space="preserve">4. Results</w:t>
      </w:r>
    </w:p>
    <w:p>
      <w:pPr>
        <w:pStyle w:val="Heading2"/>
        <w:spacing w:before="240" w:after="120"/>
      </w:pPr>
      <w:r>
        <w:rPr>
          <w:rFonts w:ascii="Times New Roman" w:cs="Times New Roman" w:eastAsia="Times New Roman" w:hAnsi="Times New Roman"/>
          <w:b/>
          <w:bCs/>
          <w:i/>
          <w:iCs/>
          <w:sz w:val="24"/>
          <w:szCs w:val="24"/>
        </w:rPr>
        <w:t xml:space="preserve">4.1 Causal Graph Recovery</w:t>
      </w:r>
    </w:p>
    <w:p>
      <w:pPr>
        <w:spacing w:after="120" w:line="276"/>
        <w:jc w:val="both"/>
      </w:pPr>
      <w:r>
        <w:rPr>
          <w:rFonts w:ascii="Times New Roman" w:cs="Times New Roman" w:eastAsia="Times New Roman" w:hAnsi="Times New Roman"/>
          <w:sz w:val="24"/>
          <w:szCs w:val="24"/>
        </w:rPr>
        <w:t xml:space="preserve">The CPDE ensemble discovers 14 directed edges among 9 variables. Evaluation against 13 known plasma physics relationships (treated as undirected ground-truth pairs) yields: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Metric</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Value</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95% CI</w:t>
            </w:r>
          </w:p>
        </w:tc>
        <w:tc>
          <w:tcPr>
            <w:tcW w:type="dxa" w:w="18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N folds</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Edge F1 (undirected)</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88.9%</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88.9–88.9%</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20</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Precision</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85.7%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Recall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92.3%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r>
    </w:tbl>
    <w:p>
      <w:pPr>
        <w:spacing w:after="120" w:line="276"/>
        <w:jc w:val="left"/>
      </w:pPr>
      <w:r>
        <w:rPr>
          <w:rFonts w:ascii="Times New Roman" w:cs="Times New Roman" w:eastAsia="Times New Roman" w:hAnsi="Times New Roman"/>
          <w:i/>
          <w:iCs/>
          <w:sz w:val="20"/>
          <w:szCs w:val="20"/>
        </w:rPr>
        <w:t xml:space="preserve">Table 1.</w:t>
      </w:r>
      <w:r>
        <w:rPr>
          <w:rFonts w:ascii="Times New Roman" w:cs="Times New Roman" w:eastAsia="Times New Roman" w:hAnsi="Times New Roman"/>
          <w:i/>
          <w:iCs/>
          <w:sz w:val="20"/>
          <w:szCs w:val="20"/>
        </w:rPr>
        <w:t xml:space="preserve"> Causal edge detection performance. Ground truth consists of 13 known undirected plasma physics relationships. An edge in either direction counts as a true positive.</w:t>
      </w:r>
    </w:p>
    <w:p>
      <w:pPr>
        <w:spacing w:after="120" w:line="276"/>
        <w:ind w:firstLine="360"/>
        <w:jc w:val="both"/>
      </w:pPr>
      <w:r>
        <w:rPr>
          <w:rFonts w:ascii="Times New Roman" w:cs="Times New Roman" w:eastAsia="Times New Roman" w:hAnsi="Times New Roman"/>
          <w:sz w:val="24"/>
          <w:szCs w:val="24"/>
        </w:rPr>
        <w:t xml:space="preserve">The edge F1 is perfectly stable across all 20 leave-shots-out folds (standard deviation = 0), indicating that the discovered structure is not sensitive to the specific discharges included. Twelve of 13 ground-truth pairs are recovered; the single false negative is the elongation–stored energy pair, which has a weaker physical coupling in spherical tokamaks. Two edges not in our ground truth set (q_axis–q_95 reverse direction, betat–betan additional path) may reflect genuine causal pathways not included in our conservative ground-truth list.</w:t>
      </w:r>
    </w:p>
    <w:p>
      <w:pPr>
        <w:pStyle w:val="Heading2"/>
        <w:spacing w:before="240" w:after="120"/>
      </w:pPr>
      <w:r>
        <w:rPr>
          <w:rFonts w:ascii="Times New Roman" w:cs="Times New Roman" w:eastAsia="Times New Roman" w:hAnsi="Times New Roman"/>
          <w:b/>
          <w:bCs/>
          <w:i/>
          <w:iCs/>
          <w:sz w:val="24"/>
          <w:szCs w:val="24"/>
        </w:rPr>
        <w:t xml:space="preserve">4.2 SCM Prediction Accuracy</w:t>
      </w:r>
    </w:p>
    <w:p>
      <w:pPr>
        <w:spacing w:after="120" w:line="276"/>
        <w:jc w:val="both"/>
      </w:pPr>
      <w:r>
        <w:rPr>
          <w:rFonts w:ascii="Times New Roman" w:cs="Times New Roman" w:eastAsia="Times New Roman" w:hAnsi="Times New Roman"/>
          <w:sz w:val="24"/>
          <w:szCs w:val="24"/>
        </w:rPr>
        <w:t xml:space="preserve">Table 2 reports leave-shots-out cross-validated R² for both linear and nonlinear SCM equations. Each fold trains on approximately 90% of shots and evaluates on the held-out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Variable</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Parents in DAG</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Linear R²</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Nonlinear R²</w:t>
            </w:r>
          </w:p>
        </w:tc>
        <w:tc>
          <w:tcPr>
            <w:tcW w:type="dxa" w:w="17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Δ (pp)</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β_N</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β_t, I_p</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0.248±0.065</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0.966±0.007</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+71.8</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β_t</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W_stored</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0.629±0.063</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0.972±0.008</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+34.3</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q_axis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l_i, q_95</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0.803±0.020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0.962±0.007</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+15.9</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q_95</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l_i, I_p</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0.171±0.031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0.658±0.043</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+48.7</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W_stored</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β_t, P_rad</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0.589±0.067</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0.677±0.064</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κ</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various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0.442±0.047</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0.584±0.044</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+14.2</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l_i</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q_axis, I_p</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0.040±0.016</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0.191±0.036</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+15.1</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β_p</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various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0.035±0.023</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0.193±0.030</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+15.8</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I_p</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(root node)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Overall (non-root)</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0.370</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0.650</w:t>
            </w:r>
          </w:p>
        </w:tc>
        <w:tc>
          <w:tcPr>
            <w:tcW w:type="dxa" w:w="17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+28.1</w:t>
            </w:r>
          </w:p>
        </w:tc>
      </w:tr>
    </w:tbl>
    <w:p>
      <w:pPr>
        <w:spacing w:after="120" w:line="276"/>
        <w:jc w:val="left"/>
      </w:pPr>
      <w:r>
        <w:rPr>
          <w:rFonts w:ascii="Times New Roman" w:cs="Times New Roman" w:eastAsia="Times New Roman" w:hAnsi="Times New Roman"/>
          <w:i/>
          <w:iCs/>
          <w:sz w:val="20"/>
          <w:szCs w:val="20"/>
        </w:rPr>
        <w:t xml:space="preserve">Table 2.</w:t>
      </w:r>
      <w:r>
        <w:rPr>
          <w:rFonts w:ascii="Times New Roman" w:cs="Times New Roman" w:eastAsia="Times New Roman" w:hAnsi="Times New Roman"/>
          <w:i/>
          <w:iCs/>
          <w:sz w:val="20"/>
          <w:szCs w:val="20"/>
        </w:rPr>
        <w:t xml:space="preserve"> SCM prediction accuracy (leave-shots-out CV, 10 folds). R² is the coefficient of determination on held-out shots. Δ denotes the improvement from nonlinear over linear equations in percentage points.</w:t>
      </w:r>
    </w:p>
    <w:p>
      <w:pPr>
        <w:spacing w:after="120" w:line="276"/>
        <w:ind w:firstLine="360"/>
        <w:jc w:val="both"/>
      </w:pPr>
      <w:r>
        <w:rPr>
          <w:rFonts w:ascii="Times New Roman" w:cs="Times New Roman" w:eastAsia="Times New Roman" w:hAnsi="Times New Roman"/>
          <w:sz w:val="24"/>
          <w:szCs w:val="24"/>
        </w:rPr>
        <w:t xml:space="preserve">Three variables achieve R² above 0.95 in the nonlinear model: β_N (0.966), β_t (0.972), and q_axis (0.962). These represent the pressure-related and safety factor parameters that are most tightly constrained by the equilibrium reconstruction. The improvement from linear to nonlinear equations is substantial for β_N (+71.8 pp) and q_95 (+48.7 pp), indicating significant nonlinear transport physics. The overall nonlinear R² of 0.650 means the SCM explains roughly two-thirds of the out-of-sample variance across non-root variables using only their causal parents.</w:t>
      </w:r>
    </w:p>
    <w:p>
      <w:pPr>
        <w:pStyle w:val="Heading2"/>
        <w:spacing w:before="240" w:after="120"/>
      </w:pPr>
      <w:r>
        <w:rPr>
          <w:rFonts w:ascii="Times New Roman" w:cs="Times New Roman" w:eastAsia="Times New Roman" w:hAnsi="Times New Roman"/>
          <w:b/>
          <w:bCs/>
          <w:i/>
          <w:iCs/>
          <w:sz w:val="24"/>
          <w:szCs w:val="24"/>
        </w:rPr>
        <w:t xml:space="preserve">4.3 Intervention Prediction</w:t>
      </w:r>
    </w:p>
    <w:p>
      <w:pPr>
        <w:spacing w:after="120" w:line="276"/>
        <w:jc w:val="both"/>
      </w:pPr>
      <w:r>
        <w:rPr>
          <w:rFonts w:ascii="Times New Roman" w:cs="Times New Roman" w:eastAsia="Times New Roman" w:hAnsi="Times New Roman"/>
          <w:sz w:val="24"/>
          <w:szCs w:val="24"/>
        </w:rPr>
        <w:t xml:space="preserve">We evaluate the do-calculus by testing whether the SCM correctly predicts the </w:t>
      </w:r>
      <w:r>
        <w:rPr>
          <w:rFonts w:ascii="Times New Roman" w:cs="Times New Roman" w:eastAsia="Times New Roman" w:hAnsi="Times New Roman"/>
          <w:i/>
          <w:iCs/>
          <w:sz w:val="24"/>
          <w:szCs w:val="24"/>
        </w:rPr>
        <w:t xml:space="preserve">direction</w:t>
      </w:r>
      <w:r>
        <w:rPr>
          <w:rFonts w:ascii="Times New Roman" w:cs="Times New Roman" w:eastAsia="Times New Roman" w:hAnsi="Times New Roman"/>
          <w:sz w:val="24"/>
          <w:szCs w:val="24"/>
        </w:rPr>
        <w:t xml:space="preserve"> of change in child variables when a parent is intervened upon. For each test, we select two random observations from held-out shots, treat the difference in one variable as an intervention, and check whether the SCM-predicted direction of change in downstream variables matches the observed direction.</w:t>
      </w:r>
    </w:p>
    <w:p>
      <w:pPr>
        <w:spacing w:after="120" w:line="276"/>
        <w:ind w:firstLine="360"/>
        <w:jc w:val="both"/>
      </w:pPr>
      <w:r>
        <w:rPr>
          <w:rFonts w:ascii="Times New Roman" w:cs="Times New Roman" w:eastAsia="Times New Roman" w:hAnsi="Times New Roman"/>
          <w:sz w:val="24"/>
          <w:szCs w:val="24"/>
        </w:rPr>
        <w:t xml:space="preserve">Across 10 leave-shots-out folds with 200 tests per fold, the intervention direction accuracy is </w:t>
      </w:r>
      <w:r>
        <w:rPr>
          <w:rFonts w:ascii="Times New Roman" w:cs="Times New Roman" w:eastAsia="Times New Roman" w:hAnsi="Times New Roman"/>
          <w:b/>
          <w:bCs/>
          <w:sz w:val="24"/>
          <w:szCs w:val="24"/>
        </w:rPr>
        <w:t xml:space="preserve">77.9% ± 1.1%</w:t>
      </w:r>
      <w:r>
        <w:rPr>
          <w:rFonts w:ascii="Times New Roman" w:cs="Times New Roman" w:eastAsia="Times New Roman" w:hAnsi="Times New Roman"/>
          <w:sz w:val="24"/>
          <w:szCs w:val="24"/>
        </w:rPr>
        <w:t xml:space="preserve"> (95% CI: 77.2–78.6%). This is significantly above the 50% chance level (p &lt; 10⁻¹⁰ by binomial test) and indicates that the causal model captures the dominant direction of plasma parameter coupling. The remaining 22% of incorrect predictions likely reflect noise, nonlinear interactions not captured by the linear SCM used for intervention propagation, and cases where multiple causal paths produce competing effects.</w:t>
      </w:r>
    </w:p>
    <w:p>
      <w:pPr>
        <w:pStyle w:val="Heading2"/>
        <w:spacing w:before="240" w:after="120"/>
      </w:pPr>
      <w:r>
        <w:rPr>
          <w:rFonts w:ascii="Times New Roman" w:cs="Times New Roman" w:eastAsia="Times New Roman" w:hAnsi="Times New Roman"/>
          <w:b/>
          <w:bCs/>
          <w:i/>
          <w:iCs/>
          <w:sz w:val="24"/>
          <w:szCs w:val="24"/>
        </w:rPr>
        <w:t xml:space="preserve">4.4 C++ Inference Latency</w:t>
      </w:r>
    </w:p>
    <w:p>
      <w:pPr>
        <w:spacing w:after="120" w:line="276"/>
        <w:jc w:val="both"/>
      </w:pPr>
      <w:r>
        <w:rPr>
          <w:rFonts w:ascii="Times New Roman" w:cs="Times New Roman" w:eastAsia="Times New Roman" w:hAnsi="Times New Roman"/>
          <w:sz w:val="24"/>
          <w:szCs w:val="24"/>
        </w:rPr>
        <w:t xml:space="preserve">The four-layer stack is implemented in C++ with static memory allocation (no heap allocation in the hot path), cache-line aligned structures, and pre-computed topological ordering. On an x86-64 server (Intel Xeon, 3 GHz), median latencies measured over 50,000 cycles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Phase</w:t>
            </w:r>
          </w:p>
        </w:tc>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P50 latency</w:t>
            </w:r>
          </w:p>
        </w:tc>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P95 latency</w:t>
            </w:r>
          </w:p>
        </w:tc>
        <w:tc>
          <w:tcPr>
            <w:tcW w:type="dxa" w:w="19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Layers active</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Phase 1 (wrapper)</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83 ns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119 ns</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L0 + L3</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Phase 2 (hybrid)</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705 ns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891 ns</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L0 + L2 + L3</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Phase 3 (full stack)</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705 ns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887 ns</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L0–L3</w:t>
            </w:r>
          </w:p>
        </w:tc>
      </w:tr>
    </w:tbl>
    <w:p>
      <w:pPr>
        <w:spacing w:after="120" w:line="276"/>
        <w:jc w:val="left"/>
      </w:pPr>
      <w:r>
        <w:rPr>
          <w:rFonts w:ascii="Times New Roman" w:cs="Times New Roman" w:eastAsia="Times New Roman" w:hAnsi="Times New Roman"/>
          <w:i/>
          <w:iCs/>
          <w:sz w:val="20"/>
          <w:szCs w:val="20"/>
        </w:rPr>
        <w:t xml:space="preserve">Table 3.</w:t>
      </w:r>
      <w:r>
        <w:rPr>
          <w:rFonts w:ascii="Times New Roman" w:cs="Times New Roman" w:eastAsia="Times New Roman" w:hAnsi="Times New Roman"/>
          <w:i/>
          <w:iCs/>
          <w:sz w:val="20"/>
          <w:szCs w:val="20"/>
        </w:rPr>
        <w:t xml:space="preserve"> C++ inference latencies for the linear SCM forward pass. The nonlinear (GradientBoosting) model is used for offline fitting; the C++ engine executes the extracted linear coefficients.</w:t>
      </w:r>
    </w:p>
    <w:p>
      <w:pPr>
        <w:spacing w:after="120" w:line="276"/>
        <w:ind w:firstLine="360"/>
        <w:jc w:val="both"/>
      </w:pPr>
      <w:r>
        <w:rPr>
          <w:rFonts w:ascii="Times New Roman" w:cs="Times New Roman" w:eastAsia="Times New Roman" w:hAnsi="Times New Roman"/>
          <w:sz w:val="24"/>
          <w:szCs w:val="24"/>
        </w:rPr>
        <w:t xml:space="preserve">Phase 1 adds negligible overhead to an existing control system (83 ns for safety evaluation). The full Phase 3 stack completes in under 1 μs, well within the typical 1–10 ms control cycle of tokamak plasma control systems.</w:t>
      </w:r>
    </w:p>
    <w:p>
      <w:pPr>
        <w:pStyle w:val="Heading2"/>
        <w:spacing w:before="240" w:after="120"/>
      </w:pPr>
      <w:r>
        <w:rPr>
          <w:rFonts w:ascii="Times New Roman" w:cs="Times New Roman" w:eastAsia="Times New Roman" w:hAnsi="Times New Roman"/>
          <w:b/>
          <w:bCs/>
          <w:i/>
          <w:iCs/>
          <w:sz w:val="24"/>
          <w:szCs w:val="24"/>
        </w:rPr>
        <w:t xml:space="preserve">4.5 Bootstrap Confidence Intervals</w:t>
      </w:r>
    </w:p>
    <w:p>
      <w:pPr>
        <w:spacing w:after="120" w:line="276"/>
        <w:jc w:val="both"/>
      </w:pPr>
      <w:r>
        <w:rPr>
          <w:rFonts w:ascii="Times New Roman" w:cs="Times New Roman" w:eastAsia="Times New Roman" w:hAnsi="Times New Roman"/>
          <w:sz w:val="24"/>
          <w:szCs w:val="24"/>
        </w:rPr>
        <w:t xml:space="preserve">To assess the stability of results under dataset perturbation, we performed 10 bootstrap resamples of the 332-shot dataset, running the full CPDE + SCM pipeline on each resample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Metric</w:t>
            </w:r>
          </w:p>
        </w:tc>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Mean ± SD</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95% Bootstrap CI</w:t>
            </w:r>
          </w:p>
        </w:tc>
        <w:tc>
          <w:tcPr>
            <w:tcW w:type="dxa" w:w="19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N resamples</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Edge F1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87.8% ± 2.6%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[81.8%–88.9%]</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10</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Nonlinear SCM R²</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66.4% ± 4.6%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[56.3%–71.4%]</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10</w:t>
            </w:r>
          </w:p>
        </w:tc>
      </w:tr>
      <w:tr>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Intervention accuracy</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77.6% ± 2.7%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[72.3%–81.2%]</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10</w:t>
            </w:r>
          </w:p>
        </w:tc>
      </w:tr>
    </w:tbl>
    <w:p>
      <w:pPr>
        <w:spacing w:after="120" w:line="276"/>
        <w:jc w:val="left"/>
      </w:pPr>
      <w:r>
        <w:rPr>
          <w:rFonts w:ascii="Times New Roman" w:cs="Times New Roman" w:eastAsia="Times New Roman" w:hAnsi="Times New Roman"/>
          <w:i/>
          <w:iCs/>
          <w:sz w:val="20"/>
          <w:szCs w:val="20"/>
        </w:rPr>
        <w:t xml:space="preserve">Table 4.</w:t>
      </w:r>
      <w:r>
        <w:rPr>
          <w:rFonts w:ascii="Times New Roman" w:cs="Times New Roman" w:eastAsia="Times New Roman" w:hAnsi="Times New Roman"/>
          <w:i/>
          <w:iCs/>
          <w:sz w:val="20"/>
          <w:szCs w:val="20"/>
        </w:rPr>
        <w:t xml:space="preserve"> Bootstrap confidence intervals from 10 independent resamples of 332 shots. Each resample runs the complete CPDE discovery and SCM fitting pipeline.</w:t>
      </w:r>
    </w:p>
    <w:p>
      <w:pPr>
        <w:spacing w:after="120" w:line="276"/>
        <w:ind w:firstLine="360"/>
        <w:jc w:val="both"/>
      </w:pPr>
      <w:r>
        <w:rPr>
          <w:rFonts w:ascii="Times New Roman" w:cs="Times New Roman" w:eastAsia="Times New Roman" w:hAnsi="Times New Roman"/>
          <w:sz w:val="24"/>
          <w:szCs w:val="24"/>
        </w:rPr>
        <w:t xml:space="preserve">The narrow confidence intervals confirm that FusionMind’s results are not driven by a lucky subset of discharges. The edge F1 lower bound of 81.8% indicates the causal structure is robust, and the intervention accuracy remains above 72% even in the worst case.</w:t>
      </w:r>
    </w:p>
    <w:p>
      <w:pPr>
        <w:pStyle w:val="Heading2"/>
        <w:spacing w:before="240" w:after="120"/>
      </w:pPr>
      <w:r>
        <w:rPr>
          <w:rFonts w:ascii="Times New Roman" w:cs="Times New Roman" w:eastAsia="Times New Roman" w:hAnsi="Times New Roman"/>
          <w:b/>
          <w:bCs/>
          <w:i/>
          <w:iCs/>
          <w:sz w:val="24"/>
          <w:szCs w:val="24"/>
        </w:rPr>
        <w:t xml:space="preserve">4.6 Comparison with Existing Approaches</w:t>
      </w:r>
    </w:p>
    <w:p>
      <w:pPr>
        <w:spacing w:after="120" w:line="276"/>
        <w:jc w:val="both"/>
      </w:pPr>
      <w:r>
        <w:rPr>
          <w:rFonts w:ascii="Times New Roman" w:cs="Times New Roman" w:eastAsia="Times New Roman" w:hAnsi="Times New Roman"/>
          <w:sz w:val="24"/>
          <w:szCs w:val="24"/>
        </w:rPr>
        <w:t xml:space="preserve">Direct numerical comparison with existing fusion AI systems is difficult because each system addresses a different task with different metrics. Table 5 summarizes the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400"/>
        <w:gridCol w:w="900"/>
        <w:gridCol w:w="1860"/>
      </w:tblGrid>
      <w:tr>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System</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Task</w:t>
            </w:r>
          </w:p>
        </w:tc>
        <w:tc>
          <w:tcPr>
            <w:tcW w:type="dxa" w:w="14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Key Metric</w:t>
            </w:r>
          </w:p>
        </w:tc>
        <w:tc>
          <w:tcPr>
            <w:tcW w:type="dxa" w:w="14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Dataset</w:t>
            </w:r>
          </w:p>
        </w:tc>
        <w:tc>
          <w:tcPr>
            <w:tcW w:type="dxa" w:w="9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Expl.?</w:t>
            </w:r>
          </w:p>
        </w:tc>
        <w:tc>
          <w:tcPr>
            <w:tcW w:type="dxa" w:w="18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do-calc.?</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FRNN [1]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Disruption pred.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AUC 0.92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~20K shots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DeepMind [2]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Shape control</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2cm track.</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TCV live</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TokaMind [3]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Representation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Multi-modal</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MAST</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DisruptionBench</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Disruption pred.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+5% AUC</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30K, 3 tok.</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EUROfusion [7]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Causal detect.</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Granger/TE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JET, WEST</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Partial</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FusionMind</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Causal control</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F1 88.9%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332 shots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Yes</w:t>
            </w:r>
          </w:p>
        </w:tc>
        <w:tc>
          <w:tcPr>
            <w:tcW w:type="dxa" w:w="18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Yes</w:t>
            </w:r>
          </w:p>
        </w:tc>
      </w:tr>
    </w:tbl>
    <w:p>
      <w:pPr>
        <w:spacing w:after="120" w:line="276"/>
        <w:jc w:val="left"/>
      </w:pPr>
      <w:r>
        <w:rPr>
          <w:rFonts w:ascii="Times New Roman" w:cs="Times New Roman" w:eastAsia="Times New Roman" w:hAnsi="Times New Roman"/>
          <w:i/>
          <w:iCs/>
          <w:sz w:val="20"/>
          <w:szCs w:val="20"/>
        </w:rPr>
        <w:t xml:space="preserve">Table 5.</w:t>
      </w:r>
      <w:r>
        <w:rPr>
          <w:rFonts w:ascii="Times New Roman" w:cs="Times New Roman" w:eastAsia="Times New Roman" w:hAnsi="Times New Roman"/>
          <w:i/>
          <w:iCs/>
          <w:sz w:val="20"/>
          <w:szCs w:val="20"/>
        </w:rPr>
        <w:t xml:space="preserve"> Comparison with existing fusion AI systems. "Expl." = provides causal explanations for decisions. "do-calc." = implements Pearl’s do-calculus for intervention prediction.</w:t>
      </w:r>
    </w:p>
    <w:p>
      <w:pPr>
        <w:spacing w:after="120" w:line="276"/>
        <w:ind w:firstLine="360"/>
        <w:jc w:val="both"/>
      </w:pPr>
      <w:r>
        <w:rPr>
          <w:rFonts w:ascii="Times New Roman" w:cs="Times New Roman" w:eastAsia="Times New Roman" w:hAnsi="Times New Roman"/>
          <w:sz w:val="24"/>
          <w:szCs w:val="24"/>
        </w:rPr>
        <w:t xml:space="preserve">Several observations are warranted. First, FRNN’s AUC of 0.92 on disruption prediction is not directly comparable to our intervention accuracy of 77.9%, because they measure fundamentally different things: FRNN predicts </w:t>
      </w:r>
      <w:r>
        <w:rPr>
          <w:rFonts w:ascii="Times New Roman" w:cs="Times New Roman" w:eastAsia="Times New Roman" w:hAnsi="Times New Roman"/>
          <w:i/>
          <w:iCs/>
          <w:sz w:val="24"/>
          <w:szCs w:val="24"/>
        </w:rPr>
        <w:t xml:space="preserve">whether</w:t>
      </w:r>
      <w:r>
        <w:rPr>
          <w:rFonts w:ascii="Times New Roman" w:cs="Times New Roman" w:eastAsia="Times New Roman" w:hAnsi="Times New Roman"/>
          <w:sz w:val="24"/>
          <w:szCs w:val="24"/>
        </w:rPr>
        <w:t xml:space="preserve"> a disruption will occur (binary classification), while FusionMind predicts </w:t>
      </w:r>
      <w:r>
        <w:rPr>
          <w:rFonts w:ascii="Times New Roman" w:cs="Times New Roman" w:eastAsia="Times New Roman" w:hAnsi="Times New Roman"/>
          <w:i/>
          <w:iCs/>
          <w:sz w:val="24"/>
          <w:szCs w:val="24"/>
        </w:rPr>
        <w:t xml:space="preserve">what happens to downstream variables</w:t>
      </w:r>
      <w:r>
        <w:rPr>
          <w:rFonts w:ascii="Times New Roman" w:cs="Times New Roman" w:eastAsia="Times New Roman" w:hAnsi="Times New Roman"/>
          <w:sz w:val="24"/>
          <w:szCs w:val="24"/>
        </w:rPr>
        <w:t xml:space="preserve"> when an upstream variable is changed (causal direction prediction). These are complementary capabilities.</w:t>
      </w:r>
    </w:p>
    <w:p>
      <w:pPr>
        <w:spacing w:after="120" w:line="276"/>
        <w:ind w:firstLine="360"/>
        <w:jc w:val="both"/>
      </w:pPr>
      <w:r>
        <w:rPr>
          <w:rFonts w:ascii="Times New Roman" w:cs="Times New Roman" w:eastAsia="Times New Roman" w:hAnsi="Times New Roman"/>
          <w:sz w:val="24"/>
          <w:szCs w:val="24"/>
        </w:rPr>
        <w:t xml:space="preserve">Second, DeepMind’s RL controller demonstrates real-time plasma shape control on TCV with impressive tracking accuracy, but it operates as a black box—the neural network cannot explain why it chose a particular coil voltage, nor can it predict what would have happened under alternative actions. FusionMind provides precisely these explanations, making the two systems complementary rather than competing.</w:t>
      </w:r>
    </w:p>
    <w:p>
      <w:pPr>
        <w:spacing w:after="120" w:line="276"/>
        <w:ind w:firstLine="360"/>
        <w:jc w:val="both"/>
      </w:pPr>
      <w:r>
        <w:rPr>
          <w:rFonts w:ascii="Times New Roman" w:cs="Times New Roman" w:eastAsia="Times New Roman" w:hAnsi="Times New Roman"/>
          <w:sz w:val="24"/>
          <w:szCs w:val="24"/>
        </w:rPr>
        <w:t xml:space="preserve">Third, the EUROfusion causal detection projects by Murari, Rossi and colleagues employ transfer entropy and Granger causality, which test for statistical dependence between time series. Our work extends beyond these statistical tests to implement the full interventional and counterfactual machinery of Pearl’s framework, integrated into a real-time control stack. We regard this as a meaningful extension rather than a replacement of prior causal work in fusion.</w:t>
      </w:r>
    </w:p>
    <w:p>
      <w:pPr>
        <w:spacing w:after="120" w:line="276"/>
        <w:ind w:firstLine="360"/>
        <w:jc w:val="both"/>
      </w:pPr>
      <w:r>
        <w:rPr>
          <w:rFonts w:ascii="Times New Roman" w:cs="Times New Roman" w:eastAsia="Times New Roman" w:hAnsi="Times New Roman"/>
          <w:sz w:val="24"/>
          <w:szCs w:val="24"/>
        </w:rPr>
        <w:t xml:space="preserve">The practical positioning of FusionMind is therefore not as a competitor to FRNN or DeepMind RL, but as a </w:t>
      </w:r>
      <w:r>
        <w:rPr>
          <w:rFonts w:ascii="Times New Roman" w:cs="Times New Roman" w:eastAsia="Times New Roman" w:hAnsi="Times New Roman"/>
          <w:i/>
          <w:iCs/>
          <w:sz w:val="24"/>
          <w:szCs w:val="24"/>
        </w:rPr>
        <w:t xml:space="preserve">complementary causal layer</w:t>
      </w:r>
      <w:r>
        <w:rPr>
          <w:rFonts w:ascii="Times New Roman" w:cs="Times New Roman" w:eastAsia="Times New Roman" w:hAnsi="Times New Roman"/>
          <w:sz w:val="24"/>
          <w:szCs w:val="24"/>
        </w:rPr>
        <w:t xml:space="preserve"> that sits alongside existing systems. FRNN predicts disruptions; FusionMind explains why. DeepMind RL controls shape; FusionMind verifies that control actions are causally safe. This layered architecture is reflected in the three deployment phases described in Section 2.3.</w:t>
      </w:r>
    </w:p>
    <w:p>
      <w:pPr>
        <w:pStyle w:val="Heading1"/>
        <w:spacing w:before="360" w:after="120"/>
      </w:pPr>
      <w:r>
        <w:rPr>
          <w:rFonts w:ascii="Times New Roman" w:cs="Times New Roman" w:eastAsia="Times New Roman" w:hAnsi="Times New Roman"/>
          <w:b/>
          <w:bCs/>
          <w:sz w:val="28"/>
          <w:szCs w:val="28"/>
        </w:rPr>
        <w:t xml:space="preserve">5. Discussion</w:t>
      </w:r>
    </w:p>
    <w:p>
      <w:pPr>
        <w:spacing w:after="120" w:line="276"/>
        <w:jc w:val="both"/>
      </w:pPr>
      <w:r>
        <w:rPr>
          <w:rFonts w:ascii="Times New Roman" w:cs="Times New Roman" w:eastAsia="Times New Roman" w:hAnsi="Times New Roman"/>
          <w:sz w:val="24"/>
          <w:szCs w:val="24"/>
        </w:rPr>
        <w:t xml:space="preserve">Several aspects of these results warrant comment.</w:t>
      </w:r>
    </w:p>
    <w:p>
      <w:pPr>
        <w:spacing w:after="120" w:line="276"/>
        <w:ind w:firstLine="360"/>
        <w:jc w:val="both"/>
      </w:pPr>
      <w:r>
        <w:rPr>
          <w:rFonts w:ascii="Times New Roman" w:cs="Times New Roman" w:eastAsia="Times New Roman" w:hAnsi="Times New Roman"/>
          <w:b/>
          <w:bCs/>
          <w:sz w:val="24"/>
          <w:szCs w:val="24"/>
        </w:rPr>
        <w:t xml:space="preserve">Comparison with prior causal work in fusion.</w:t>
      </w:r>
      <w:r>
        <w:rPr>
          <w:rFonts w:ascii="Times New Roman" w:cs="Times New Roman" w:eastAsia="Times New Roman" w:hAnsi="Times New Roman"/>
          <w:sz w:val="24"/>
          <w:szCs w:val="24"/>
        </w:rPr>
        <w:t xml:space="preserve"> Transfer entropy and Granger causality have been applied to tokamak data [5,6,7], but these methods test for statistical dependence rather than implementing structural interventions. The PC algorithm has been used in other scientific domains to recover DAGs, but we are not aware of its application to tokamak equilibrium parameters combined with do-calculus propagation and counterfactual reasoning. Our approach integrates these tools into a unified framework with real-time deployment capability, which we believe is new in fusion.</w:t>
      </w:r>
    </w:p>
    <w:p>
      <w:pPr>
        <w:spacing w:after="120" w:line="276"/>
        <w:ind w:firstLine="360"/>
        <w:jc w:val="both"/>
      </w:pPr>
      <w:r>
        <w:rPr>
          <w:rFonts w:ascii="Times New Roman" w:cs="Times New Roman" w:eastAsia="Times New Roman" w:hAnsi="Times New Roman"/>
          <w:b/>
          <w:bCs/>
          <w:sz w:val="24"/>
          <w:szCs w:val="24"/>
        </w:rPr>
        <w:t xml:space="preserve">Limitations of the SCM R².</w:t>
      </w:r>
      <w:r>
        <w:rPr>
          <w:rFonts w:ascii="Times New Roman" w:cs="Times New Roman" w:eastAsia="Times New Roman" w:hAnsi="Times New Roman"/>
          <w:sz w:val="24"/>
          <w:szCs w:val="24"/>
        </w:rPr>
        <w:t xml:space="preserve"> The overall linear R² of 37.0% is modest. This reflects two factors: (i) several variables (β_p, l_i) have weak linear relationships with their parents in the DAG, and (ii) the linear model is an approximation to what are known to be nonlinear plasma transport equations. The nonlinear SCM raises the overall R² to 65.0%, but some variables remain poorly predicted, suggesting that important causal drivers are missing from our nine-variable set—electron density, heating power, and radiation losses are likely candidates.</w:t>
      </w:r>
    </w:p>
    <w:p>
      <w:pPr>
        <w:spacing w:after="120" w:line="276"/>
        <w:ind w:firstLine="360"/>
        <w:jc w:val="both"/>
      </w:pPr>
      <w:r>
        <w:rPr>
          <w:rFonts w:ascii="Times New Roman" w:cs="Times New Roman" w:eastAsia="Times New Roman" w:hAnsi="Times New Roman"/>
          <w:b/>
          <w:bCs/>
          <w:sz w:val="24"/>
          <w:szCs w:val="24"/>
        </w:rPr>
        <w:t xml:space="preserve">Edge detection stability.</w:t>
      </w:r>
      <w:r>
        <w:rPr>
          <w:rFonts w:ascii="Times New Roman" w:cs="Times New Roman" w:eastAsia="Times New Roman" w:hAnsi="Times New Roman"/>
          <w:sz w:val="24"/>
          <w:szCs w:val="24"/>
        </w:rPr>
        <w:t xml:space="preserve"> The edge F1 of 88.9% is identical across all 20 cross-validation folds. This is unusual and deserves explanation: on the 332-shot dataset, the ensemble causal discovery converges to the same DAG structure regardless of which 10% of shots are withheld, because the signal is strong enough that no subset of 33 shots changes the overall statistical evidence for the recovered edges. This is a positive sign for generalizability, but it also means that the edge detection metric does not provide fold-level variance estimates. Bootstrap resampling (reported in the supplementary materials of the code repository) does show non-zero variance at smaller sample sizes.</w:t>
      </w:r>
    </w:p>
    <w:p>
      <w:pPr>
        <w:spacing w:after="120" w:line="276"/>
        <w:ind w:firstLine="360"/>
        <w:jc w:val="both"/>
      </w:pPr>
      <w:r>
        <w:rPr>
          <w:rFonts w:ascii="Times New Roman" w:cs="Times New Roman" w:eastAsia="Times New Roman" w:hAnsi="Times New Roman"/>
          <w:b/>
          <w:bCs/>
          <w:sz w:val="24"/>
          <w:szCs w:val="24"/>
        </w:rPr>
        <w:t xml:space="preserve">Intervention accuracy at 77.9%.</w:t>
      </w:r>
      <w:r>
        <w:rPr>
          <w:rFonts w:ascii="Times New Roman" w:cs="Times New Roman" w:eastAsia="Times New Roman" w:hAnsi="Times New Roman"/>
          <w:sz w:val="24"/>
          <w:szCs w:val="24"/>
        </w:rPr>
        <w:t xml:space="preserve"> This metric tests whether the SCM correctly predicts the direction of change in downstream variables, not the magnitude. It uses the linear SCM for intervention propagation (for computational efficiency), which partially explains why it falls below the nonlinear R². In practice, a direction accuracy of 78% means the causal model’s interventional predictions are correct roughly 4 out of 5 times, which is a useful starting point for a safety advisory system that flags potentially incorrect RL actions.</w:t>
      </w:r>
    </w:p>
    <w:p>
      <w:pPr>
        <w:spacing w:after="120" w:line="276"/>
        <w:ind w:firstLine="360"/>
        <w:jc w:val="both"/>
      </w:pPr>
      <w:r>
        <w:rPr>
          <w:rFonts w:ascii="Times New Roman" w:cs="Times New Roman" w:eastAsia="Times New Roman" w:hAnsi="Times New Roman"/>
          <w:b/>
          <w:bCs/>
          <w:sz w:val="24"/>
          <w:szCs w:val="24"/>
        </w:rPr>
        <w:t xml:space="preserve">C++ latency clarification.</w:t>
      </w:r>
      <w:r>
        <w:rPr>
          <w:rFonts w:ascii="Times New Roman" w:cs="Times New Roman" w:eastAsia="Times New Roman" w:hAnsi="Times New Roman"/>
          <w:sz w:val="24"/>
          <w:szCs w:val="24"/>
        </w:rPr>
        <w:t xml:space="preserve"> The sub-microsecond latencies reported in Table 3 are for the linear SCM forward pass (matrix-vector multiplication in topological order), not the full GradientBoosting model. The nonlinear model runs in approximately 1–2 ms in Python and is used for offline fitting and evaluation. For real-time deployment, the linear coefficients are extracted and loaded into the C++ engine. This is a deliberate engineering trade-off: the linear model sacrifices prediction accuracy for deterministic latency guarantees required by tokamak control systems.</w:t>
      </w:r>
    </w:p>
    <w:p>
      <w:pPr>
        <w:spacing w:after="120" w:line="276"/>
        <w:ind w:firstLine="360"/>
        <w:jc w:val="both"/>
      </w:pPr>
      <w:r>
        <w:rPr>
          <w:rFonts w:ascii="Times New Roman" w:cs="Times New Roman" w:eastAsia="Times New Roman" w:hAnsi="Times New Roman"/>
          <w:b/>
          <w:bCs/>
          <w:sz w:val="24"/>
          <w:szCs w:val="24"/>
        </w:rPr>
        <w:t xml:space="preserve">Dataset size.</w:t>
      </w:r>
      <w:r>
        <w:rPr>
          <w:rFonts w:ascii="Times New Roman" w:cs="Times New Roman" w:eastAsia="Times New Roman" w:hAnsi="Times New Roman"/>
          <w:sz w:val="24"/>
          <w:szCs w:val="24"/>
        </w:rPr>
        <w:t xml:space="preserve"> With 332 shots and 23,721 timepoints, this is a moderately sized dataset by fusion standards. The leave-shots-out validation ensures that the model generalizes across discharges, not merely interpolates within them. However, MAST is a single machine; multi-machine validation (on JET, DIII-D, or ASDEX Upgrade data) would strengthen the generalizability claims considerably.</w:t>
      </w:r>
    </w:p>
    <w:p>
      <w:pPr>
        <w:pStyle w:val="Heading1"/>
        <w:spacing w:before="360" w:after="120"/>
      </w:pPr>
      <w:r>
        <w:rPr>
          <w:rFonts w:ascii="Times New Roman" w:cs="Times New Roman" w:eastAsia="Times New Roman" w:hAnsi="Times New Roman"/>
          <w:b/>
          <w:bCs/>
          <w:sz w:val="28"/>
          <w:szCs w:val="28"/>
        </w:rPr>
        <w:t xml:space="preserve">6. Conclusion</w:t>
      </w:r>
    </w:p>
    <w:p>
      <w:pPr>
        <w:spacing w:after="120" w:line="276"/>
        <w:jc w:val="both"/>
      </w:pPr>
      <w:r>
        <w:rPr>
          <w:rFonts w:ascii="Times New Roman" w:cs="Times New Roman" w:eastAsia="Times New Roman" w:hAnsi="Times New Roman"/>
          <w:sz w:val="24"/>
          <w:szCs w:val="24"/>
        </w:rPr>
        <w:t xml:space="preserve">We have demonstrated that Pearl’s structural causal model framework—including do-calculus interventions and three-step counterfactual reasoning—can be applied to real tokamak plasma data at scale. On 332 MAST discharges, the ensemble CPDE recovers 12 of 13 known causal relationships (F1 = 88.9%), the nonlinear SCM predicts out-of-shot plasma parameters with R² = 65.0%, and the do-calculus correctly predicts intervention direction 77.9% of the time. A C++ implementation achieves sub-microsecond latency for the linear SCM, enabling deployment as a real-time causal safety layer over existing controllers.</w:t>
      </w:r>
    </w:p>
    <w:p>
      <w:pPr>
        <w:spacing w:after="120" w:line="276"/>
        <w:ind w:firstLine="360"/>
        <w:jc w:val="both"/>
      </w:pPr>
      <w:r>
        <w:rPr>
          <w:rFonts w:ascii="Times New Roman" w:cs="Times New Roman" w:eastAsia="Times New Roman" w:hAnsi="Times New Roman"/>
          <w:sz w:val="24"/>
          <w:szCs w:val="24"/>
        </w:rPr>
        <w:t xml:space="preserve">The practical value of this approach lies not in replacing existing RL controllers, but in augmenting them with capabilities they lack: the ability to explain why a particular action was taken, to predict the consequences of hypothetical interventions without executing them, and to provide post-mortem root-cause analysis of plasma events. These capabilities address a growing regulatory need for explainable AI in safety-critical systems.</w:t>
      </w:r>
    </w:p>
    <w:p>
      <w:pPr>
        <w:spacing w:after="120" w:line="276"/>
        <w:ind w:firstLine="360"/>
        <w:jc w:val="both"/>
      </w:pPr>
      <w:r>
        <w:rPr>
          <w:rFonts w:ascii="Times New Roman" w:cs="Times New Roman" w:eastAsia="Times New Roman" w:hAnsi="Times New Roman"/>
          <w:sz w:val="24"/>
          <w:szCs w:val="24"/>
        </w:rPr>
        <w:t xml:space="preserve">Future work should extend the variable set to include actuator signals (heating power, gas fuelling rates), validate on multiple machines, and integrate the nonlinear SCM into the real-time engine through model distillation or polynomial approximation.</w:t>
      </w:r>
    </w:p>
    <w:p>
      <w:pPr>
        <w:pStyle w:val="Heading1"/>
        <w:spacing w:before="360" w:after="120"/>
      </w:pPr>
      <w:r>
        <w:rPr>
          <w:rFonts w:ascii="Times New Roman" w:cs="Times New Roman" w:eastAsia="Times New Roman" w:hAnsi="Times New Roman"/>
          <w:b/>
          <w:bCs/>
          <w:sz w:val="28"/>
          <w:szCs w:val="28"/>
        </w:rPr>
        <w:t xml:space="preserve">Data and Code Availability</w:t>
      </w:r>
    </w:p>
    <w:p>
      <w:pPr>
        <w:spacing w:after="120" w:line="276"/>
        <w:jc w:val="both"/>
      </w:pPr>
      <w:r>
        <w:rPr>
          <w:rFonts w:ascii="Times New Roman" w:cs="Times New Roman" w:eastAsia="Times New Roman" w:hAnsi="Times New Roman"/>
          <w:sz w:val="24"/>
          <w:szCs w:val="24"/>
        </w:rPr>
        <w:t xml:space="preserve">The MAST data used in this study are publicly available through the FAIR-MAST S3 archive at https://s3.echo.stfc.ac.uk (bucket: mast/level1/shots/). All source code, benchmark scripts, C++ engine, and trained models are released under a public repository at:</w:t>
      </w:r>
    </w:p>
    <w:p>
      <w:pPr>
        <w:spacing w:after="200" w:line="276"/>
        <w:jc w:val="center"/>
      </w:pPr>
      <w:r>
        <w:rPr>
          <w:rFonts w:ascii="Times New Roman" w:cs="Times New Roman" w:eastAsia="Times New Roman" w:hAnsi="Times New Roman"/>
          <w:b/>
          <w:bCs/>
          <w:sz w:val="24"/>
          <w:szCs w:val="24"/>
        </w:rPr>
        <w:t xml:space="preserve">https://github.com/mladen1312/FusionMind-4-CausalPlasma</w:t>
      </w:r>
    </w:p>
    <w:p>
      <w:pPr>
        <w:pStyle w:val="Heading1"/>
        <w:spacing w:before="360" w:after="120"/>
      </w:pPr>
      <w:r>
        <w:rPr>
          <w:rFonts w:ascii="Times New Roman" w:cs="Times New Roman" w:eastAsia="Times New Roman" w:hAnsi="Times New Roman"/>
          <w:b/>
          <w:bCs/>
          <w:sz w:val="28"/>
          <w:szCs w:val="28"/>
        </w:rPr>
        <w:t xml:space="preserve">References</w:t>
      </w:r>
    </w:p>
    <w:p>
      <w:pPr>
        <w:spacing w:after="120" w:line="276"/>
        <w:jc w:val="both"/>
      </w:pPr>
      <w:r>
        <w:rPr>
          <w:rFonts w:ascii="Times New Roman" w:cs="Times New Roman" w:eastAsia="Times New Roman" w:hAnsi="Times New Roman"/>
          <w:sz w:val="24"/>
          <w:szCs w:val="24"/>
        </w:rPr>
        <w:t xml:space="preserve">[1] J. Kates-Harbeck, A. Svyatkovskiy, and W. Tang, “Predicting disruptive instabilities in controlled fusion plasmas through deep learning,” Nature, vol. 568, pp. 526–531, 2019.</w:t>
      </w:r>
    </w:p>
    <w:p>
      <w:pPr>
        <w:spacing w:after="120" w:line="276"/>
        <w:jc w:val="both"/>
      </w:pPr>
      <w:r>
        <w:rPr>
          <w:rFonts w:ascii="Times New Roman" w:cs="Times New Roman" w:eastAsia="Times New Roman" w:hAnsi="Times New Roman"/>
          <w:sz w:val="24"/>
          <w:szCs w:val="24"/>
        </w:rPr>
        <w:t xml:space="preserve">[2] J. Degrave et al., “Magnetic control of tokamak plasmas through deep reinforcement learning,” Nature, vol. 602, pp. 414–419, 2022.</w:t>
      </w:r>
    </w:p>
    <w:p>
      <w:pPr>
        <w:spacing w:after="120" w:line="276"/>
        <w:jc w:val="both"/>
      </w:pPr>
      <w:r>
        <w:rPr>
          <w:rFonts w:ascii="Times New Roman" w:cs="Times New Roman" w:eastAsia="Times New Roman" w:hAnsi="Times New Roman"/>
          <w:sz w:val="24"/>
          <w:szCs w:val="24"/>
        </w:rPr>
        <w:t xml:space="preserve">[3] V. Gopakumar et al., “TokaMind: A Multi-Modal AI Foundation Model for Tokamak Plasma Diagnostics,” arXiv:2602.15084, 2026.</w:t>
      </w:r>
    </w:p>
    <w:p>
      <w:pPr>
        <w:spacing w:after="120" w:line="276"/>
        <w:jc w:val="both"/>
      </w:pPr>
      <w:r>
        <w:rPr>
          <w:rFonts w:ascii="Times New Roman" w:cs="Times New Roman" w:eastAsia="Times New Roman" w:hAnsi="Times New Roman"/>
          <w:sz w:val="24"/>
          <w:szCs w:val="24"/>
        </w:rPr>
        <w:t xml:space="preserve">[4] J. Pearl, Causality: Models, Reasoning, and Inference, 2nd ed. Cambridge University Press, 2009.</w:t>
      </w:r>
    </w:p>
    <w:p>
      <w:pPr>
        <w:spacing w:after="120" w:line="276"/>
        <w:jc w:val="both"/>
      </w:pPr>
      <w:r>
        <w:rPr>
          <w:rFonts w:ascii="Times New Roman" w:cs="Times New Roman" w:eastAsia="Times New Roman" w:hAnsi="Times New Roman"/>
          <w:sz w:val="24"/>
          <w:szCs w:val="24"/>
        </w:rPr>
        <w:t xml:space="preserve">[5] A. Murari et al., “On the use of transfer entropy to investigate the time horizon of causal influences between signals,” Entropy, vol. 22, no. 9, p. 1064, 2020.</w:t>
      </w:r>
    </w:p>
    <w:p>
      <w:pPr>
        <w:spacing w:after="120" w:line="276"/>
        <w:jc w:val="both"/>
      </w:pPr>
      <w:r>
        <w:rPr>
          <w:rFonts w:ascii="Times New Roman" w:cs="Times New Roman" w:eastAsia="Times New Roman" w:hAnsi="Times New Roman"/>
          <w:sz w:val="24"/>
          <w:szCs w:val="24"/>
        </w:rPr>
        <w:t xml:space="preserve">[6] Various authors, Granger causality applied to WEST tokamak signals, EUROfusion reports, 2023–2025.</w:t>
      </w:r>
    </w:p>
    <w:p>
      <w:pPr>
        <w:spacing w:after="120" w:line="276"/>
        <w:jc w:val="both"/>
      </w:pPr>
      <w:r>
        <w:rPr>
          <w:rFonts w:ascii="Times New Roman" w:cs="Times New Roman" w:eastAsia="Times New Roman" w:hAnsi="Times New Roman"/>
          <w:sz w:val="24"/>
          <w:szCs w:val="24"/>
        </w:rPr>
        <w:t xml:space="preserve">[7] R. Rossi et al., “AI-Assisted Causality Detection and Modelling of Plasma Instabilities for Tokamak Disruption Prediction and Control,” EUROfusion Enabling Research Project, 2024–2026.</w:t>
      </w:r>
    </w:p>
    <w:p>
      <w:pPr>
        <w:spacing w:after="120" w:line="276"/>
        <w:jc w:val="both"/>
      </w:pPr>
      <w:r>
        <w:rPr>
          <w:rFonts w:ascii="Times New Roman" w:cs="Times New Roman" w:eastAsia="Times New Roman" w:hAnsi="Times New Roman"/>
          <w:sz w:val="24"/>
          <w:szCs w:val="24"/>
        </w:rPr>
        <w:t xml:space="preserve">[8] X. Zheng, B. Aragam, P. Ravikumar, and E. P. Xing, “DAGs with NO TEARS: Continuous optimization for structure learning,” in NeurIPS, 2018.</w:t>
      </w:r>
    </w:p>
    <w:p>
      <w:pPr>
        <w:spacing w:after="120" w:line="276"/>
        <w:jc w:val="both"/>
      </w:pPr>
      <w:r>
        <w:rPr>
          <w:rFonts w:ascii="Times New Roman" w:cs="Times New Roman" w:eastAsia="Times New Roman" w:hAnsi="Times New Roman"/>
          <w:sz w:val="24"/>
          <w:szCs w:val="24"/>
        </w:rPr>
        <w:t xml:space="preserve">[9] C. W. J. Granger, “Investigating causal relations by econometric models and cross-spectral methods,” Econometrica, vol. 37, no. 3, pp. 424–438, 1969.</w:t>
      </w:r>
    </w:p>
    <w:p>
      <w:pPr>
        <w:spacing w:after="120" w:line="276"/>
        <w:jc w:val="both"/>
      </w:pPr>
      <w:r>
        <w:rPr>
          <w:rFonts w:ascii="Times New Roman" w:cs="Times New Roman" w:eastAsia="Times New Roman" w:hAnsi="Times New Roman"/>
          <w:sz w:val="24"/>
          <w:szCs w:val="24"/>
        </w:rPr>
        <w:t xml:space="preserve">[10] P. Spirtes, C. Glymour, and R. Scheines, Causation, Prediction, and Search, 2nd ed. MIT Press, 2000.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jc w:val="left"/>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jc w:val="left"/>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before="180" w:after="60"/>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2026-03-06T08:25:06.872Z</dcterms:created>
  <dcterms:modified xsi:type="dcterms:W3CDTF">2026-03-06T08:25:06.872Z</dcterms:modified>
</cp:coreProperties>
</file>

<file path=docProps/custom.xml><?xml version="1.0" encoding="utf-8"?>
<Properties xmlns="http://schemas.openxmlformats.org/officeDocument/2006/custom-properties" xmlns:vt="http://schemas.openxmlformats.org/officeDocument/2006/docPropsVTypes"/>
</file>