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Effort Estimation Report</w:t>
      </w:r>
    </w:p>
    <w:p>
      <w:pPr>
        <w:pStyle w:val="Heading1"/>
      </w:pPr>
      <w:r>
        <w:t>Estimation Summary</w:t>
      </w:r>
    </w:p>
    <w:p>
      <w:r>
        <w:t>Total Hours: 5760</w:t>
      </w:r>
    </w:p>
    <w:p>
      <w:r>
        <w:t>Total Duration: 16 weeks / 4 months</w:t>
      </w:r>
    </w:p>
    <w:p>
      <w:r>
        <w:t>Recommended Team Size: 9</w:t>
      </w:r>
    </w:p>
    <w:p>
      <w:r>
        <w:t>Confidence Level: Medium</w:t>
      </w:r>
    </w:p>
    <w:p>
      <w:r>
        <w:t>Methodology: Estimation uses Function Point Analysis, T-shirt sizing, and role-based capacity planning. The 9 functional requirements were decomposed into external inputs, external outputs, internal logical files, external interface files, and inquiries. The functional scope is estimated at approximately 121 unadjusted function points, adjusted by a value adjustment factor of 1.12 for AI orchestration complexity, security, auditability, document processing, performance, and compliance, resulting in approximately 136 adjusted function points. At an industry productivity range of 35 to 45 hours per adjusted function point, the indicative range is approximately 4760 to 6120 hours. This was cross-checked against the delivery plan capacity of 9 people over 16 weeks at 40 hours per week, resulting in 5760 planned hours. T-shirt sizing was then used to distribute effort by feature complexity.</w:t>
      </w:r>
    </w:p>
    <w:p>
      <w:pPr>
        <w:pStyle w:val="Heading1"/>
      </w:pPr>
      <w:r>
        <w:t>Effort by Phase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Hours</w:t>
            </w:r>
          </w:p>
        </w:tc>
        <w:tc>
          <w:tcPr>
            <w:tcW w:type="dxa" w:w="2880"/>
          </w:tcPr>
          <w:p>
            <w:r>
              <w:rPr>
                <w:b/>
              </w:rPr>
              <w:t>% of Total</w:t>
            </w:r>
          </w:p>
        </w:tc>
      </w:tr>
      <w:tr>
        <w:tc>
          <w:tcPr>
            <w:tcW w:type="dxa" w:w="2880"/>
          </w:tcPr>
          <w:p>
            <w:r>
              <w:t>Discovery, Architecture, and UX Design</w:t>
            </w:r>
          </w:p>
        </w:tc>
        <w:tc>
          <w:tcPr>
            <w:tcW w:type="dxa" w:w="2880"/>
          </w:tcPr>
          <w:p>
            <w:r>
              <w:t>720</w:t>
            </w:r>
          </w:p>
        </w:tc>
        <w:tc>
          <w:tcPr>
            <w:tcW w:type="dxa" w:w="2880"/>
          </w:tcPr>
          <w:p>
            <w:r>
              <w:t>12.5%</w:t>
            </w:r>
          </w:p>
        </w:tc>
      </w:tr>
      <w:tr>
        <w:tc>
          <w:tcPr>
            <w:tcW w:type="dxa" w:w="2880"/>
          </w:tcPr>
          <w:p>
            <w:r>
              <w:t>Core Platform and MVP Generation Build</w:t>
            </w:r>
          </w:p>
        </w:tc>
        <w:tc>
          <w:tcPr>
            <w:tcW w:type="dxa" w:w="2880"/>
          </w:tcPr>
          <w:p>
            <w:r>
              <w:t>2160</w:t>
            </w:r>
          </w:p>
        </w:tc>
        <w:tc>
          <w:tcPr>
            <w:tcW w:type="dxa" w:w="2880"/>
          </w:tcPr>
          <w:p>
            <w:r>
              <w:t>37.5%</w:t>
            </w:r>
          </w:p>
        </w:tc>
      </w:tr>
      <w:tr>
        <w:tc>
          <w:tcPr>
            <w:tcW w:type="dxa" w:w="2880"/>
          </w:tcPr>
          <w:p>
            <w:r>
              <w:t>Agent Orchestration, Quality Controls, Editing, and Export</w:t>
            </w:r>
          </w:p>
        </w:tc>
        <w:tc>
          <w:tcPr>
            <w:tcW w:type="dxa" w:w="2880"/>
          </w:tcPr>
          <w:p>
            <w:r>
              <w:t>1440</w:t>
            </w:r>
          </w:p>
        </w:tc>
        <w:tc>
          <w:tcPr>
            <w:tcW w:type="dxa" w:w="2880"/>
          </w:tcPr>
          <w:p>
            <w:r>
              <w:t>25%</w:t>
            </w:r>
          </w:p>
        </w:tc>
      </w:tr>
      <w:tr>
        <w:tc>
          <w:tcPr>
            <w:tcW w:type="dxa" w:w="2880"/>
          </w:tcPr>
          <w:p>
            <w:r>
              <w:t>Hardening, UAT, Compliance Validation, and Launch</w:t>
            </w:r>
          </w:p>
        </w:tc>
        <w:tc>
          <w:tcPr>
            <w:tcW w:type="dxa" w:w="2880"/>
          </w:tcPr>
          <w:p>
            <w:r>
              <w:t>1440</w:t>
            </w:r>
          </w:p>
        </w:tc>
        <w:tc>
          <w:tcPr>
            <w:tcW w:type="dxa" w:w="2880"/>
          </w:tcPr>
          <w:p>
            <w:r>
              <w:t>25%</w:t>
            </w:r>
          </w:p>
        </w:tc>
      </w:tr>
    </w:tbl>
    <w:p>
      <w:pPr>
        <w:pStyle w:val="Heading1"/>
      </w:pPr>
      <w:r>
        <w:t>Effort by Role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Hours</w:t>
            </w:r>
          </w:p>
        </w:tc>
        <w:tc>
          <w:tcPr>
            <w:tcW w:type="dxa" w:w="2160"/>
          </w:tcPr>
          <w:p>
            <w:r>
              <w:rPr>
                <w:b/>
              </w:rPr>
              <w:t>Daily Rate (USD)</w:t>
            </w:r>
          </w:p>
        </w:tc>
        <w:tc>
          <w:tcPr>
            <w:tcW w:type="dxa" w:w="2160"/>
          </w:tcPr>
          <w:p>
            <w:r>
              <w:rPr>
                <w:b/>
              </w:rPr>
              <w:t>Total Cost (USD)</w:t>
            </w:r>
          </w:p>
        </w:tc>
      </w:tr>
      <w:tr>
        <w:tc>
          <w:tcPr>
            <w:tcW w:type="dxa" w:w="2160"/>
          </w:tcPr>
          <w:p>
            <w:r>
              <w:t>Project Manager</w:t>
            </w:r>
          </w:p>
        </w:tc>
        <w:tc>
          <w:tcPr>
            <w:tcW w:type="dxa" w:w="2160"/>
          </w:tcPr>
          <w:p>
            <w:r>
              <w:t>640</w:t>
            </w:r>
          </w:p>
        </w:tc>
        <w:tc>
          <w:tcPr>
            <w:tcW w:type="dxa" w:w="2160"/>
          </w:tcPr>
          <w:p>
            <w:r>
              <w:t>800</w:t>
            </w:r>
          </w:p>
        </w:tc>
        <w:tc>
          <w:tcPr>
            <w:tcW w:type="dxa" w:w="2160"/>
          </w:tcPr>
          <w:p>
            <w:r>
              <w:t>64000</w:t>
            </w:r>
          </w:p>
        </w:tc>
      </w:tr>
      <w:tr>
        <w:tc>
          <w:tcPr>
            <w:tcW w:type="dxa" w:w="2160"/>
          </w:tcPr>
          <w:p>
            <w:r>
              <w:t>Business Analyst</w:t>
            </w:r>
          </w:p>
        </w:tc>
        <w:tc>
          <w:tcPr>
            <w:tcW w:type="dxa" w:w="2160"/>
          </w:tcPr>
          <w:p>
            <w:r>
              <w:t>640</w:t>
            </w:r>
          </w:p>
        </w:tc>
        <w:tc>
          <w:tcPr>
            <w:tcW w:type="dxa" w:w="2160"/>
          </w:tcPr>
          <w:p>
            <w:r>
              <w:t>700</w:t>
            </w:r>
          </w:p>
        </w:tc>
        <w:tc>
          <w:tcPr>
            <w:tcW w:type="dxa" w:w="2160"/>
          </w:tcPr>
          <w:p>
            <w:r>
              <w:t>56000</w:t>
            </w:r>
          </w:p>
        </w:tc>
      </w:tr>
      <w:tr>
        <w:tc>
          <w:tcPr>
            <w:tcW w:type="dxa" w:w="2160"/>
          </w:tcPr>
          <w:p>
            <w:r>
              <w:t>UI/UX Designer</w:t>
            </w:r>
          </w:p>
        </w:tc>
        <w:tc>
          <w:tcPr>
            <w:tcW w:type="dxa" w:w="2160"/>
          </w:tcPr>
          <w:p>
            <w:r>
              <w:t>640</w:t>
            </w:r>
          </w:p>
        </w:tc>
        <w:tc>
          <w:tcPr>
            <w:tcW w:type="dxa" w:w="2160"/>
          </w:tcPr>
          <w:p>
            <w:r>
              <w:t>650</w:t>
            </w:r>
          </w:p>
        </w:tc>
        <w:tc>
          <w:tcPr>
            <w:tcW w:type="dxa" w:w="2160"/>
          </w:tcPr>
          <w:p>
            <w:r>
              <w:t>52000</w:t>
            </w:r>
          </w:p>
        </w:tc>
      </w:tr>
      <w:tr>
        <w:tc>
          <w:tcPr>
            <w:tcW w:type="dxa" w:w="2160"/>
          </w:tcPr>
          <w:p>
            <w:r>
              <w:t>Frontend Developer</w:t>
            </w:r>
          </w:p>
        </w:tc>
        <w:tc>
          <w:tcPr>
            <w:tcW w:type="dxa" w:w="2160"/>
          </w:tcPr>
          <w:p>
            <w:r>
              <w:t>640</w:t>
            </w:r>
          </w:p>
        </w:tc>
        <w:tc>
          <w:tcPr>
            <w:tcW w:type="dxa" w:w="2160"/>
          </w:tcPr>
          <w:p>
            <w:r>
              <w:t>750</w:t>
            </w:r>
          </w:p>
        </w:tc>
        <w:tc>
          <w:tcPr>
            <w:tcW w:type="dxa" w:w="2160"/>
          </w:tcPr>
          <w:p>
            <w:r>
              <w:t>60000</w:t>
            </w:r>
          </w:p>
        </w:tc>
      </w:tr>
      <w:tr>
        <w:tc>
          <w:tcPr>
            <w:tcW w:type="dxa" w:w="2160"/>
          </w:tcPr>
          <w:p>
            <w:r>
              <w:t>Backend Developer</w:t>
            </w:r>
          </w:p>
        </w:tc>
        <w:tc>
          <w:tcPr>
            <w:tcW w:type="dxa" w:w="2160"/>
          </w:tcPr>
          <w:p>
            <w:r>
              <w:t>1920</w:t>
            </w:r>
          </w:p>
        </w:tc>
        <w:tc>
          <w:tcPr>
            <w:tcW w:type="dxa" w:w="2160"/>
          </w:tcPr>
          <w:p>
            <w:r>
              <w:t>850</w:t>
            </w:r>
          </w:p>
        </w:tc>
        <w:tc>
          <w:tcPr>
            <w:tcW w:type="dxa" w:w="2160"/>
          </w:tcPr>
          <w:p>
            <w:r>
              <w:t>204000</w:t>
            </w:r>
          </w:p>
        </w:tc>
      </w:tr>
      <w:tr>
        <w:tc>
          <w:tcPr>
            <w:tcW w:type="dxa" w:w="2160"/>
          </w:tcPr>
          <w:p>
            <w:r>
              <w:t>QA Engineer</w:t>
            </w:r>
          </w:p>
        </w:tc>
        <w:tc>
          <w:tcPr>
            <w:tcW w:type="dxa" w:w="2160"/>
          </w:tcPr>
          <w:p>
            <w:r>
              <w:t>640</w:t>
            </w:r>
          </w:p>
        </w:tc>
        <w:tc>
          <w:tcPr>
            <w:tcW w:type="dxa" w:w="2160"/>
          </w:tcPr>
          <w:p>
            <w:r>
              <w:t>600</w:t>
            </w:r>
          </w:p>
        </w:tc>
        <w:tc>
          <w:tcPr>
            <w:tcW w:type="dxa" w:w="2160"/>
          </w:tcPr>
          <w:p>
            <w:r>
              <w:t>48000</w:t>
            </w:r>
          </w:p>
        </w:tc>
      </w:tr>
      <w:tr>
        <w:tc>
          <w:tcPr>
            <w:tcW w:type="dxa" w:w="2160"/>
          </w:tcPr>
          <w:p>
            <w:r>
              <w:t>DevOps</w:t>
            </w:r>
          </w:p>
        </w:tc>
        <w:tc>
          <w:tcPr>
            <w:tcW w:type="dxa" w:w="2160"/>
          </w:tcPr>
          <w:p>
            <w:r>
              <w:t>640</w:t>
            </w:r>
          </w:p>
        </w:tc>
        <w:tc>
          <w:tcPr>
            <w:tcW w:type="dxa" w:w="2160"/>
          </w:tcPr>
          <w:p>
            <w:r>
              <w:t>850</w:t>
            </w:r>
          </w:p>
        </w:tc>
        <w:tc>
          <w:tcPr>
            <w:tcW w:type="dxa" w:w="2160"/>
          </w:tcPr>
          <w:p>
            <w:r>
              <w:t>68000</w:t>
            </w:r>
          </w:p>
        </w:tc>
      </w:tr>
    </w:tbl>
    <w:p>
      <w:pPr>
        <w:pStyle w:val="Heading1"/>
      </w:pPr>
      <w:r>
        <w:t>Effort by Feature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Feature Area</w:t>
            </w:r>
          </w:p>
        </w:tc>
        <w:tc>
          <w:tcPr>
            <w:tcW w:type="dxa" w:w="1728"/>
          </w:tcPr>
          <w:p>
            <w:r>
              <w:rPr>
                <w:b/>
              </w:rPr>
              <w:t>Linked Requirements</w:t>
            </w:r>
          </w:p>
        </w:tc>
        <w:tc>
          <w:tcPr>
            <w:tcW w:type="dxa" w:w="1728"/>
          </w:tcPr>
          <w:p>
            <w:r>
              <w:rPr>
                <w:b/>
              </w:rPr>
              <w:t>Complexity</w:t>
            </w:r>
          </w:p>
        </w:tc>
        <w:tc>
          <w:tcPr>
            <w:tcW w:type="dxa" w:w="1728"/>
          </w:tcPr>
          <w:p>
            <w:r>
              <w:rPr>
                <w:b/>
              </w:rPr>
              <w:t>Hours</w:t>
            </w:r>
          </w:p>
        </w:tc>
        <w:tc>
          <w:tcPr>
            <w:tcW w:type="dxa" w:w="1728"/>
          </w:tcPr>
          <w:p>
            <w:r>
              <w:rPr>
                <w:b/>
              </w:rPr>
              <w:t>Notes</w:t>
            </w:r>
          </w:p>
        </w:tc>
      </w:tr>
      <w:tr>
        <w:tc>
          <w:tcPr>
            <w:tcW w:type="dxa" w:w="1728"/>
          </w:tcPr>
          <w:p>
            <w:r>
              <w:t>Project Detail Capture and Guided Input</w:t>
            </w:r>
          </w:p>
        </w:tc>
        <w:tc>
          <w:tcPr>
            <w:tcW w:type="dxa" w:w="1728"/>
          </w:tcPr>
          <w:p>
            <w:r>
              <w:t>FR-001, NFR-004</w:t>
            </w:r>
          </w:p>
        </w:tc>
        <w:tc>
          <w:tcPr>
            <w:tcW w:type="dxa" w:w="1728"/>
          </w:tcPr>
          <w:p>
            <w:r>
              <w:t>Medium</w:t>
            </w:r>
          </w:p>
        </w:tc>
        <w:tc>
          <w:tcPr>
            <w:tcW w:type="dxa" w:w="1728"/>
          </w:tcPr>
          <w:p>
            <w:r>
              <w:t>450</w:t>
            </w:r>
          </w:p>
        </w:tc>
        <w:tc>
          <w:tcPr>
            <w:tcW w:type="dxa" w:w="1728"/>
          </w:tcPr>
          <w:p>
            <w:r>
              <w:t>Covers guided form UX, long text input support of at least 5000 characters, required field validation, privacy-by-design handling, and usability validation. T-shirt size: M. Function point drivers include external input, validation rules, and user-facing workflow.</w:t>
            </w:r>
          </w:p>
        </w:tc>
      </w:tr>
      <w:tr>
        <w:tc>
          <w:tcPr>
            <w:tcW w:type="dxa" w:w="1728"/>
          </w:tcPr>
          <w:p>
            <w:r>
              <w:t>Document Upload, Secure Handling, and Text Extraction</w:t>
            </w:r>
          </w:p>
        </w:tc>
        <w:tc>
          <w:tcPr>
            <w:tcW w:type="dxa" w:w="1728"/>
          </w:tcPr>
          <w:p>
            <w:r>
              <w:t>FR-002, NFR-002, NFR-005</w:t>
            </w:r>
          </w:p>
        </w:tc>
        <w:tc>
          <w:tcPr>
            <w:tcW w:type="dxa" w:w="1728"/>
          </w:tcPr>
          <w:p>
            <w:r>
              <w:t>High</w:t>
            </w:r>
          </w:p>
        </w:tc>
        <w:tc>
          <w:tcPr>
            <w:tcW w:type="dxa" w:w="1728"/>
          </w:tcPr>
          <w:p>
            <w:r>
              <w:t>650</w:t>
            </w:r>
          </w:p>
        </w:tc>
        <w:tc>
          <w:tcPr>
            <w:tcW w:type="dxa" w:w="1728"/>
          </w:tcPr>
          <w:p>
            <w:r>
              <w:t>Includes PDF, DOCX, and TXT upload; extraction; status feedback; secure file processing; storage controls; error handling; and ISO 27001-aligned processing controls. T-shirt size: L. Complexity is driven by file parsing variability and secure document lifecycle requirements.</w:t>
            </w:r>
          </w:p>
        </w:tc>
      </w:tr>
      <w:tr>
        <w:tc>
          <w:tcPr>
            <w:tcW w:type="dxa" w:w="1728"/>
          </w:tcPr>
          <w:p>
            <w:r>
              <w:t>Base AI BRD Generation Service</w:t>
            </w:r>
          </w:p>
        </w:tc>
        <w:tc>
          <w:tcPr>
            <w:tcW w:type="dxa" w:w="1728"/>
          </w:tcPr>
          <w:p>
            <w:r>
              <w:t>FR-003, NFR-001</w:t>
            </w:r>
          </w:p>
        </w:tc>
        <w:tc>
          <w:tcPr>
            <w:tcW w:type="dxa" w:w="1728"/>
          </w:tcPr>
          <w:p>
            <w:r>
              <w:t>Very High</w:t>
            </w:r>
          </w:p>
        </w:tc>
        <w:tc>
          <w:tcPr>
            <w:tcW w:type="dxa" w:w="1728"/>
          </w:tcPr>
          <w:p>
            <w:r>
              <w:t>900</w:t>
            </w:r>
          </w:p>
        </w:tc>
        <w:tc>
          <w:tcPr>
            <w:tcW w:type="dxa" w:w="1728"/>
          </w:tcPr>
          <w:p>
            <w:r>
              <w:t>Includes LLM integration, generation of all required BRD sections, structured output schema, prompt strategy, response assembly, hallucination reduction controls, and performance tuning toward the 10-minute target. T-shirt size: XL.</w:t>
            </w:r>
          </w:p>
        </w:tc>
      </w:tr>
      <w:tr>
        <w:tc>
          <w:tcPr>
            <w:tcW w:type="dxa" w:w="1728"/>
          </w:tcPr>
          <w:p>
            <w:r>
              <w:t>Specialized Agent Orchestration</w:t>
            </w:r>
          </w:p>
        </w:tc>
        <w:tc>
          <w:tcPr>
            <w:tcW w:type="dxa" w:w="1728"/>
          </w:tcPr>
          <w:p>
            <w:r>
              <w:t>FR-004, NFR-001, NFR-005</w:t>
            </w:r>
          </w:p>
        </w:tc>
        <w:tc>
          <w:tcPr>
            <w:tcW w:type="dxa" w:w="1728"/>
          </w:tcPr>
          <w:p>
            <w:r>
              <w:t>Very High</w:t>
            </w:r>
          </w:p>
        </w:tc>
        <w:tc>
          <w:tcPr>
            <w:tcW w:type="dxa" w:w="1728"/>
          </w:tcPr>
          <w:p>
            <w:r>
              <w:t>750</w:t>
            </w:r>
          </w:p>
        </w:tc>
        <w:tc>
          <w:tcPr>
            <w:tcW w:type="dxa" w:w="1728"/>
          </w:tcPr>
          <w:p>
            <w:r>
              <w:t>Covers dedicated agents for project planning, effort estimation, functional requirements, and non-functional requirements, plus merged final BRD assembly and source traceability where feasible. T-shirt size: XL due to orchestration, consistency, and AI workflow complexity.</w:t>
            </w:r>
          </w:p>
        </w:tc>
      </w:tr>
      <w:tr>
        <w:tc>
          <w:tcPr>
            <w:tcW w:type="dxa" w:w="1728"/>
          </w:tcPr>
          <w:p>
            <w:r>
              <w:t>Requirement Quality Controls</w:t>
            </w:r>
          </w:p>
        </w:tc>
        <w:tc>
          <w:tcPr>
            <w:tcW w:type="dxa" w:w="1728"/>
          </w:tcPr>
          <w:p>
            <w:r>
              <w:t>FR-005</w:t>
            </w:r>
          </w:p>
        </w:tc>
        <w:tc>
          <w:tcPr>
            <w:tcW w:type="dxa" w:w="1728"/>
          </w:tcPr>
          <w:p>
            <w:r>
              <w:t>High</w:t>
            </w:r>
          </w:p>
        </w:tc>
        <w:tc>
          <w:tcPr>
            <w:tcW w:type="dxa" w:w="1728"/>
          </w:tcPr>
          <w:p>
            <w:r>
              <w:t>420</w:t>
            </w:r>
          </w:p>
        </w:tc>
        <w:tc>
          <w:tcPr>
            <w:tcW w:type="dxa" w:w="1728"/>
          </w:tcPr>
          <w:p>
            <w:r>
              <w:t>Includes validation for unique IDs, SMART wording, priority presence, acceptance criteria, missing measurable criteria, and finalization warnings. T-shirt size: L. Complexity is driven by semi-structured natural language validation.</w:t>
            </w:r>
          </w:p>
        </w:tc>
      </w:tr>
      <w:tr>
        <w:tc>
          <w:tcPr>
            <w:tcW w:type="dxa" w:w="1728"/>
          </w:tcPr>
          <w:p>
            <w:r>
              <w:t>User Review, Section Editing, Save, and Audit Trail</w:t>
            </w:r>
          </w:p>
        </w:tc>
        <w:tc>
          <w:tcPr>
            <w:tcW w:type="dxa" w:w="1728"/>
          </w:tcPr>
          <w:p>
            <w:r>
              <w:t>FR-006, NFR-005</w:t>
            </w:r>
          </w:p>
        </w:tc>
        <w:tc>
          <w:tcPr>
            <w:tcW w:type="dxa" w:w="1728"/>
          </w:tcPr>
          <w:p>
            <w:r>
              <w:t>High</w:t>
            </w:r>
          </w:p>
        </w:tc>
        <w:tc>
          <w:tcPr>
            <w:tcW w:type="dxa" w:w="1728"/>
          </w:tcPr>
          <w:p>
            <w:r>
              <w:t>650</w:t>
            </w:r>
          </w:p>
        </w:tc>
        <w:tc>
          <w:tcPr>
            <w:tcW w:type="dxa" w:w="1728"/>
          </w:tcPr>
          <w:p>
            <w:r>
              <w:t>Covers section-level editable workspace, save without full regeneration, persistence of edited content, auditability of user changes, and related backend APIs. T-shirt size: L.</w:t>
            </w:r>
          </w:p>
        </w:tc>
      </w:tr>
      <w:tr>
        <w:tc>
          <w:tcPr>
            <w:tcW w:type="dxa" w:w="1728"/>
          </w:tcPr>
          <w:p>
            <w:r>
              <w:t>Selective Regeneration and Refinement</w:t>
            </w:r>
          </w:p>
        </w:tc>
        <w:tc>
          <w:tcPr>
            <w:tcW w:type="dxa" w:w="1728"/>
          </w:tcPr>
          <w:p>
            <w:r>
              <w:t>FR-007</w:t>
            </w:r>
          </w:p>
        </w:tc>
        <w:tc>
          <w:tcPr>
            <w:tcW w:type="dxa" w:w="1728"/>
          </w:tcPr>
          <w:p>
            <w:r>
              <w:t>Medium</w:t>
            </w:r>
          </w:p>
        </w:tc>
        <w:tc>
          <w:tcPr>
            <w:tcW w:type="dxa" w:w="1728"/>
          </w:tcPr>
          <w:p>
            <w:r>
              <w:t>360</w:t>
            </w:r>
          </w:p>
        </w:tc>
        <w:tc>
          <w:tcPr>
            <w:tcW w:type="dxa" w:w="1728"/>
          </w:tcPr>
          <w:p>
            <w:r>
              <w:t>Includes ability to regenerate selected BRD sections from updated instructions without overwriting unrelated sections and presenting the latest version for user review. T-shirt size: M.</w:t>
            </w:r>
          </w:p>
        </w:tc>
      </w:tr>
      <w:tr>
        <w:tc>
          <w:tcPr>
            <w:tcW w:type="dxa" w:w="1728"/>
          </w:tcPr>
          <w:p>
            <w:r>
              <w:t>DOCX and PDF Export</w:t>
            </w:r>
          </w:p>
        </w:tc>
        <w:tc>
          <w:tcPr>
            <w:tcW w:type="dxa" w:w="1728"/>
          </w:tcPr>
          <w:p>
            <w:r>
              <w:t>FR-008, NFR-005</w:t>
            </w:r>
          </w:p>
        </w:tc>
        <w:tc>
          <w:tcPr>
            <w:tcW w:type="dxa" w:w="1728"/>
          </w:tcPr>
          <w:p>
            <w:r>
              <w:t>Medium</w:t>
            </w:r>
          </w:p>
        </w:tc>
        <w:tc>
          <w:tcPr>
            <w:tcW w:type="dxa" w:w="1728"/>
          </w:tcPr>
          <w:p>
            <w:r>
              <w:t>430</w:t>
            </w:r>
          </w:p>
        </w:tc>
        <w:tc>
          <w:tcPr>
            <w:tcW w:type="dxa" w:w="1728"/>
          </w:tcPr>
          <w:p>
            <w:r>
              <w:t>Includes export to DOCX and PDF while preserving headings, tables, lists, section order, and ensuring hidden prompts or system metadata are excluded. T-shirt size: M.</w:t>
            </w:r>
          </w:p>
        </w:tc>
      </w:tr>
      <w:tr>
        <w:tc>
          <w:tcPr>
            <w:tcW w:type="dxa" w:w="1728"/>
          </w:tcPr>
          <w:p>
            <w:r>
              <w:t>Generation History and Duplication</w:t>
            </w:r>
          </w:p>
        </w:tc>
        <w:tc>
          <w:tcPr>
            <w:tcW w:type="dxa" w:w="1728"/>
          </w:tcPr>
          <w:p>
            <w:r>
              <w:t>FR-009, NFR-005</w:t>
            </w:r>
          </w:p>
        </w:tc>
        <w:tc>
          <w:tcPr>
            <w:tcW w:type="dxa" w:w="1728"/>
          </w:tcPr>
          <w:p>
            <w:r>
              <w:t>Medium</w:t>
            </w:r>
          </w:p>
        </w:tc>
        <w:tc>
          <w:tcPr>
            <w:tcW w:type="dxa" w:w="1728"/>
          </w:tcPr>
          <w:p>
            <w:r>
              <w:t>350</w:t>
            </w:r>
          </w:p>
        </w:tc>
        <w:tc>
          <w:tcPr>
            <w:tcW w:type="dxa" w:w="1728"/>
          </w:tcPr>
          <w:p>
            <w:r>
              <w:t>Includes list and retrieval of historical BRDs by date and project name, duplicate-to-new-version functionality, and retention/deletion alignment. T-shirt size: M.</w:t>
            </w:r>
          </w:p>
        </w:tc>
      </w:tr>
      <w:tr>
        <w:tc>
          <w:tcPr>
            <w:tcW w:type="dxa" w:w="1728"/>
          </w:tcPr>
          <w:p>
            <w:r>
              <w:t>Cross-Cutting Architecture, DevOps, Security, Testing, UAT, and Delivery Management</w:t>
            </w:r>
          </w:p>
        </w:tc>
        <w:tc>
          <w:tcPr>
            <w:tcW w:type="dxa" w:w="1728"/>
          </w:tcPr>
          <w:p>
            <w:r>
              <w:t>NFR-001, NFR-002, NFR-003, NFR-004, NFR-005</w:t>
            </w:r>
          </w:p>
        </w:tc>
        <w:tc>
          <w:tcPr>
            <w:tcW w:type="dxa" w:w="1728"/>
          </w:tcPr>
          <w:p>
            <w:r>
              <w:t>High</w:t>
            </w:r>
          </w:p>
        </w:tc>
        <w:tc>
          <w:tcPr>
            <w:tcW w:type="dxa" w:w="1728"/>
          </w:tcPr>
          <w:p>
            <w:r>
              <w:t>800</w:t>
            </w:r>
          </w:p>
        </w:tc>
        <w:tc>
          <w:tcPr>
            <w:tcW w:type="dxa" w:w="1728"/>
          </w:tcPr>
          <w:p>
            <w:r>
              <w:t>Includes architecture runway, CI/CD, environments, monitoring, regression testing, performance testing, security validation, privacy validation, UAT coordination, release planning, and stakeholder management. T-shirt size: L.</w:t>
            </w:r>
          </w:p>
        </w:tc>
      </w:tr>
    </w:tbl>
    <w:p>
      <w:pPr>
        <w:pStyle w:val="Heading1"/>
      </w:pPr>
      <w:r>
        <w:t>Cost Estimate</w:t>
      </w:r>
    </w:p>
    <w:p>
      <w:r>
        <w:t>Currency: USD</w:t>
      </w:r>
    </w:p>
    <w:p>
      <w:r>
        <w:t>Low Estimate:  $596,160</w:t>
      </w:r>
    </w:p>
    <w:p>
      <w:r>
        <w:t>Mid Estimate:  $662,400</w:t>
      </w:r>
    </w:p>
    <w:p>
      <w:r>
        <w:t>High Estimate: $794,880</w:t>
      </w:r>
    </w:p>
    <w:p>
      <w:r>
        <w:t>Estimates include 20% buffer for unknowns. Base role-cost estimate before buffer is 552000 USD. Low estimate assumes 10% lower base effort/rate exposure before buffer, mid estimate uses the planned role cost plus 20% buffer, and high estimate assumes 20% higher base effort/rate exposure before buffer.</w:t>
      </w:r>
    </w:p>
    <w:p>
      <w:pPr>
        <w:pStyle w:val="Heading1"/>
      </w:pPr>
      <w:r>
        <w:t>Risks Affecting Estimate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Potential Impact (hours)</w:t>
            </w:r>
          </w:p>
        </w:tc>
        <w:tc>
          <w:tcPr>
            <w:tcW w:type="dxa" w:w="2880"/>
          </w:tcPr>
          <w:p>
            <w:r>
              <w:rPr>
                <w:b/>
              </w:rPr>
              <w:t>Mitigation</w:t>
            </w:r>
          </w:p>
        </w:tc>
      </w:tr>
      <w:tr>
        <w:tc>
          <w:tcPr>
            <w:tcW w:type="dxa" w:w="2880"/>
          </w:tcPr>
          <w:p>
            <w:r>
              <w:t>LLM output quality may require additional prompt tuning, evaluation cycles, or guardrail refinement to reduce hallucination and unsupported claims.</w:t>
            </w:r>
          </w:p>
        </w:tc>
        <w:tc>
          <w:tcPr>
            <w:tcW w:type="dxa" w:w="2880"/>
          </w:tcPr>
          <w:p>
            <w:r>
              <w:t>240</w:t>
            </w:r>
          </w:p>
        </w:tc>
        <w:tc>
          <w:tcPr>
            <w:tcW w:type="dxa" w:w="2880"/>
          </w:tcPr>
          <w:p>
            <w:r>
              <w:t>Create early prompt prototypes, define evaluation datasets, use structured schemas, add automated quality checks, and conduct iterative reviews with business stakeholders.</w:t>
            </w:r>
          </w:p>
        </w:tc>
      </w:tr>
      <w:tr>
        <w:tc>
          <w:tcPr>
            <w:tcW w:type="dxa" w:w="2880"/>
          </w:tcPr>
          <w:p>
            <w:r>
              <w:t>Document extraction from diverse PDF and DOCX formats may produce inconsistent or incomplete text.</w:t>
            </w:r>
          </w:p>
        </w:tc>
        <w:tc>
          <w:tcPr>
            <w:tcW w:type="dxa" w:w="2880"/>
          </w:tcPr>
          <w:p>
            <w:r>
              <w:t>160</w:t>
            </w:r>
          </w:p>
        </w:tc>
        <w:tc>
          <w:tcPr>
            <w:tcW w:type="dxa" w:w="2880"/>
          </w:tcPr>
          <w:p>
            <w:r>
              <w:t>Use mature extraction libraries, define supported document constraints, add extraction status feedback, and include representative sample documents in test coverage.</w:t>
            </w:r>
          </w:p>
        </w:tc>
      </w:tr>
      <w:tr>
        <w:tc>
          <w:tcPr>
            <w:tcW w:type="dxa" w:w="2880"/>
          </w:tcPr>
          <w:p>
            <w:r>
              <w:t>Performance target of 90% of standard BRDs within 10 minutes may be affected by LLM latency, document size, agent sequencing, or provider throttling.</w:t>
            </w:r>
          </w:p>
        </w:tc>
        <w:tc>
          <w:tcPr>
            <w:tcW w:type="dxa" w:w="2880"/>
          </w:tcPr>
          <w:p>
            <w:r>
              <w:t>200</w:t>
            </w:r>
          </w:p>
        </w:tc>
        <w:tc>
          <w:tcPr>
            <w:tcW w:type="dxa" w:w="2880"/>
          </w:tcPr>
          <w:p>
            <w:r>
              <w:t>Implement asynchronous generation, queue management, section-level parallelization where safe, response caching, timeout handling, and performance testing from MVP onward.</w:t>
            </w:r>
          </w:p>
        </w:tc>
      </w:tr>
      <w:tr>
        <w:tc>
          <w:tcPr>
            <w:tcW w:type="dxa" w:w="2880"/>
          </w:tcPr>
          <w:p>
            <w:r>
              <w:t>Privacy, retention, auditability, and secure processing controls may require more implementation effort depending on client compliance expectations.</w:t>
            </w:r>
          </w:p>
        </w:tc>
        <w:tc>
          <w:tcPr>
            <w:tcW w:type="dxa" w:w="2880"/>
          </w:tcPr>
          <w:p>
            <w:r>
              <w:t>180</w:t>
            </w:r>
          </w:p>
        </w:tc>
        <w:tc>
          <w:tcPr>
            <w:tcW w:type="dxa" w:w="2880"/>
          </w:tcPr>
          <w:p>
            <w:r>
              <w:t>Confirm compliance scope during discovery, define data retention rules early, implement encryption and audit logging by design, and complete security validation before UAT.</w:t>
            </w:r>
          </w:p>
        </w:tc>
      </w:tr>
      <w:tr>
        <w:tc>
          <w:tcPr>
            <w:tcW w:type="dxa" w:w="2880"/>
          </w:tcPr>
          <w:p>
            <w:r>
              <w:t>Export fidelity for complex BRD formatting, tables, lists, and section structure may need additional formatting iterations.</w:t>
            </w:r>
          </w:p>
        </w:tc>
        <w:tc>
          <w:tcPr>
            <w:tcW w:type="dxa" w:w="2880"/>
          </w:tcPr>
          <w:p>
            <w:r>
              <w:t>100</w:t>
            </w:r>
          </w:p>
        </w:tc>
        <w:tc>
          <w:tcPr>
            <w:tcW w:type="dxa" w:w="2880"/>
          </w:tcPr>
          <w:p>
            <w:r>
              <w:t>Define a controlled BRD template, test exports early with representative content, and automate regression checks for DOCX and PDF formatting.</w:t>
            </w:r>
          </w:p>
        </w:tc>
      </w:tr>
      <w:tr>
        <w:tc>
          <w:tcPr>
            <w:tcW w:type="dxa" w:w="2880"/>
          </w:tcPr>
          <w:p>
            <w:r>
              <w:t>User expectations for editable BRD workflows and regeneration behavior may evolve during UAT.</w:t>
            </w:r>
          </w:p>
        </w:tc>
        <w:tc>
          <w:tcPr>
            <w:tcW w:type="dxa" w:w="2880"/>
          </w:tcPr>
          <w:p>
            <w:r>
              <w:t>120</w:t>
            </w:r>
          </w:p>
        </w:tc>
        <w:tc>
          <w:tcPr>
            <w:tcW w:type="dxa" w:w="2880"/>
          </w:tcPr>
          <w:p>
            <w:r>
              <w:t>Prototype edit and regeneration journeys during UX phase, obtain early stakeholder sign-off, and protect scope through prioritized backlog management.</w:t>
            </w:r>
          </w:p>
        </w:tc>
      </w:tr>
    </w:tbl>
    <w:p>
      <w:pPr>
        <w:pStyle w:val="Heading1"/>
      </w:pPr>
      <w:r>
        <w:t>Assumptions</w:t>
      </w:r>
    </w:p>
    <w:p>
      <w:pPr>
        <w:pStyle w:val="ListBullet"/>
      </w:pPr>
      <w:r>
        <w:t>The planned delivery duration is 16 weeks with a recommended team size of 9 people working 40 hours per week.</w:t>
      </w:r>
    </w:p>
    <w:p>
      <w:pPr>
        <w:pStyle w:val="ListBullet"/>
      </w:pPr>
      <w:r>
        <w:t>Product Owner responsibilities are estimated under the Business Analyst role for cost reporting alignment.</w:t>
      </w:r>
    </w:p>
    <w:p>
      <w:pPr>
        <w:pStyle w:val="ListBullet"/>
      </w:pPr>
      <w:r>
        <w:t>Full Stack Engineers are split for reporting into Frontend Developer and Backend Developer capacity, and the AI/LLM Engineer is included in Backend Developer as a blended technical role.</w:t>
      </w:r>
    </w:p>
    <w:p>
      <w:pPr>
        <w:pStyle w:val="ListBullet"/>
      </w:pPr>
      <w:r>
        <w:t>The estimate assumes use of an existing commercial or enterprise LLM provider rather than building or hosting a custom foundation model.</w:t>
      </w:r>
    </w:p>
    <w:p>
      <w:pPr>
        <w:pStyle w:val="ListBullet"/>
      </w:pPr>
      <w:r>
        <w:t>The estimate assumes standard authentication and authorization patterns are available or can be implemented without complex enterprise SSO customization.</w:t>
      </w:r>
    </w:p>
    <w:p>
      <w:pPr>
        <w:pStyle w:val="ListBullet"/>
      </w:pPr>
      <w:r>
        <w:t>The platform will support PDF, DOCX, and TXT extraction for readable text documents; advanced OCR for scanned documents is not included unless separately prioritized.</w:t>
      </w:r>
    </w:p>
    <w:p>
      <w:pPr>
        <w:pStyle w:val="ListBullet"/>
      </w:pPr>
      <w:r>
        <w:t>The BRD output structure and the required 11 sections will be agreed during discovery and controlled through a configurable template or schema.</w:t>
      </w:r>
    </w:p>
    <w:p>
      <w:pPr>
        <w:pStyle w:val="ListBullet"/>
      </w:pPr>
      <w:r>
        <w:t>Cost estimates exclude third-party LLM usage fees, cloud hosting consumption, licensed document-processing tools, and enterprise security review fees unless otherwise contracted.</w:t>
      </w:r>
    </w:p>
    <w:p>
      <w:pPr>
        <w:pStyle w:val="ListBullet"/>
      </w:pPr>
      <w:r>
        <w:t>Daily rates are blended planning rates and may vary by geography, vendor, seniority mix, and contract model.</w:t>
      </w:r>
    </w:p>
    <w:p>
      <w:pPr>
        <w:pStyle w:val="ListBullet"/>
      </w:pPr>
      <w:r>
        <w:t>The 20% buffer is intended to cover estimation uncertainty, AI tuning, compliance clarifications, and integration/test rework.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