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Effort Estimation Report</w:t>
      </w:r>
    </w:p>
    <w:p>
      <w:pPr>
        <w:pStyle w:val="Heading1"/>
      </w:pPr>
      <w:r>
        <w:t>Estimation Summary</w:t>
      </w:r>
    </w:p>
    <w:p>
      <w:r>
        <w:t>Total Hours: 18240</w:t>
      </w:r>
    </w:p>
    <w:p>
      <w:r>
        <w:t>Total Duration: 48 weeks / 11 months</w:t>
      </w:r>
    </w:p>
    <w:p>
      <w:r>
        <w:t>Recommended Team Size: 13</w:t>
      </w:r>
    </w:p>
    <w:p>
      <w:r>
        <w:t>Confidence Level: Medium</w:t>
      </w:r>
    </w:p>
    <w:p>
      <w:r>
        <w:t>Methodology: Hybrid approach combining Function Point Analysis for feature complexity, T-shirt sizing for ML components, and historical data from similar fintech projects. Estimation includes 20% contingency buffer for AI/ML model refinement and regulatory compliance iterations.</w:t>
      </w:r>
    </w:p>
    <w:p>
      <w:pPr>
        <w:pStyle w:val="Heading1"/>
      </w:pPr>
      <w:r>
        <w:t>Effort by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Hours</w:t>
            </w:r>
          </w:p>
        </w:tc>
        <w:tc>
          <w:tcPr>
            <w:tcW w:type="dxa" w:w="2880"/>
          </w:tcPr>
          <w:p>
            <w:r>
              <w:rPr>
                <w:b/>
              </w:rPr>
              <w:t>% of Total</w:t>
            </w:r>
          </w:p>
        </w:tc>
      </w:tr>
      <w:tr>
        <w:tc>
          <w:tcPr>
            <w:tcW w:type="dxa" w:w="2880"/>
          </w:tcPr>
          <w:p>
            <w:r>
              <w:t>Phase 1: Foundation &amp; Core Processing</w:t>
            </w:r>
          </w:p>
        </w:tc>
        <w:tc>
          <w:tcPr>
            <w:tcW w:type="dxa" w:w="2880"/>
          </w:tcPr>
          <w:p>
            <w:r>
              <w:t>4320</w:t>
            </w:r>
          </w:p>
        </w:tc>
        <w:tc>
          <w:tcPr>
            <w:tcW w:type="dxa" w:w="2880"/>
          </w:tcPr>
          <w:p>
            <w:r>
              <w:t>24%</w:t>
            </w:r>
          </w:p>
        </w:tc>
      </w:tr>
      <w:tr>
        <w:tc>
          <w:tcPr>
            <w:tcW w:type="dxa" w:w="2880"/>
          </w:tcPr>
          <w:p>
            <w:r>
              <w:t>Phase 2: AI Intelligence &amp; Dashboard</w:t>
            </w:r>
          </w:p>
        </w:tc>
        <w:tc>
          <w:tcPr>
            <w:tcW w:type="dxa" w:w="2880"/>
          </w:tcPr>
          <w:p>
            <w:r>
              <w:t>4560</w:t>
            </w:r>
          </w:p>
        </w:tc>
        <w:tc>
          <w:tcPr>
            <w:tcW w:type="dxa" w:w="2880"/>
          </w:tcPr>
          <w:p>
            <w:r>
              <w:t>25%</w:t>
            </w:r>
          </w:p>
        </w:tc>
      </w:tr>
      <w:tr>
        <w:tc>
          <w:tcPr>
            <w:tcW w:type="dxa" w:w="2880"/>
          </w:tcPr>
          <w:p>
            <w:r>
              <w:t>Phase 3: Investment &amp; Goal Management</w:t>
            </w:r>
          </w:p>
        </w:tc>
        <w:tc>
          <w:tcPr>
            <w:tcW w:type="dxa" w:w="2880"/>
          </w:tcPr>
          <w:p>
            <w:r>
              <w:t>4320</w:t>
            </w:r>
          </w:p>
        </w:tc>
        <w:tc>
          <w:tcPr>
            <w:tcW w:type="dxa" w:w="2880"/>
          </w:tcPr>
          <w:p>
            <w:r>
              <w:t>24%</w:t>
            </w:r>
          </w:p>
        </w:tc>
      </w:tr>
      <w:tr>
        <w:tc>
          <w:tcPr>
            <w:tcW w:type="dxa" w:w="2880"/>
          </w:tcPr>
          <w:p>
            <w:r>
              <w:t>Phase 4: AI Chatbot &amp; Optimization</w:t>
            </w:r>
          </w:p>
        </w:tc>
        <w:tc>
          <w:tcPr>
            <w:tcW w:type="dxa" w:w="2880"/>
          </w:tcPr>
          <w:p>
            <w:r>
              <w:t>4800</w:t>
            </w:r>
          </w:p>
        </w:tc>
        <w:tc>
          <w:tcPr>
            <w:tcW w:type="dxa" w:w="2880"/>
          </w:tcPr>
          <w:p>
            <w:r>
              <w:t>26%</w:t>
            </w:r>
          </w:p>
        </w:tc>
      </w:tr>
      <w:tr>
        <w:tc>
          <w:tcPr>
            <w:tcW w:type="dxa" w:w="2880"/>
          </w:tcPr>
          <w:p>
            <w:r>
              <w:t>Project Management &amp; Overhead</w:t>
            </w:r>
          </w:p>
        </w:tc>
        <w:tc>
          <w:tcPr>
            <w:tcW w:type="dxa" w:w="2880"/>
          </w:tcPr>
          <w:p>
            <w:r>
              <w:t>240</w:t>
            </w:r>
          </w:p>
        </w:tc>
        <w:tc>
          <w:tcPr>
            <w:tcW w:type="dxa" w:w="2880"/>
          </w:tcPr>
          <w:p>
            <w:r>
              <w:t>1%</w:t>
            </w:r>
          </w:p>
        </w:tc>
      </w:tr>
    </w:tbl>
    <w:p>
      <w:pPr>
        <w:pStyle w:val="Heading1"/>
      </w:pPr>
      <w:r>
        <w:t>Effort by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Hours</w:t>
            </w:r>
          </w:p>
        </w:tc>
        <w:tc>
          <w:tcPr>
            <w:tcW w:type="dxa" w:w="2160"/>
          </w:tcPr>
          <w:p>
            <w:r>
              <w:rPr>
                <w:b/>
              </w:rPr>
              <w:t>Daily Rate (USD)</w:t>
            </w:r>
          </w:p>
        </w:tc>
        <w:tc>
          <w:tcPr>
            <w:tcW w:type="dxa" w:w="2160"/>
          </w:tcPr>
          <w:p>
            <w:r>
              <w:rPr>
                <w:b/>
              </w:rPr>
              <w:t>Total Cost (USD)</w:t>
            </w:r>
          </w:p>
        </w:tc>
      </w:tr>
      <w:tr>
        <w:tc>
          <w:tcPr>
            <w:tcW w:type="dxa" w:w="2160"/>
          </w:tcPr>
          <w:p>
            <w:r>
              <w:t>Product Owner</w:t>
            </w:r>
          </w:p>
        </w:tc>
        <w:tc>
          <w:tcPr>
            <w:tcW w:type="dxa" w:w="2160"/>
          </w:tcPr>
          <w:p>
            <w:r>
              <w:t>1920</w:t>
            </w:r>
          </w:p>
        </w:tc>
        <w:tc>
          <w:tcPr>
            <w:tcW w:type="dxa" w:w="2160"/>
          </w:tcPr>
          <w:p>
            <w:r>
              <w:t>850</w:t>
            </w:r>
          </w:p>
        </w:tc>
        <w:tc>
          <w:tcPr>
            <w:tcW w:type="dxa" w:w="2160"/>
          </w:tcPr>
          <w:p>
            <w:r>
              <w:t>204000</w:t>
            </w:r>
          </w:p>
        </w:tc>
      </w:tr>
      <w:tr>
        <w:tc>
          <w:tcPr>
            <w:tcW w:type="dxa" w:w="2160"/>
          </w:tcPr>
          <w:p>
            <w:r>
              <w:t>Scrum Master</w:t>
            </w:r>
          </w:p>
        </w:tc>
        <w:tc>
          <w:tcPr>
            <w:tcW w:type="dxa" w:w="2160"/>
          </w:tcPr>
          <w:p>
            <w:r>
              <w:t>1920</w:t>
            </w:r>
          </w:p>
        </w:tc>
        <w:tc>
          <w:tcPr>
            <w:tcW w:type="dxa" w:w="2160"/>
          </w:tcPr>
          <w:p>
            <w:r>
              <w:t>750</w:t>
            </w:r>
          </w:p>
        </w:tc>
        <w:tc>
          <w:tcPr>
            <w:tcW w:type="dxa" w:w="2160"/>
          </w:tcPr>
          <w:p>
            <w:r>
              <w:t>180000</w:t>
            </w:r>
          </w:p>
        </w:tc>
      </w:tr>
      <w:tr>
        <w:tc>
          <w:tcPr>
            <w:tcW w:type="dxa" w:w="2160"/>
          </w:tcPr>
          <w:p>
            <w:r>
              <w:t>ML Engineer</w:t>
            </w:r>
          </w:p>
        </w:tc>
        <w:tc>
          <w:tcPr>
            <w:tcW w:type="dxa" w:w="2160"/>
          </w:tcPr>
          <w:p>
            <w:r>
              <w:t>3840</w:t>
            </w:r>
          </w:p>
        </w:tc>
        <w:tc>
          <w:tcPr>
            <w:tcW w:type="dxa" w:w="2160"/>
          </w:tcPr>
          <w:p>
            <w:r>
              <w:t>1200</w:t>
            </w:r>
          </w:p>
        </w:tc>
        <w:tc>
          <w:tcPr>
            <w:tcW w:type="dxa" w:w="2160"/>
          </w:tcPr>
          <w:p>
            <w:r>
              <w:t>576000</w:t>
            </w:r>
          </w:p>
        </w:tc>
      </w:tr>
      <w:tr>
        <w:tc>
          <w:tcPr>
            <w:tcW w:type="dxa" w:w="2160"/>
          </w:tcPr>
          <w:p>
            <w:r>
              <w:t>Backend Developer</w:t>
            </w:r>
          </w:p>
        </w:tc>
        <w:tc>
          <w:tcPr>
            <w:tcW w:type="dxa" w:w="2160"/>
          </w:tcPr>
          <w:p>
            <w:r>
              <w:t>5760</w:t>
            </w:r>
          </w:p>
        </w:tc>
        <w:tc>
          <w:tcPr>
            <w:tcW w:type="dxa" w:w="2160"/>
          </w:tcPr>
          <w:p>
            <w:r>
              <w:t>950</w:t>
            </w:r>
          </w:p>
        </w:tc>
        <w:tc>
          <w:tcPr>
            <w:tcW w:type="dxa" w:w="2160"/>
          </w:tcPr>
          <w:p>
            <w:r>
              <w:t>684000</w:t>
            </w:r>
          </w:p>
        </w:tc>
      </w:tr>
      <w:tr>
        <w:tc>
          <w:tcPr>
            <w:tcW w:type="dxa" w:w="2160"/>
          </w:tcPr>
          <w:p>
            <w:r>
              <w:t>Frontend Developer</w:t>
            </w:r>
          </w:p>
        </w:tc>
        <w:tc>
          <w:tcPr>
            <w:tcW w:type="dxa" w:w="2160"/>
          </w:tcPr>
          <w:p>
            <w:r>
              <w:t>3840</w:t>
            </w:r>
          </w:p>
        </w:tc>
        <w:tc>
          <w:tcPr>
            <w:tcW w:type="dxa" w:w="2160"/>
          </w:tcPr>
          <w:p>
            <w:r>
              <w:t>900</w:t>
            </w:r>
          </w:p>
        </w:tc>
        <w:tc>
          <w:tcPr>
            <w:tcW w:type="dxa" w:w="2160"/>
          </w:tcPr>
          <w:p>
            <w:r>
              <w:t>432000</w:t>
            </w:r>
          </w:p>
        </w:tc>
      </w:tr>
      <w:tr>
        <w:tc>
          <w:tcPr>
            <w:tcW w:type="dxa" w:w="2160"/>
          </w:tcPr>
          <w:p>
            <w:r>
              <w:t>QA Engineer</w:t>
            </w:r>
          </w:p>
        </w:tc>
        <w:tc>
          <w:tcPr>
            <w:tcW w:type="dxa" w:w="2160"/>
          </w:tcPr>
          <w:p>
            <w:r>
              <w:t>3840</w:t>
            </w:r>
          </w:p>
        </w:tc>
        <w:tc>
          <w:tcPr>
            <w:tcW w:type="dxa" w:w="2160"/>
          </w:tcPr>
          <w:p>
            <w:r>
              <w:t>750</w:t>
            </w:r>
          </w:p>
        </w:tc>
        <w:tc>
          <w:tcPr>
            <w:tcW w:type="dxa" w:w="2160"/>
          </w:tcPr>
          <w:p>
            <w:r>
              <w:t>360000</w:t>
            </w:r>
          </w:p>
        </w:tc>
      </w:tr>
      <w:tr>
        <w:tc>
          <w:tcPr>
            <w:tcW w:type="dxa" w:w="2160"/>
          </w:tcPr>
          <w:p>
            <w:r>
              <w:t>DevOps Engineer</w:t>
            </w:r>
          </w:p>
        </w:tc>
        <w:tc>
          <w:tcPr>
            <w:tcW w:type="dxa" w:w="2160"/>
          </w:tcPr>
          <w:p>
            <w:r>
              <w:t>1920</w:t>
            </w:r>
          </w:p>
        </w:tc>
        <w:tc>
          <w:tcPr>
            <w:tcW w:type="dxa" w:w="2160"/>
          </w:tcPr>
          <w:p>
            <w:r>
              <w:t>1100</w:t>
            </w:r>
          </w:p>
        </w:tc>
        <w:tc>
          <w:tcPr>
            <w:tcW w:type="dxa" w:w="2160"/>
          </w:tcPr>
          <w:p>
            <w:r>
              <w:t>264000</w:t>
            </w:r>
          </w:p>
        </w:tc>
      </w:tr>
      <w:tr>
        <w:tc>
          <w:tcPr>
            <w:tcW w:type="dxa" w:w="2160"/>
          </w:tcPr>
          <w:p>
            <w:r>
              <w:t>UI/UX Designer</w:t>
            </w:r>
          </w:p>
        </w:tc>
        <w:tc>
          <w:tcPr>
            <w:tcW w:type="dxa" w:w="2160"/>
          </w:tcPr>
          <w:p>
            <w:r>
              <w:t>1440</w:t>
            </w:r>
          </w:p>
        </w:tc>
        <w:tc>
          <w:tcPr>
            <w:tcW w:type="dxa" w:w="2160"/>
          </w:tcPr>
          <w:p>
            <w:r>
              <w:t>800</w:t>
            </w:r>
          </w:p>
        </w:tc>
        <w:tc>
          <w:tcPr>
            <w:tcW w:type="dxa" w:w="2160"/>
          </w:tcPr>
          <w:p>
            <w:r>
              <w:t>144000</w:t>
            </w:r>
          </w:p>
        </w:tc>
      </w:tr>
    </w:tbl>
    <w:p>
      <w:pPr>
        <w:pStyle w:val="Heading1"/>
      </w:pPr>
      <w:r>
        <w:t>Effort by Feature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Area</w:t>
            </w:r>
          </w:p>
        </w:tc>
        <w:tc>
          <w:tcPr>
            <w:tcW w:type="dxa" w:w="1728"/>
          </w:tcPr>
          <w:p>
            <w:r>
              <w:rPr>
                <w:b/>
              </w:rPr>
              <w:t>Linked Requirements</w:t>
            </w:r>
          </w:p>
        </w:tc>
        <w:tc>
          <w:tcPr>
            <w:tcW w:type="dxa" w:w="1728"/>
          </w:tcPr>
          <w:p>
            <w:r>
              <w:rPr>
                <w:b/>
              </w:rPr>
              <w:t>Complexity</w:t>
            </w:r>
          </w:p>
        </w:tc>
        <w:tc>
          <w:tcPr>
            <w:tcW w:type="dxa" w:w="1728"/>
          </w:tcPr>
          <w:p>
            <w:r>
              <w:rPr>
                <w:b/>
              </w:rPr>
              <w:t>Hours</w:t>
            </w:r>
          </w:p>
        </w:tc>
        <w:tc>
          <w:tcPr>
            <w:tcW w:type="dxa" w:w="1728"/>
          </w:tcPr>
          <w:p>
            <w:r>
              <w:rPr>
                <w:b/>
              </w:rPr>
              <w:t>Notes</w:t>
            </w:r>
          </w:p>
        </w:tc>
      </w:tr>
      <w:tr>
        <w:tc>
          <w:tcPr>
            <w:tcW w:type="dxa" w:w="1728"/>
          </w:tcPr>
          <w:p>
            <w:r>
              <w:t>Bank Statement Upload and Processing (FR-001)</w:t>
            </w:r>
          </w:p>
        </w:tc>
        <w:tc>
          <w:tcPr>
            <w:tcW w:type="dxa" w:w="1728"/>
          </w:tcPr>
          <w:p>
            <w:r>
              <w:t>FR-001, NFR-001, NFR-002</w:t>
            </w:r>
          </w:p>
        </w:tc>
        <w:tc>
          <w:tcPr>
            <w:tcW w:type="dxa" w:w="1728"/>
          </w:tcPr>
          <w:p>
            <w:r>
              <w:t>High</w:t>
            </w:r>
          </w:p>
        </w:tc>
        <w:tc>
          <w:tcPr>
            <w:tcW w:type="dxa" w:w="1728"/>
          </w:tcPr>
          <w:p>
            <w:r>
              <w:t>2400</w:t>
            </w:r>
          </w:p>
        </w:tc>
        <w:tc>
          <w:tcPr>
            <w:tcW w:type="dxa" w:w="1728"/>
          </w:tcPr>
          <w:p>
            <w:r>
              <w:t>Includes PDF/CSV parsing, OCR for scanned documents, PCI DSS compliance implementation, encryption at rest and in transit, and performance optimization for 30-second processing target</w:t>
            </w:r>
          </w:p>
        </w:tc>
      </w:tr>
      <w:tr>
        <w:tc>
          <w:tcPr>
            <w:tcW w:type="dxa" w:w="1728"/>
          </w:tcPr>
          <w:p>
            <w:r>
              <w:t>AI-Powered Expense Categorization (FR-002)</w:t>
            </w:r>
          </w:p>
        </w:tc>
        <w:tc>
          <w:tcPr>
            <w:tcW w:type="dxa" w:w="1728"/>
          </w:tcPr>
          <w:p>
            <w:r>
              <w:t>FR-002</w:t>
            </w:r>
          </w:p>
        </w:tc>
        <w:tc>
          <w:tcPr>
            <w:tcW w:type="dxa" w:w="1728"/>
          </w:tcPr>
          <w:p>
            <w:r>
              <w:t>Very High</w:t>
            </w:r>
          </w:p>
        </w:tc>
        <w:tc>
          <w:tcPr>
            <w:tcW w:type="dxa" w:w="1728"/>
          </w:tcPr>
          <w:p>
            <w:r>
              <w:t>2880</w:t>
            </w:r>
          </w:p>
        </w:tc>
        <w:tc>
          <w:tcPr>
            <w:tcW w:type="dxa" w:w="1728"/>
          </w:tcPr>
          <w:p>
            <w:r>
              <w:t>ML model training with labeled dataset of 50K+ transactions, NLP for transaction description analysis, user feedback loop implementation, continuous learning pipeline, achieving 90% accuracy target</w:t>
            </w:r>
          </w:p>
        </w:tc>
      </w:tr>
      <w:tr>
        <w:tc>
          <w:tcPr>
            <w:tcW w:type="dxa" w:w="1728"/>
          </w:tcPr>
          <w:p>
            <w:r>
              <w:t>Personalized Savings Recommendations (FR-003)</w:t>
            </w:r>
          </w:p>
        </w:tc>
        <w:tc>
          <w:tcPr>
            <w:tcW w:type="dxa" w:w="1728"/>
          </w:tcPr>
          <w:p>
            <w:r>
              <w:t>FR-003</w:t>
            </w:r>
          </w:p>
        </w:tc>
        <w:tc>
          <w:tcPr>
            <w:tcW w:type="dxa" w:w="1728"/>
          </w:tcPr>
          <w:p>
            <w:r>
              <w:t>Very High</w:t>
            </w:r>
          </w:p>
        </w:tc>
        <w:tc>
          <w:tcPr>
            <w:tcW w:type="dxa" w:w="1728"/>
          </w:tcPr>
          <w:p>
            <w:r>
              <w:t>2400</w:t>
            </w:r>
          </w:p>
        </w:tc>
        <w:tc>
          <w:tcPr>
            <w:tcW w:type="dxa" w:w="1728"/>
          </w:tcPr>
          <w:p>
            <w:r>
              <w:t>Pattern detection algorithms, behavioral analysis, recommendation engine with explainability, A/B testing framework for recommendation effectiveness, monthly refresh logic</w:t>
            </w:r>
          </w:p>
        </w:tc>
      </w:tr>
      <w:tr>
        <w:tc>
          <w:tcPr>
            <w:tcW w:type="dxa" w:w="1728"/>
          </w:tcPr>
          <w:p>
            <w:r>
              <w:t>Investment Advice Engine (FR-004)</w:t>
            </w:r>
          </w:p>
        </w:tc>
        <w:tc>
          <w:tcPr>
            <w:tcW w:type="dxa" w:w="1728"/>
          </w:tcPr>
          <w:p>
            <w:r>
              <w:t>FR-004, NFR-005</w:t>
            </w:r>
          </w:p>
        </w:tc>
        <w:tc>
          <w:tcPr>
            <w:tcW w:type="dxa" w:w="1728"/>
          </w:tcPr>
          <w:p>
            <w:r>
              <w:t>Very High</w:t>
            </w:r>
          </w:p>
        </w:tc>
        <w:tc>
          <w:tcPr>
            <w:tcW w:type="dxa" w:w="1728"/>
          </w:tcPr>
          <w:p>
            <w:r>
              <w:t>2640</w:t>
            </w:r>
          </w:p>
        </w:tc>
        <w:tc>
          <w:tcPr>
            <w:tcW w:type="dxa" w:w="1728"/>
          </w:tcPr>
          <w:p>
            <w:r>
              <w:t>Risk profiling questionnaire with scoring algorithm, portfolio optimization engine, SEC compliance implementation, legal disclaimers, integration with market data feeds, backtesting framework</w:t>
            </w:r>
          </w:p>
        </w:tc>
      </w:tr>
      <w:tr>
        <w:tc>
          <w:tcPr>
            <w:tcW w:type="dxa" w:w="1728"/>
          </w:tcPr>
          <w:p>
            <w:r>
              <w:t>Insurance Product Recommendations (FR-005)</w:t>
            </w:r>
          </w:p>
        </w:tc>
        <w:tc>
          <w:tcPr>
            <w:tcW w:type="dxa" w:w="1728"/>
          </w:tcPr>
          <w:p>
            <w:r>
              <w:t>FR-005, NFR-005</w:t>
            </w:r>
          </w:p>
        </w:tc>
        <w:tc>
          <w:tcPr>
            <w:tcW w:type="dxa" w:w="1728"/>
          </w:tcPr>
          <w:p>
            <w:r>
              <w:t>High</w:t>
            </w:r>
          </w:p>
        </w:tc>
        <w:tc>
          <w:tcPr>
            <w:tcW w:type="dxa" w:w="1728"/>
          </w:tcPr>
          <w:p>
            <w:r>
              <w:t>1920</w:t>
            </w:r>
          </w:p>
        </w:tc>
        <w:tc>
          <w:tcPr>
            <w:tcW w:type="dxa" w:w="1728"/>
          </w:tcPr>
          <w:p>
            <w:r>
              <w:t>Life stage analysis, dependent-based coverage calculations, insurance product database, comparison engine, compliance with insurance marketing regulations</w:t>
            </w:r>
          </w:p>
        </w:tc>
      </w:tr>
      <w:tr>
        <w:tc>
          <w:tcPr>
            <w:tcW w:type="dxa" w:w="1728"/>
          </w:tcPr>
          <w:p>
            <w:r>
              <w:t>Interactive Financial Dashboard (FR-006)</w:t>
            </w:r>
          </w:p>
        </w:tc>
        <w:tc>
          <w:tcPr>
            <w:tcW w:type="dxa" w:w="1728"/>
          </w:tcPr>
          <w:p>
            <w:r>
              <w:t>FR-006, NFR-002</w:t>
            </w:r>
          </w:p>
        </w:tc>
        <w:tc>
          <w:tcPr>
            <w:tcW w:type="dxa" w:w="1728"/>
          </w:tcPr>
          <w:p>
            <w:r>
              <w:t>Medium</w:t>
            </w:r>
          </w:p>
        </w:tc>
        <w:tc>
          <w:tcPr>
            <w:tcW w:type="dxa" w:w="1728"/>
          </w:tcPr>
          <w:p>
            <w:r>
              <w:t>2160</w:t>
            </w:r>
          </w:p>
        </w:tc>
        <w:tc>
          <w:tcPr>
            <w:tcW w:type="dxa" w:w="1728"/>
          </w:tcPr>
          <w:p>
            <w:r>
              <w:t>Multi-chart visualization library integration, real-time data updates, responsive design for mobile/tablet/desktop, performance optimization for sub-2-second load times, accessibility compliance</w:t>
            </w:r>
          </w:p>
        </w:tc>
      </w:tr>
      <w:tr>
        <w:tc>
          <w:tcPr>
            <w:tcW w:type="dxa" w:w="1728"/>
          </w:tcPr>
          <w:p>
            <w:r>
              <w:t>Financial Goal Setting and Tracking (FR-007)</w:t>
            </w:r>
          </w:p>
        </w:tc>
        <w:tc>
          <w:tcPr>
            <w:tcW w:type="dxa" w:w="1728"/>
          </w:tcPr>
          <w:p>
            <w:r>
              <w:t>FR-007</w:t>
            </w:r>
          </w:p>
        </w:tc>
        <w:tc>
          <w:tcPr>
            <w:tcW w:type="dxa" w:w="1728"/>
          </w:tcPr>
          <w:p>
            <w:r>
              <w:t>Medium</w:t>
            </w:r>
          </w:p>
        </w:tc>
        <w:tc>
          <w:tcPr>
            <w:tcW w:type="dxa" w:w="1728"/>
          </w:tcPr>
          <w:p>
            <w:r>
              <w:t>1440</w:t>
            </w:r>
          </w:p>
        </w:tc>
        <w:tc>
          <w:tcPr>
            <w:tcW w:type="dxa" w:w="1728"/>
          </w:tcPr>
          <w:p>
            <w:r>
              <w:t>Multi-goal management, progress tracking algorithms, notification system, contribution calculator, visual progress indicators</w:t>
            </w:r>
          </w:p>
        </w:tc>
      </w:tr>
      <w:tr>
        <w:tc>
          <w:tcPr>
            <w:tcW w:type="dxa" w:w="1728"/>
          </w:tcPr>
          <w:p>
            <w:r>
              <w:t>AI Chatbot for Financial Q&amp;A (FR-008)</w:t>
            </w:r>
          </w:p>
        </w:tc>
        <w:tc>
          <w:tcPr>
            <w:tcW w:type="dxa" w:w="1728"/>
          </w:tcPr>
          <w:p>
            <w:r>
              <w:t>FR-008, NFR-002</w:t>
            </w:r>
          </w:p>
        </w:tc>
        <w:tc>
          <w:tcPr>
            <w:tcW w:type="dxa" w:w="1728"/>
          </w:tcPr>
          <w:p>
            <w:r>
              <w:t>Very High</w:t>
            </w:r>
          </w:p>
        </w:tc>
        <w:tc>
          <w:tcPr>
            <w:tcW w:type="dxa" w:w="1728"/>
          </w:tcPr>
          <w:p>
            <w:r>
              <w:t>3360</w:t>
            </w:r>
          </w:p>
        </w:tc>
        <w:tc>
          <w:tcPr>
            <w:tcW w:type="dxa" w:w="1728"/>
          </w:tcPr>
          <w:p>
            <w:r>
              <w:t>NLP model training with financial domain knowledge, intent recognition, context management, integration with user data for personalized responses, escalation logic, response time optimization to sub-3-seconds</w:t>
            </w:r>
          </w:p>
        </w:tc>
      </w:tr>
      <w:tr>
        <w:tc>
          <w:tcPr>
            <w:tcW w:type="dxa" w:w="1728"/>
          </w:tcPr>
          <w:p>
            <w:r>
              <w:t>Security &amp; Compliance Infrastructure</w:t>
            </w:r>
          </w:p>
        </w:tc>
        <w:tc>
          <w:tcPr>
            <w:tcW w:type="dxa" w:w="1728"/>
          </w:tcPr>
          <w:p>
            <w:r>
              <w:t>NFR-001, NFR-005</w:t>
            </w:r>
          </w:p>
        </w:tc>
        <w:tc>
          <w:tcPr>
            <w:tcW w:type="dxa" w:w="1728"/>
          </w:tcPr>
          <w:p>
            <w:r>
              <w:t>Very High</w:t>
            </w:r>
          </w:p>
        </w:tc>
        <w:tc>
          <w:tcPr>
            <w:tcW w:type="dxa" w:w="1728"/>
          </w:tcPr>
          <w:p>
            <w:r>
              <w:t>2880</w:t>
            </w:r>
          </w:p>
        </w:tc>
        <w:tc>
          <w:tcPr>
            <w:tcW w:type="dxa" w:w="1728"/>
          </w:tcPr>
          <w:p>
            <w:r>
              <w:t>PCI DSS Level 1 certification preparation, GDPR compliance implementation, SOC 2 Type II audit preparation, penetration testing, security monitoring, data encryption, access control systems</w:t>
            </w:r>
          </w:p>
        </w:tc>
      </w:tr>
      <w:tr>
        <w:tc>
          <w:tcPr>
            <w:tcW w:type="dxa" w:w="1728"/>
          </w:tcPr>
          <w:p>
            <w:r>
              <w:t>Platform Infrastructure &amp; DevOps</w:t>
            </w:r>
          </w:p>
        </w:tc>
        <w:tc>
          <w:tcPr>
            <w:tcW w:type="dxa" w:w="1728"/>
          </w:tcPr>
          <w:p>
            <w:r>
              <w:t>NFR-002, NFR-003, NFR-004</w:t>
            </w:r>
          </w:p>
        </w:tc>
        <w:tc>
          <w:tcPr>
            <w:tcW w:type="dxa" w:w="1728"/>
          </w:tcPr>
          <w:p>
            <w:r>
              <w:t>High</w:t>
            </w:r>
          </w:p>
        </w:tc>
        <w:tc>
          <w:tcPr>
            <w:tcW w:type="dxa" w:w="1728"/>
          </w:tcPr>
          <w:p>
            <w:r>
              <w:t>2400</w:t>
            </w:r>
          </w:p>
        </w:tc>
        <w:tc>
          <w:tcPr>
            <w:tcW w:type="dxa" w:w="1728"/>
          </w:tcPr>
          <w:p>
            <w:r>
              <w:t>Cloud infrastructure setup (AWS/Azure), auto-scaling configuration, CI/CD pipelines, monitoring and alerting, disaster recovery, 99.9% uptime architecture, load balancing, caching layer</w:t>
            </w:r>
          </w:p>
        </w:tc>
      </w:tr>
      <w:tr>
        <w:tc>
          <w:tcPr>
            <w:tcW w:type="dxa" w:w="1728"/>
          </w:tcPr>
          <w:p>
            <w:r>
              <w:t>Testing &amp; Quality Assurance</w:t>
            </w:r>
          </w:p>
        </w:tc>
        <w:tc>
          <w:tcPr>
            <w:tcW w:type="dxa" w:w="1728"/>
          </w:tcPr>
          <w:p>
            <w:r>
              <w:t>All FRs and NFRs</w:t>
            </w:r>
          </w:p>
        </w:tc>
        <w:tc>
          <w:tcPr>
            <w:tcW w:type="dxa" w:w="1728"/>
          </w:tcPr>
          <w:p>
            <w:r>
              <w:t>High</w:t>
            </w:r>
          </w:p>
        </w:tc>
        <w:tc>
          <w:tcPr>
            <w:tcW w:type="dxa" w:w="1728"/>
          </w:tcPr>
          <w:p>
            <w:r>
              <w:t>3840</w:t>
            </w:r>
          </w:p>
        </w:tc>
        <w:tc>
          <w:tcPr>
            <w:tcW w:type="dxa" w:w="1728"/>
          </w:tcPr>
          <w:p>
            <w:r>
              <w:t>Test automation framework, unit testing, integration testing, end-to-end testing, security testing, performance testing, ML model accuracy validation, UAT coordination, regression testing</w:t>
            </w:r>
          </w:p>
        </w:tc>
      </w:tr>
      <w:tr>
        <w:tc>
          <w:tcPr>
            <w:tcW w:type="dxa" w:w="1728"/>
          </w:tcPr>
          <w:p>
            <w:r>
              <w:t>UI/UX Design &amp; User Research</w:t>
            </w:r>
          </w:p>
        </w:tc>
        <w:tc>
          <w:tcPr>
            <w:tcW w:type="dxa" w:w="1728"/>
          </w:tcPr>
          <w:p>
            <w:r>
              <w:t>FR-001, FR-006, FR-007, FR-008</w:t>
            </w:r>
          </w:p>
        </w:tc>
        <w:tc>
          <w:tcPr>
            <w:tcW w:type="dxa" w:w="1728"/>
          </w:tcPr>
          <w:p>
            <w:r>
              <w:t>Medium</w:t>
            </w:r>
          </w:p>
        </w:tc>
        <w:tc>
          <w:tcPr>
            <w:tcW w:type="dxa" w:w="1728"/>
          </w:tcPr>
          <w:p>
            <w:r>
              <w:t>1440</w:t>
            </w:r>
          </w:p>
        </w:tc>
        <w:tc>
          <w:tcPr>
            <w:tcW w:type="dxa" w:w="1728"/>
          </w:tcPr>
          <w:p>
            <w:r>
              <w:t>User research with target segment, wireframing, high-fidelity mockups, design system creation, usability testing, accessibility standards, responsive design specifications</w:t>
            </w:r>
          </w:p>
        </w:tc>
      </w:tr>
    </w:tbl>
    <w:p>
      <w:pPr>
        <w:pStyle w:val="Heading1"/>
      </w:pPr>
      <w:r>
        <w:t>Cost Estimate</w:t>
      </w:r>
    </w:p>
    <w:p>
      <w:r>
        <w:t>Currency: USD</w:t>
      </w:r>
    </w:p>
    <w:p>
      <w:r>
        <w:t>Low Estimate:  $2,268,000</w:t>
      </w:r>
    </w:p>
    <w:p>
      <w:r>
        <w:t>Mid Estimate:  $2,844,000</w:t>
      </w:r>
    </w:p>
    <w:p>
      <w:r>
        <w:t>High Estimate: $3,420,000</w:t>
      </w:r>
    </w:p>
    <w:p>
      <w:r>
        <w:t>Estimates include 20% buffer for unknowns. Low estimate assumes optimal ML model performance and minimal regulatory iterations. Mid estimate is most likely scenario with normal complexity. High estimate accounts for ML model retraining cycles, regulatory compliance delays, and scope expansion. Costs based on US market rates for senior-level talent. Does not include third-party licensing (cloud infrastructure, ML platforms, market data feeds estimated at additional $120K-$180K annually)</w:t>
      </w:r>
    </w:p>
    <w:p>
      <w:pPr>
        <w:pStyle w:val="Heading1"/>
      </w:pPr>
      <w:r>
        <w:t>Risks Affecting Estimate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Potential Impact (hours)</w:t>
            </w:r>
          </w:p>
        </w:tc>
        <w:tc>
          <w:tcPr>
            <w:tcW w:type="dxa" w:w="2880"/>
          </w:tcPr>
          <w:p>
            <w:r>
              <w:rPr>
                <w:b/>
              </w:rPr>
              <w:t>Mitigation</w:t>
            </w:r>
          </w:p>
        </w:tc>
      </w:tr>
      <w:tr>
        <w:tc>
          <w:tcPr>
            <w:tcW w:type="dxa" w:w="2880"/>
          </w:tcPr>
          <w:p>
            <w:r>
              <w:t>ML Model Accuracy Below Target - Expense categorization or recommendation engines fail to meet 90% accuracy threshold</w:t>
            </w:r>
          </w:p>
        </w:tc>
        <w:tc>
          <w:tcPr>
            <w:tcW w:type="dxa" w:w="2880"/>
          </w:tcPr>
          <w:p>
            <w:r>
              <w:t>960</w:t>
            </w:r>
          </w:p>
        </w:tc>
        <w:tc>
          <w:tcPr>
            <w:tcW w:type="dxa" w:w="2880"/>
          </w:tcPr>
          <w:p>
            <w:r>
              <w:t>Allocate additional ML engineer time for model refinement, expand training dataset, implement ensemble methods, budget for external ML consulting if needed</w:t>
            </w:r>
          </w:p>
        </w:tc>
      </w:tr>
      <w:tr>
        <w:tc>
          <w:tcPr>
            <w:tcW w:type="dxa" w:w="2880"/>
          </w:tcPr>
          <w:p>
            <w:r>
              <w:t>Regulatory Compliance Delays - PCI DSS, SEC, or insurance regulations require extensive rework</w:t>
            </w:r>
          </w:p>
        </w:tc>
        <w:tc>
          <w:tcPr>
            <w:tcW w:type="dxa" w:w="2880"/>
          </w:tcPr>
          <w:p>
            <w:r>
              <w:t>720</w:t>
            </w:r>
          </w:p>
        </w:tc>
        <w:tc>
          <w:tcPr>
            <w:tcW w:type="dxa" w:w="2880"/>
          </w:tcPr>
          <w:p>
            <w:r>
              <w:t>Engage compliance consultants early in Phase 1, conduct pre-certification audits, build buffer time in Phase 3 for legal reviews, implement compliance-first architecture</w:t>
            </w:r>
          </w:p>
        </w:tc>
      </w:tr>
      <w:tr>
        <w:tc>
          <w:tcPr>
            <w:tcW w:type="dxa" w:w="2880"/>
          </w:tcPr>
          <w:p>
            <w:r>
              <w:t>Third-Party Integration Complexity - Bank data APIs or market data feeds more complex than anticipated</w:t>
            </w:r>
          </w:p>
        </w:tc>
        <w:tc>
          <w:tcPr>
            <w:tcW w:type="dxa" w:w="2880"/>
          </w:tcPr>
          <w:p>
            <w:r>
              <w:t>480</w:t>
            </w:r>
          </w:p>
        </w:tc>
        <w:tc>
          <w:tcPr>
            <w:tcW w:type="dxa" w:w="2880"/>
          </w:tcPr>
          <w:p>
            <w:r>
              <w:t>Prototype integrations early, identify alternative data providers, build abstraction layers, allocate contingency for custom parsing logic</w:t>
            </w:r>
          </w:p>
        </w:tc>
      </w:tr>
      <w:tr>
        <w:tc>
          <w:tcPr>
            <w:tcW w:type="dxa" w:w="2880"/>
          </w:tcPr>
          <w:p>
            <w:r>
              <w:t>Performance Issues at Scale - System fails to meet NFR-002 and NFR-004 under load</w:t>
            </w:r>
          </w:p>
        </w:tc>
        <w:tc>
          <w:tcPr>
            <w:tcW w:type="dxa" w:w="2880"/>
          </w:tcPr>
          <w:p>
            <w:r>
              <w:t>640</w:t>
            </w:r>
          </w:p>
        </w:tc>
        <w:tc>
          <w:tcPr>
            <w:tcW w:type="dxa" w:w="2880"/>
          </w:tcPr>
          <w:p>
            <w:r>
              <w:t>Implement performance testing from Phase 1, use proven scalable architecture patterns, conduct load testing at 2x expected capacity, optimize database queries early</w:t>
            </w:r>
          </w:p>
        </w:tc>
      </w:tr>
      <w:tr>
        <w:tc>
          <w:tcPr>
            <w:tcW w:type="dxa" w:w="2880"/>
          </w:tcPr>
          <w:p>
            <w:r>
              <w:t>Scope Creep - Stakeholders request additional features or ML capabilities mid-project</w:t>
            </w:r>
          </w:p>
        </w:tc>
        <w:tc>
          <w:tcPr>
            <w:tcW w:type="dxa" w:w="2880"/>
          </w:tcPr>
          <w:p>
            <w:r>
              <w:t>800</w:t>
            </w:r>
          </w:p>
        </w:tc>
        <w:tc>
          <w:tcPr>
            <w:tcW w:type="dxa" w:w="2880"/>
          </w:tcPr>
          <w:p>
            <w:r>
              <w:t>Strict change control process, prioritize via MoSCoW, defer Could Have features to post-launch, maintain product backlog discipline</w:t>
            </w:r>
          </w:p>
        </w:tc>
      </w:tr>
      <w:tr>
        <w:tc>
          <w:tcPr>
            <w:tcW w:type="dxa" w:w="2880"/>
          </w:tcPr>
          <w:p>
            <w:r>
              <w:t>Data Quality Issues - User-uploaded bank statements vary significantly in format and quality</w:t>
            </w:r>
          </w:p>
        </w:tc>
        <w:tc>
          <w:tcPr>
            <w:tcW w:type="dxa" w:w="2880"/>
          </w:tcPr>
          <w:p>
            <w:r>
              <w:t>560</w:t>
            </w:r>
          </w:p>
        </w:tc>
        <w:tc>
          <w:tcPr>
            <w:tcW w:type="dxa" w:w="2880"/>
          </w:tcPr>
          <w:p>
            <w:r>
              <w:t>Build robust error handling, implement manual review queue, expand test dataset to cover edge cases, provide clear user guidance on accepted formats</w:t>
            </w:r>
          </w:p>
        </w:tc>
      </w:tr>
      <w:tr>
        <w:tc>
          <w:tcPr>
            <w:tcW w:type="dxa" w:w="2880"/>
          </w:tcPr>
          <w:p>
            <w:r>
              <w:t>Team Ramp-Up Time - ML and fintech domain knowledge gap in development team</w:t>
            </w:r>
          </w:p>
        </w:tc>
        <w:tc>
          <w:tcPr>
            <w:tcW w:type="dxa" w:w="2880"/>
          </w:tcPr>
          <w:p>
            <w:r>
              <w:t>400</w:t>
            </w:r>
          </w:p>
        </w:tc>
        <w:tc>
          <w:tcPr>
            <w:tcW w:type="dxa" w:w="2880"/>
          </w:tcPr>
          <w:p>
            <w:r>
              <w:t>Conduct domain training sessions, pair junior with senior ML engineers, allocate learning time in sprint planning, bring in fintech subject matter experts</w:t>
            </w:r>
          </w:p>
        </w:tc>
      </w:tr>
      <w:tr>
        <w:tc>
          <w:tcPr>
            <w:tcW w:type="dxa" w:w="2880"/>
          </w:tcPr>
          <w:p>
            <w:r>
              <w:t>Security Vulnerability Discovery - Penetration testing reveals critical security flaws requiring architectural changes</w:t>
            </w:r>
          </w:p>
        </w:tc>
        <w:tc>
          <w:tcPr>
            <w:tcW w:type="dxa" w:w="2880"/>
          </w:tcPr>
          <w:p>
            <w:r>
              <w:t>720</w:t>
            </w:r>
          </w:p>
        </w:tc>
        <w:tc>
          <w:tcPr>
            <w:tcW w:type="dxa" w:w="2880"/>
          </w:tcPr>
          <w:p>
            <w:r>
              <w:t>Implement security-first development practices, conduct regular security reviews, engage third-party security auditors, build security buffer in timeline</w:t>
            </w:r>
          </w:p>
        </w:tc>
      </w:tr>
    </w:tbl>
    <w:p>
      <w:pPr>
        <w:pStyle w:val="Heading1"/>
      </w:pPr>
      <w:r>
        <w:t>Assumptions</w:t>
      </w:r>
    </w:p>
    <w:p>
      <w:pPr>
        <w:pStyle w:val="ListBullet"/>
      </w:pPr>
      <w:r>
        <w:t>Team members are available full-time (40 hours/week) throughout the 48-week project duration</w:t>
      </w:r>
    </w:p>
    <w:p>
      <w:pPr>
        <w:pStyle w:val="ListBullet"/>
      </w:pPr>
      <w:r>
        <w:t>ML engineers have prior experience with financial data and recommendation systems</w:t>
      </w:r>
    </w:p>
    <w:p>
      <w:pPr>
        <w:pStyle w:val="ListBullet"/>
      </w:pPr>
      <w:r>
        <w:t>Cloud infrastructure costs are separate from labor estimates and budgeted independently</w:t>
      </w:r>
    </w:p>
    <w:p>
      <w:pPr>
        <w:pStyle w:val="ListBullet"/>
      </w:pPr>
      <w:r>
        <w:t>Training datasets for ML models are available or can be synthesized within the timeline</w:t>
      </w:r>
    </w:p>
    <w:p>
      <w:pPr>
        <w:pStyle w:val="ListBullet"/>
      </w:pPr>
      <w:r>
        <w:t>Bank statement formats follow relatively standard patterns (ISO 20022 or similar)</w:t>
      </w:r>
    </w:p>
    <w:p>
      <w:pPr>
        <w:pStyle w:val="ListBullet"/>
      </w:pPr>
      <w:r>
        <w:t>Regulatory compliance consultants are engaged as subject matter experts, not included in core team count</w:t>
      </w:r>
    </w:p>
    <w:p>
      <w:pPr>
        <w:pStyle w:val="ListBullet"/>
      </w:pPr>
      <w:r>
        <w:t>Project follows Agile/Scrum methodology with 2-week sprints</w:t>
      </w:r>
    </w:p>
    <w:p>
      <w:pPr>
        <w:pStyle w:val="ListBullet"/>
      </w:pPr>
      <w:r>
        <w:t>Third-party APIs for market data and insurance products are available with reasonable integration effort</w:t>
      </w:r>
    </w:p>
    <w:p>
      <w:pPr>
        <w:pStyle w:val="ListBullet"/>
      </w:pPr>
      <w:r>
        <w:t>No major technology stack changes or platform migrations during development</w:t>
      </w:r>
    </w:p>
    <w:p>
      <w:pPr>
        <w:pStyle w:val="ListBullet"/>
      </w:pPr>
      <w:r>
        <w:t>User acceptance testing participants (young professionals) are readily available</w:t>
      </w:r>
    </w:p>
    <w:p>
      <w:pPr>
        <w:pStyle w:val="ListBullet"/>
      </w:pPr>
      <w:r>
        <w:t>Legal and compliance review cycles complete within planned timeframes</w:t>
      </w:r>
    </w:p>
    <w:p>
      <w:pPr>
        <w:pStyle w:val="ListBullet"/>
      </w:pPr>
      <w:r>
        <w:t>No major changes to financial regulations (SEC, PCI DSS, GDPR) during development period</w:t>
      </w:r>
    </w:p>
    <w:p>
      <w:pPr>
        <w:pStyle w:val="ListBullet"/>
      </w:pPr>
      <w:r>
        <w:t>Team has access to necessary development tools, licenses, and environments</w:t>
      </w:r>
    </w:p>
    <w:p>
      <w:pPr>
        <w:pStyle w:val="ListBullet"/>
      </w:pPr>
      <w:r>
        <w:t>Holiday and vacation time is already factored into the 40-hour/week allocation (assumes 10% overhead)</w:t>
      </w:r>
    </w:p>
    <w:p>
      <w:pPr>
        <w:pStyle w:val="ListBullet"/>
      </w:pPr>
      <w:r>
        <w:t>Knowledge transfer and documentation are included in task estimates</w:t>
      </w:r>
    </w:p>
    <w:p>
      <w:pPr>
        <w:pStyle w:val="ListBullet"/>
      </w:pPr>
      <w:r>
        <w:t>Post-launch support and maintenance are not included in this estimate</w:t>
      </w:r>
    </w:p>
    <w:p>
      <w:pPr>
        <w:pStyle w:val="ListBullet"/>
      </w:pPr>
      <w:r>
        <w:t>Rates are based on contractor/consultant rates; full-time employee costs may differ</w:t>
      </w:r>
    </w:p>
    <w:p>
      <w:pPr>
        <w:pStyle w:val="ListBullet"/>
      </w:pPr>
      <w:r>
        <w:t>Exchange rates remain stable for international team members if applicable</w:t>
      </w:r>
    </w:p>
    <w:p>
      <w:pPr>
        <w:pStyle w:val="ListBullet"/>
      </w:pPr>
      <w:r>
        <w:t>No catastrophic technical failures requiring major rework</w:t>
      </w:r>
    </w:p>
    <w:p>
      <w:pPr>
        <w:pStyle w:val="ListBullet"/>
      </w:pPr>
      <w:r>
        <w:t>Stakeholder availability for timely decisions and approvals throughout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