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r>
        <w:rPr>
          <w:sz w:val="18"/>
          <w:szCs w:val="18"/>
        </w:rPr>
        <w:t>in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Chakli Circle, Old Padra Road, Vadodara, Gujarat - </w:t>
      </w:r>
      <w:r>
        <w:rPr>
          <w:sz w:val="18"/>
          <w:szCs w:val="18"/>
        </w:rPr>
        <w:t xml:space="preserve">390 007 and corporate office at ICICI Bank Towers, Bandra-Kurla Complex, Bandra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r>
        <w:rPr>
          <w:b/>
          <w:bCs/>
          <w:sz w:val="18"/>
          <w:szCs w:val="18"/>
          <w:u w:val="single"/>
        </w:rPr>
        <w:lastRenderedPageBreak/>
        <w:t>WHEREAS</w:t>
      </w:r>
      <w:r>
        <w:rPr>
          <w:b/>
          <w:bCs/>
          <w:sz w:val="18"/>
          <w:szCs w:val="18"/>
        </w:rPr>
        <w:t xml:space="preserve"> :</w:t>
      </w:r>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NOW THEREFORE THESE PRESENTS WITNESSETH THAT :</w:t>
      </w:r>
    </w:p>
    <w:p w:rsidR="00C92662" w:rsidRDefault="00C92662">
      <w:pPr>
        <w:jc w:val="both"/>
        <w:rPr>
          <w:sz w:val="18"/>
          <w:szCs w:val="18"/>
        </w:rPr>
      </w:pPr>
    </w:p>
    <w:p w:rsidR="00C92662" w:rsidRDefault="00C92662">
      <w:pPr>
        <w:jc w:val="both"/>
        <w:rPr>
          <w:sz w:val="18"/>
          <w:szCs w:val="18"/>
        </w:rPr>
      </w:pPr>
      <w:r w:rsidRPr="00D83F50">
        <w:rPr>
          <w:sz w:val="18"/>
          <w:szCs w:val="18"/>
          <w:highlight w:val="magenta"/>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r>
      <w:r w:rsidRPr="00D83F50">
        <w:rPr>
          <w:sz w:val="18"/>
          <w:szCs w:val="18"/>
          <w:highlight w:val="magenta"/>
        </w:rPr>
        <w:t xml:space="preserve">In pursuance of the Facility Agreement and for the consideration aforesaid, the Assets are hereby hypothecated by the Hypothecator as and by way of charge, with such ranking as is more particularly specified in </w:t>
      </w:r>
      <w:r w:rsidRPr="00D83F50">
        <w:rPr>
          <w:i/>
          <w:iCs/>
          <w:sz w:val="18"/>
          <w:szCs w:val="18"/>
          <w:highlight w:val="magenta"/>
        </w:rPr>
        <w:t>Schedule I</w:t>
      </w:r>
      <w:r w:rsidRPr="00D83F50">
        <w:rPr>
          <w:sz w:val="18"/>
          <w:szCs w:val="18"/>
          <w:highlight w:val="magenta"/>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r>
        <w:rPr>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 xml:space="preserve">(i)(a)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Pr="00D83F50" w:rsidRDefault="00C92662">
      <w:pPr>
        <w:jc w:val="both"/>
        <w:rPr>
          <w:snapToGrid w:val="0"/>
          <w:color w:val="000000"/>
          <w:sz w:val="18"/>
          <w:szCs w:val="18"/>
          <w:highlight w:val="magenta"/>
        </w:rPr>
      </w:pPr>
      <w:r w:rsidRPr="00D83F50">
        <w:rPr>
          <w:snapToGrid w:val="0"/>
          <w:color w:val="000000"/>
          <w:sz w:val="18"/>
          <w:szCs w:val="18"/>
          <w:highlight w:val="magenta"/>
        </w:rPr>
        <w:t xml:space="preserve">(iii) in the event of </w:t>
      </w:r>
      <w:r w:rsidR="003F6348" w:rsidRPr="00D83F50">
        <w:rPr>
          <w:snapToGrid w:val="0"/>
          <w:color w:val="000000"/>
          <w:sz w:val="18"/>
          <w:szCs w:val="18"/>
          <w:highlight w:val="magenta"/>
        </w:rPr>
        <w:t>payment</w:t>
      </w:r>
      <w:r w:rsidRPr="00D83F50">
        <w:rPr>
          <w:snapToGrid w:val="0"/>
          <w:color w:val="000000"/>
          <w:sz w:val="18"/>
          <w:szCs w:val="18"/>
          <w:highlight w:val="magenta"/>
        </w:rPr>
        <w:t xml:space="preserve"> default by the Borrower, the Bank or its nominees or authorized persons shall, in case such default is not remedied by the Borrower to the satisfaction of the Bank, with </w:t>
      </w:r>
      <w:r w:rsidR="003F6348" w:rsidRPr="00D83F50">
        <w:rPr>
          <w:snapToGrid w:val="0"/>
          <w:color w:val="000000"/>
          <w:sz w:val="18"/>
          <w:szCs w:val="18"/>
          <w:highlight w:val="magenta"/>
        </w:rPr>
        <w:t xml:space="preserve">prior notice </w:t>
      </w:r>
      <w:r w:rsidRPr="00D83F50">
        <w:rPr>
          <w:snapToGrid w:val="0"/>
          <w:color w:val="000000"/>
          <w:sz w:val="18"/>
          <w:szCs w:val="18"/>
          <w:highlight w:val="magenta"/>
        </w:rPr>
        <w:t xml:space="preserve">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realisation or otherwise dispose off or deal with all or </w:t>
      </w:r>
      <w:r w:rsidRPr="00D83F50">
        <w:rPr>
          <w:snapToGrid w:val="0"/>
          <w:color w:val="000000"/>
          <w:sz w:val="18"/>
          <w:szCs w:val="18"/>
          <w:highlight w:val="magenta"/>
        </w:rPr>
        <w:t>any part of the Assets and enforce, realise, settle, compromise and deal with any rights or claims relating thereto without being bound to exercise any of these powers or be liable for any losses in the exercise or non-exercise thereof, to be freed anddischarged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Pr="00D83F50" w:rsidRDefault="00C92662">
      <w:pPr>
        <w:jc w:val="both"/>
        <w:rPr>
          <w:sz w:val="18"/>
          <w:szCs w:val="18"/>
          <w:highlight w:val="magenta"/>
        </w:rPr>
      </w:pPr>
    </w:p>
    <w:p w:rsidR="00C92662" w:rsidRPr="00D83F50" w:rsidRDefault="00C92662">
      <w:pPr>
        <w:jc w:val="both"/>
        <w:rPr>
          <w:snapToGrid w:val="0"/>
          <w:color w:val="000000"/>
          <w:sz w:val="18"/>
          <w:szCs w:val="18"/>
          <w:highlight w:val="magenta"/>
        </w:rPr>
      </w:pPr>
      <w:r w:rsidRPr="00D83F50">
        <w:rPr>
          <w:snapToGrid w:val="0"/>
          <w:color w:val="000000"/>
          <w:sz w:val="18"/>
          <w:szCs w:val="18"/>
          <w:highlight w:val="magenta"/>
        </w:rPr>
        <w:t>(a) deliver / forthwith cause the same to be delivered to the Bank;</w:t>
      </w:r>
    </w:p>
    <w:p w:rsidR="00C92662" w:rsidRPr="00D83F50" w:rsidRDefault="00C92662">
      <w:pPr>
        <w:jc w:val="both"/>
        <w:rPr>
          <w:snapToGrid w:val="0"/>
          <w:color w:val="000000"/>
          <w:sz w:val="18"/>
          <w:szCs w:val="18"/>
          <w:highlight w:val="magenta"/>
        </w:rPr>
      </w:pPr>
    </w:p>
    <w:p w:rsidR="00C92662" w:rsidRDefault="00C92662">
      <w:pPr>
        <w:jc w:val="both"/>
        <w:rPr>
          <w:snapToGrid w:val="0"/>
          <w:color w:val="000000"/>
          <w:sz w:val="18"/>
          <w:szCs w:val="18"/>
        </w:rPr>
      </w:pPr>
      <w:r w:rsidRPr="00D83F50">
        <w:rPr>
          <w:snapToGrid w:val="0"/>
          <w:color w:val="000000"/>
          <w:sz w:val="18"/>
          <w:szCs w:val="18"/>
          <w:highlight w:val="magenta"/>
        </w:rPr>
        <w:t>(b) provide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realisations as sufficient proof of amounts realised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Receiver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Such  Receiver shall,  in  exercise  of  his powers,  authorities and discretions, conform to the regulation </w:t>
      </w:r>
      <w:r>
        <w:rPr>
          <w:snapToGrid w:val="0"/>
          <w:color w:val="000000"/>
          <w:sz w:val="18"/>
          <w:szCs w:val="18"/>
        </w:rPr>
        <w:lastRenderedPageBreak/>
        <w:t>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sidRPr="00D83F50">
        <w:rPr>
          <w:snapToGrid w:val="0"/>
          <w:color w:val="000000"/>
          <w:sz w:val="18"/>
          <w:szCs w:val="18"/>
          <w:highlight w:val="magenta"/>
        </w:rPr>
        <w:t xml:space="preserve">(vi) All the Assets and all sale realisations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w:t>
      </w:r>
      <w:r w:rsidRPr="00D83F50">
        <w:rPr>
          <w:snapToGrid w:val="0"/>
          <w:color w:val="000000"/>
          <w:sz w:val="18"/>
          <w:szCs w:val="18"/>
          <w:highlight w:val="magenta"/>
        </w:rPr>
        <w:t>reimbursement thereof PROVIDED that except to the extent specifically permitted by the Bank hereunder or otherwise in writing, the Hypothecator shall not sell or dispose off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(ix) The   Hypothecator hereby  appoints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execute  such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t>
      </w:r>
      <w:r>
        <w:rPr>
          <w:sz w:val="18"/>
          <w:szCs w:val="18"/>
        </w:rPr>
        <w:lastRenderedPageBreak/>
        <w:t>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Pr="00D83F50" w:rsidRDefault="00C92662">
      <w:pPr>
        <w:jc w:val="both"/>
        <w:rPr>
          <w:snapToGrid w:val="0"/>
          <w:color w:val="000000"/>
          <w:sz w:val="18"/>
          <w:szCs w:val="18"/>
          <w:highlight w:val="magenta"/>
        </w:rPr>
      </w:pPr>
      <w:r w:rsidRPr="00D83F50">
        <w:rPr>
          <w:snapToGrid w:val="0"/>
          <w:color w:val="000000"/>
          <w:sz w:val="18"/>
          <w:szCs w:val="18"/>
          <w:highlight w:val="magenta"/>
        </w:rPr>
        <w:t>(xiii) The Hypothecator hereby represents and warrants that :</w:t>
      </w:r>
    </w:p>
    <w:p w:rsidR="00C92662" w:rsidRPr="00D83F50" w:rsidRDefault="00C92662">
      <w:pPr>
        <w:jc w:val="both"/>
        <w:rPr>
          <w:snapToGrid w:val="0"/>
          <w:color w:val="000000"/>
          <w:sz w:val="18"/>
          <w:szCs w:val="18"/>
          <w:highlight w:val="magenta"/>
        </w:rPr>
      </w:pPr>
    </w:p>
    <w:p w:rsidR="00C92662" w:rsidRPr="00D83F50" w:rsidRDefault="00C92662">
      <w:pPr>
        <w:jc w:val="both"/>
        <w:rPr>
          <w:sz w:val="18"/>
          <w:szCs w:val="18"/>
          <w:highlight w:val="magenta"/>
        </w:rPr>
      </w:pPr>
      <w:r w:rsidRPr="00D83F50">
        <w:rPr>
          <w:color w:val="000000"/>
          <w:sz w:val="18"/>
          <w:szCs w:val="18"/>
          <w:highlight w:val="magenta"/>
        </w:rPr>
        <w:t>(a</w:t>
      </w:r>
      <w:r w:rsidRPr="00D83F50">
        <w:rPr>
          <w:sz w:val="18"/>
          <w:szCs w:val="18"/>
          <w:highlight w:val="magenta"/>
        </w:rPr>
        <w:t xml:space="preserve">) The Hypothecator has the competence and power to execute this Deed; </w:t>
      </w:r>
    </w:p>
    <w:p w:rsidR="00C92662" w:rsidRPr="00D83F50" w:rsidRDefault="00C92662">
      <w:pPr>
        <w:jc w:val="both"/>
        <w:rPr>
          <w:color w:val="000000"/>
          <w:sz w:val="18"/>
          <w:szCs w:val="18"/>
          <w:highlight w:val="magenta"/>
        </w:rPr>
      </w:pPr>
      <w:r w:rsidRPr="00D83F50">
        <w:rPr>
          <w:sz w:val="18"/>
          <w:szCs w:val="18"/>
          <w:highlight w:val="magenta"/>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sidRPr="00D83F50">
        <w:rPr>
          <w:color w:val="000000"/>
          <w:sz w:val="18"/>
          <w:szCs w:val="18"/>
          <w:highlight w:val="magenta"/>
        </w:rPr>
        <w:t xml:space="preserve">  </w:t>
      </w:r>
    </w:p>
    <w:p w:rsidR="00C92662" w:rsidRPr="00D83F50" w:rsidRDefault="00C92662">
      <w:pPr>
        <w:jc w:val="both"/>
        <w:rPr>
          <w:sz w:val="18"/>
          <w:szCs w:val="18"/>
          <w:highlight w:val="magenta"/>
        </w:rPr>
      </w:pPr>
      <w:r w:rsidRPr="00D83F50">
        <w:rPr>
          <w:sz w:val="18"/>
          <w:szCs w:val="18"/>
          <w:highlight w:val="magenta"/>
          <w:lang w:val="en-GB"/>
        </w:rPr>
        <w:t xml:space="preserve">(c) </w:t>
      </w:r>
      <w:r w:rsidRPr="00D83F50">
        <w:rPr>
          <w:sz w:val="18"/>
          <w:szCs w:val="18"/>
          <w:highlight w:val="magenta"/>
        </w:rPr>
        <w:t xml:space="preserve">This Deed has been duly and validly executed by the Hypothecator or on behalf of the Hypothecator and this Deed constitutes legal, valid and binding obligations of the Hypothecator; </w:t>
      </w:r>
    </w:p>
    <w:p w:rsidR="00C92662" w:rsidRPr="00D83F50" w:rsidRDefault="00C92662">
      <w:pPr>
        <w:jc w:val="both"/>
        <w:rPr>
          <w:sz w:val="18"/>
          <w:szCs w:val="18"/>
          <w:highlight w:val="magenta"/>
        </w:rPr>
      </w:pPr>
      <w:r w:rsidRPr="00D83F50">
        <w:rPr>
          <w:sz w:val="18"/>
          <w:szCs w:val="18"/>
          <w:highlight w:val="magenta"/>
          <w:lang w:val="en-GB"/>
        </w:rPr>
        <w:t xml:space="preserve">(d) </w:t>
      </w:r>
      <w:r w:rsidRPr="00D83F50">
        <w:rPr>
          <w:sz w:val="18"/>
          <w:szCs w:val="18"/>
          <w:highlight w:val="magenta"/>
        </w:rPr>
        <w:t xml:space="preserve">The entry into, delivery and performance by the Hypothecator of, and the transactions contemplated by, this Deed do not and will not conflict : (i) with any law; (ii) with the constitutional documents, if any, of the Hypothecator; or (iii) with any document which is binding upon the Hypothecator or on any of its assets; </w:t>
      </w:r>
    </w:p>
    <w:p w:rsidR="00C92662" w:rsidRPr="00D83F50" w:rsidRDefault="00C92662">
      <w:pPr>
        <w:jc w:val="both"/>
        <w:rPr>
          <w:color w:val="000000"/>
          <w:sz w:val="18"/>
          <w:szCs w:val="18"/>
          <w:highlight w:val="magenta"/>
        </w:rPr>
      </w:pPr>
      <w:r w:rsidRPr="00D83F50">
        <w:rPr>
          <w:sz w:val="18"/>
          <w:szCs w:val="18"/>
          <w:highlight w:val="magenta"/>
          <w:lang w:val="en-GB"/>
        </w:rPr>
        <w:t xml:space="preserve">(e) </w:t>
      </w:r>
      <w:r w:rsidRPr="00D83F50">
        <w:rPr>
          <w:sz w:val="18"/>
          <w:szCs w:val="18"/>
          <w:highlight w:val="magenta"/>
        </w:rPr>
        <w:t xml:space="preserve">All amounts payable by the Hypothecator under this Deed will be made free and clear of and without deduction / withholding for or on account of any tax or levy and without any setoff; </w:t>
      </w:r>
    </w:p>
    <w:p w:rsidR="00C92662" w:rsidRPr="00D83F50" w:rsidRDefault="00C92662">
      <w:pPr>
        <w:jc w:val="both"/>
        <w:rPr>
          <w:color w:val="000000"/>
          <w:sz w:val="18"/>
          <w:szCs w:val="18"/>
          <w:highlight w:val="magenta"/>
        </w:rPr>
      </w:pPr>
      <w:r w:rsidRPr="00D83F50">
        <w:rPr>
          <w:sz w:val="18"/>
          <w:szCs w:val="18"/>
          <w:highlight w:val="magenta"/>
        </w:rPr>
        <w:t xml:space="preserve">(f)(i) To the extent applicable, the execution or entering into by the Hypothecator of this Deed constitutes, and performance of its obligations under this Deed will constitute, private and commercial acts done and performed for private and commercial purposes; </w:t>
      </w:r>
      <w:r w:rsidRPr="00D83F50">
        <w:rPr>
          <w:color w:val="000000"/>
          <w:sz w:val="18"/>
          <w:szCs w:val="18"/>
          <w:highlight w:val="magenta"/>
        </w:rPr>
        <w:t>(ii) The Hypothecator is not, will not be entitled to, and will not claim immunity for itself or any of its assets from suit, execution, attachment or other legal process in any proceedings in relation to this Deed;</w:t>
      </w:r>
    </w:p>
    <w:p w:rsidR="00C92662" w:rsidRPr="00D83F50" w:rsidRDefault="00C92662">
      <w:pPr>
        <w:jc w:val="both"/>
        <w:rPr>
          <w:sz w:val="18"/>
          <w:szCs w:val="18"/>
          <w:highlight w:val="magenta"/>
        </w:rPr>
      </w:pPr>
      <w:r w:rsidRPr="00D83F50">
        <w:rPr>
          <w:sz w:val="18"/>
          <w:szCs w:val="18"/>
          <w:highlight w:val="magenta"/>
        </w:rPr>
        <w:t>(g) The Hypothecator’s agreement that this Deed is governed by Indian law, is legal, valid and binding on the Hypothecator;</w:t>
      </w:r>
    </w:p>
    <w:p w:rsidR="00C92662" w:rsidRPr="00D83F50" w:rsidRDefault="00C92662">
      <w:pPr>
        <w:jc w:val="both"/>
        <w:rPr>
          <w:sz w:val="18"/>
          <w:szCs w:val="18"/>
          <w:highlight w:val="magenta"/>
        </w:rPr>
      </w:pPr>
      <w:r w:rsidRPr="00D83F50">
        <w:rPr>
          <w:sz w:val="18"/>
          <w:szCs w:val="18"/>
          <w:highlight w:val="magenta"/>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sidRPr="00D83F50">
        <w:rPr>
          <w:sz w:val="18"/>
          <w:szCs w:val="18"/>
          <w:highlight w:val="magenta"/>
          <w:lang w:val="en-GB"/>
        </w:rPr>
        <w:t>(i) (i</w:t>
      </w:r>
      <w:r w:rsidRPr="00D83F50">
        <w:rPr>
          <w:sz w:val="18"/>
          <w:szCs w:val="18"/>
          <w:highlight w:val="magenta"/>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t>
      </w:r>
      <w:r w:rsidR="003F6348">
        <w:rPr>
          <w:snapToGrid w:val="0"/>
          <w:sz w:val="18"/>
          <w:szCs w:val="18"/>
        </w:rPr>
        <w:t>with prior notice to</w:t>
      </w:r>
      <w:r>
        <w:rPr>
          <w:snapToGrid w:val="0"/>
          <w:sz w:val="18"/>
          <w:szCs w:val="18"/>
        </w:rPr>
        <w:t xml:space="preserve"> the Hypothecator, the Borrower and the Bank </w:t>
      </w:r>
      <w:r w:rsidR="003F6348">
        <w:rPr>
          <w:snapToGrid w:val="0"/>
          <w:sz w:val="18"/>
          <w:szCs w:val="18"/>
        </w:rPr>
        <w:t>may</w:t>
      </w:r>
      <w:r>
        <w:rPr>
          <w:snapToGrid w:val="0"/>
          <w:sz w:val="18"/>
          <w:szCs w:val="18"/>
        </w:rPr>
        <w:t xml:space="preserve">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security(ies)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w:t>
      </w:r>
      <w:r w:rsidR="003F6348">
        <w:rPr>
          <w:snapToGrid w:val="0"/>
          <w:sz w:val="18"/>
          <w:szCs w:val="18"/>
        </w:rPr>
        <w:t xml:space="preserve">on with, or release of security, provided prior notice is provided to the Hypothecator.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lastRenderedPageBreak/>
        <w:t>(xvi) This Deed shall be enforceable against the Hypothecator notwithstanding that any security(ties) comprised in any instrument(s) executed or to be executed in favour of the Bank shall, at the time when the proceedings are taken against the Hypothecator on this Deed, be outstanding or unrealised or lost.</w:t>
      </w:r>
    </w:p>
    <w:p w:rsidR="00C92662" w:rsidRDefault="00C92662">
      <w:pPr>
        <w:jc w:val="both"/>
        <w:rPr>
          <w:snapToGrid w:val="0"/>
          <w:color w:val="000000"/>
          <w:sz w:val="18"/>
          <w:szCs w:val="18"/>
        </w:rPr>
      </w:pPr>
    </w:p>
    <w:p w:rsidR="00C92662" w:rsidRDefault="00C92662">
      <w:pPr>
        <w:jc w:val="both"/>
        <w:rPr>
          <w:sz w:val="18"/>
          <w:szCs w:val="18"/>
        </w:rPr>
      </w:pPr>
      <w:r w:rsidRPr="00D83F50">
        <w:rPr>
          <w:sz w:val="18"/>
          <w:szCs w:val="18"/>
          <w:highlight w:val="magenta"/>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Pr="003F6348"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r>
        <w:rPr>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  A certificate in writing signed by a duly authorised official of the Bank shall be conclusive evidence  of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(xxiii) The security created  under this Deed shall not be affected by : (i)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take over of the management of the Borrower / the Hypothecator by Central or  State Government or by any other authority; or </w:t>
      </w:r>
      <w:r>
        <w:rPr>
          <w:snapToGrid w:val="0"/>
          <w:color w:val="000000"/>
          <w:sz w:val="18"/>
          <w:szCs w:val="18"/>
        </w:rPr>
        <w:t xml:space="preserve">(iii) acquisition or nationalisation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sidRPr="00D83F50">
        <w:rPr>
          <w:sz w:val="18"/>
          <w:szCs w:val="18"/>
          <w:highlight w:val="magenta"/>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bookmarkStart w:id="0" w:name="_GoBack"/>
      <w:bookmarkEnd w:id="0"/>
      <w:r w:rsidRPr="00D83F50">
        <w:rPr>
          <w:sz w:val="18"/>
          <w:szCs w:val="18"/>
          <w:highlight w:val="magenta"/>
        </w:rPr>
        <w:t>(xxviii) The Hypothecator agrees that any legal action or proceedings arising out of this  Deed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(xxix) The Hypothecator hereby agrees, confirms and undertakes that :</w:t>
      </w:r>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 xml:space="preserve">(i)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(D) the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r>
        <w:rPr>
          <w:rFonts w:ascii="Times New Roman" w:hAnsi="Times New Roman"/>
          <w:color w:val="auto"/>
          <w:sz w:val="18"/>
          <w:szCs w:val="18"/>
        </w:rPr>
        <w:t xml:space="preserve">1.A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At : </w:t>
      </w:r>
      <w:r w:rsidR="003F6348">
        <w:rPr>
          <w:rFonts w:ascii="Times New Roman" w:hAnsi="Times New Roman"/>
          <w:color w:val="auto"/>
          <w:sz w:val="18"/>
          <w:szCs w:val="18"/>
        </w:rPr>
        <w:t>Siliguri</w:t>
      </w:r>
      <w:r>
        <w:rPr>
          <w:rFonts w:ascii="Times New Roman" w:hAnsi="Times New Roman"/>
          <w:color w:val="auto"/>
          <w:sz w:val="18"/>
          <w:szCs w:val="18"/>
        </w:rPr>
        <w:t xml:space="preserve"> in the State of</w:t>
      </w:r>
      <w:r w:rsidR="003F6348">
        <w:rPr>
          <w:rFonts w:ascii="Times New Roman" w:hAnsi="Times New Roman"/>
          <w:color w:val="auto"/>
          <w:sz w:val="18"/>
          <w:szCs w:val="18"/>
        </w:rPr>
        <w:t xml:space="preserve"> West Bengal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The 8</w:t>
      </w:r>
      <w:r w:rsidRPr="003F6348">
        <w:rPr>
          <w:rFonts w:ascii="Times New Roman" w:hAnsi="Times New Roman"/>
          <w:color w:val="auto"/>
          <w:sz w:val="18"/>
          <w:szCs w:val="18"/>
          <w:vertAlign w:val="superscript"/>
        </w:rPr>
        <w:t>th</w:t>
      </w:r>
      <w:r>
        <w:rPr>
          <w:rFonts w:ascii="Times New Roman" w:hAnsi="Times New Roman"/>
          <w:color w:val="auto"/>
          <w:sz w:val="18"/>
          <w:szCs w:val="18"/>
        </w:rPr>
        <w:t xml:space="preserve"> </w:t>
      </w:r>
      <w:r w:rsidR="004E6616" w:rsidRPr="00C87E6D">
        <w:rPr>
          <w:rFonts w:ascii="Times New Roman" w:hAnsi="Times New Roman"/>
          <w:color w:val="auto"/>
          <w:sz w:val="18"/>
          <w:szCs w:val="18"/>
        </w:rPr>
        <w:t xml:space="preserve">day of </w:t>
      </w:r>
      <w:r>
        <w:rPr>
          <w:rFonts w:ascii="Times New Roman" w:hAnsi="Times New Roman"/>
          <w:color w:val="auto"/>
          <w:sz w:val="18"/>
          <w:szCs w:val="18"/>
        </w:rPr>
        <w:t>February</w:t>
      </w:r>
      <w:r w:rsidR="004E6616" w:rsidRPr="00C87E6D">
        <w:rPr>
          <w:rFonts w:ascii="Times New Roman" w:hAnsi="Times New Roman"/>
          <w:color w:val="auto"/>
          <w:sz w:val="18"/>
          <w:szCs w:val="18"/>
        </w:rPr>
        <w:t xml:space="preserve">, Two Thousand and </w:t>
      </w:r>
      <w:r>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1C.  </w:t>
      </w:r>
      <w:r>
        <w:rPr>
          <w:rFonts w:ascii="Times New Roman" w:hAnsi="Times New Roman"/>
          <w:b/>
          <w:color w:val="auto"/>
          <w:sz w:val="18"/>
          <w:szCs w:val="18"/>
        </w:rPr>
        <w:t>AMOUNT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3F6348">
        <w:rPr>
          <w:rFonts w:ascii="Times New Roman" w:hAnsi="Times New Roman"/>
          <w:sz w:val="18"/>
          <w:szCs w:val="18"/>
        </w:rPr>
        <w:t xml:space="preserve">190.0 </w:t>
      </w:r>
      <w:r>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ICICI Bank, Gurusaday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 xml:space="preserve">2.A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jc w:val="both"/>
        <w:rPr>
          <w:sz w:val="18"/>
        </w:rPr>
      </w:pPr>
      <w:r>
        <w:rPr>
          <w:rStyle w:val="FootnoteReference"/>
          <w:sz w:val="18"/>
        </w:rPr>
        <w:footnoteReference w:id="3"/>
      </w:r>
      <w:r w:rsidR="003F6348">
        <w:rPr>
          <w:sz w:val="18"/>
        </w:rPr>
        <w:t xml:space="preserve"> </w:t>
      </w:r>
      <w:r w:rsidR="00520601">
        <w:rPr>
          <w:sz w:val="18"/>
        </w:rPr>
        <w:t xml:space="preserve">EARTH REALTY </w:t>
      </w:r>
      <w:r>
        <w:rPr>
          <w:sz w:val="18"/>
        </w:rPr>
        <w:t xml:space="preserve">LIMITED, a company within the meaning of the Companies Act, </w:t>
      </w:r>
      <w:r w:rsidR="00520601">
        <w:rPr>
          <w:sz w:val="18"/>
        </w:rPr>
        <w:t>2013</w:t>
      </w:r>
      <w:r>
        <w:rPr>
          <w:sz w:val="18"/>
        </w:rPr>
        <w:t xml:space="preserve"> and having its Registered Office at </w:t>
      </w:r>
      <w:r w:rsidR="00520601">
        <w:rPr>
          <w:sz w:val="18"/>
        </w:rPr>
        <w:t>Siliguri</w:t>
      </w:r>
      <w:r>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520601">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 xml:space="preserve">2B.  DETAILS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520601" w:rsidRDefault="00520601" w:rsidP="00520601">
      <w:pPr>
        <w:jc w:val="both"/>
        <w:rPr>
          <w:sz w:val="18"/>
        </w:rPr>
      </w:pPr>
      <w:r>
        <w:rPr>
          <w:sz w:val="18"/>
        </w:rPr>
        <w:t xml:space="preserve">GALAXY REALTY LIMITED, a company within the meaning of the Companies Act, 2013 and having its Registered Office at Siliguri.  </w:t>
      </w:r>
    </w:p>
    <w:p w:rsidR="00520601" w:rsidRDefault="00520601" w:rsidP="00520601">
      <w:pPr>
        <w:rPr>
          <w:sz w:val="18"/>
        </w:rPr>
      </w:pPr>
    </w:p>
    <w:p w:rsidR="00520601" w:rsidRDefault="00520601" w:rsidP="00520601">
      <w:pPr>
        <w:jc w:val="both"/>
        <w:rPr>
          <w:sz w:val="18"/>
        </w:rPr>
      </w:pPr>
      <w:r>
        <w:rPr>
          <w:sz w:val="18"/>
        </w:rPr>
        <w:t xml:space="preserve">The expression “Borrower”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 xml:space="preserve">3.A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 :</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All capitalised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520601"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w:t>
      </w:r>
      <w:r w:rsidR="004E6616">
        <w:rPr>
          <w:rFonts w:ascii="Times New Roman" w:hAnsi="Times New Roman"/>
          <w:color w:val="auto"/>
          <w:sz w:val="18"/>
          <w:szCs w:val="18"/>
        </w:rPr>
        <w:t>i)</w:t>
      </w:r>
      <w:r w:rsidR="004E6616">
        <w:rPr>
          <w:rStyle w:val="FootnoteReference"/>
          <w:rFonts w:ascii="Times New Roman" w:hAnsi="Times New Roman"/>
          <w:color w:val="auto"/>
          <w:sz w:val="18"/>
          <w:szCs w:val="18"/>
        </w:rPr>
        <w:footnoteReference w:id="5"/>
      </w:r>
      <w:r w:rsidR="004E6616">
        <w:rPr>
          <w:rFonts w:ascii="Times New Roman" w:hAnsi="Times New Roman"/>
          <w:color w:val="auto"/>
          <w:sz w:val="18"/>
          <w:szCs w:val="18"/>
        </w:rPr>
        <w:t xml:space="preserve"> The Receivables have been hereby hypothecated as and by way of second charge and  shall rank:</w:t>
      </w:r>
    </w:p>
    <w:p w:rsidR="004E6616" w:rsidRDefault="00520601" w:rsidP="00520601">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ab/>
      </w: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subsequent to the charge created / to be created in favour of : </w:t>
      </w:r>
      <w:r w:rsidR="00520601">
        <w:rPr>
          <w:rFonts w:ascii="Times New Roman" w:hAnsi="Times New Roman"/>
          <w:sz w:val="18"/>
          <w:szCs w:val="18"/>
        </w:rPr>
        <w:t>IDFC Bank Limited</w:t>
      </w:r>
    </w:p>
    <w:p w:rsidR="00520601" w:rsidRDefault="00520601"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3.C  </w:t>
      </w:r>
      <w:r>
        <w:rPr>
          <w:rStyle w:val="FootnoteReference"/>
          <w:rFonts w:ascii="Times New Roman" w:hAnsi="Times New Roman"/>
          <w:sz w:val="18"/>
          <w:szCs w:val="18"/>
        </w:rPr>
        <w:footnoteReference w:id="6"/>
      </w:r>
      <w:r>
        <w:rPr>
          <w:rFonts w:ascii="Times New Roman" w:hAnsi="Times New Roman"/>
          <w:sz w:val="18"/>
          <w:szCs w:val="18"/>
        </w:rPr>
        <w:t>Provided that the Hypothecator shall be entitled at all times to sell or dispose off the Current Assets in the ordinary course of business (subject to deposit of sale proceeds thereof in the Account) and avail further drawals from the Account for the purpose of acquiring further Current Assets, subject to the Borrower and the Hypothecator complying with the terms and conditions of the Facility Agreement and these presents respectively.</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7"/>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r>
        <w:rPr>
          <w:rFonts w:ascii="Times New Roman" w:hAnsi="Times New Roman"/>
          <w:b/>
          <w:color w:val="auto"/>
          <w:sz w:val="18"/>
          <w:szCs w:val="18"/>
          <w:u w:val="single"/>
        </w:rPr>
        <w:lastRenderedPageBreak/>
        <w:t xml:space="preserve">SCHEDULE  II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520601"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1" w:name="_Ref507072684"/>
      <w:r>
        <w:rPr>
          <w:sz w:val="18"/>
          <w:szCs w:val="18"/>
        </w:rPr>
        <w:t>(1</w:t>
      </w:r>
      <w:r w:rsidR="004E6616">
        <w:rPr>
          <w:sz w:val="18"/>
          <w:szCs w:val="18"/>
        </w:rPr>
        <w:t xml:space="preserve">) All amounts owing to, and received and/or receivable by, the Hypothecator and/or any person on its behalf, all book debts, all cash flows and receivables and proceeds arising from </w:t>
      </w:r>
      <w:r>
        <w:rPr>
          <w:sz w:val="18"/>
          <w:szCs w:val="18"/>
        </w:rPr>
        <w:t>the City Lights Mall</w:t>
      </w:r>
      <w:r w:rsidR="004E6616">
        <w:rPr>
          <w:sz w:val="18"/>
          <w:szCs w:val="18"/>
        </w:rPr>
        <w:t xml:space="preserve"> and all rights, title, interest, benefits, claims and demands whatsoever of the Hypothecator in, to or in respect of all the aforesaid assets, including but not limited to the Hypothecator’s cash-in-hand, both present and future (the “Receivables”, </w:t>
      </w:r>
      <w:r w:rsidR="004E6616">
        <w:rPr>
          <w:snapToGrid w:val="0"/>
          <w:sz w:val="18"/>
          <w:szCs w:val="18"/>
        </w:rPr>
        <w:t>which expression shall, as the context may permit or require, mean any or each of such Receivables</w:t>
      </w:r>
      <w:r w:rsidR="004E6616">
        <w:rPr>
          <w:sz w:val="18"/>
          <w:szCs w:val="18"/>
        </w:rPr>
        <w:t>).</w:t>
      </w:r>
    </w:p>
    <w:bookmarkEnd w:id="1"/>
    <w:p w:rsidR="004E6616" w:rsidRDefault="004E6616" w:rsidP="004E6616">
      <w:pPr>
        <w:pStyle w:val="Bodytext"/>
        <w:tabs>
          <w:tab w:val="left" w:pos="0"/>
        </w:tabs>
        <w:spacing w:line="240" w:lineRule="auto"/>
        <w:rPr>
          <w:sz w:val="18"/>
          <w:szCs w:val="18"/>
        </w:rPr>
      </w:pPr>
      <w:r>
        <w:br w:type="page"/>
      </w:r>
      <w:r>
        <w:rPr>
          <w:sz w:val="18"/>
          <w:szCs w:val="18"/>
        </w:rPr>
        <w:lastRenderedPageBreak/>
        <w:t xml:space="preserve">[ SINCE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 xml:space="preserve">FIRST PAGE OF DOH TO BE PRINTED ON STAMP PAPER OF APPROPRIATE VALUE AS PER REL.STATE STAMP LAWS;  </w:t>
      </w:r>
      <w:r>
        <w:rPr>
          <w:b/>
          <w:sz w:val="18"/>
          <w:szCs w:val="18"/>
        </w:rPr>
        <w:t>DOH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tblGrid>
      <w:tr w:rsidR="004E6616" w:rsidTr="00520601">
        <w:trPr>
          <w:trHeight w:val="1107"/>
        </w:trPr>
        <w:tc>
          <w:tcPr>
            <w:tcW w:w="4032"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520601">
              <w:rPr>
                <w:snapToGrid w:val="0"/>
                <w:sz w:val="18"/>
                <w:szCs w:val="18"/>
              </w:rPr>
              <w:t>EARTH REALTY</w:t>
            </w:r>
            <w:r>
              <w:rPr>
                <w:snapToGrid w:val="0"/>
                <w:sz w:val="18"/>
                <w:szCs w:val="18"/>
              </w:rPr>
              <w:t xml:space="preserve"> LIMITED by the hand of Mr</w:t>
            </w:r>
            <w:r w:rsidR="00520601">
              <w:rPr>
                <w:snapToGrid w:val="0"/>
                <w:sz w:val="18"/>
                <w:szCs w:val="18"/>
              </w:rPr>
              <w:t>. Vinayak Chawla</w:t>
            </w:r>
            <w:r>
              <w:rPr>
                <w:snapToGrid w:val="0"/>
                <w:sz w:val="18"/>
                <w:szCs w:val="18"/>
              </w:rPr>
              <w:t xml:space="preserve"> who has been authorized pursuant to the resolutions passed by the Board of Directors at its meeting held on the </w:t>
            </w:r>
            <w:r w:rsidR="00520601">
              <w:rPr>
                <w:snapToGrid w:val="0"/>
                <w:sz w:val="18"/>
                <w:szCs w:val="18"/>
              </w:rPr>
              <w:t>29</w:t>
            </w:r>
            <w:r w:rsidR="00520601" w:rsidRPr="00520601">
              <w:rPr>
                <w:snapToGrid w:val="0"/>
                <w:sz w:val="18"/>
                <w:szCs w:val="18"/>
                <w:vertAlign w:val="superscript"/>
              </w:rPr>
              <w:t>th</w:t>
            </w:r>
            <w:r w:rsidR="00520601">
              <w:rPr>
                <w:snapToGrid w:val="0"/>
                <w:sz w:val="18"/>
                <w:szCs w:val="18"/>
              </w:rPr>
              <w:t xml:space="preserve"> </w:t>
            </w:r>
            <w:r>
              <w:rPr>
                <w:snapToGrid w:val="0"/>
                <w:sz w:val="18"/>
                <w:szCs w:val="18"/>
              </w:rPr>
              <w:t xml:space="preserve">day of </w:t>
            </w:r>
            <w:r w:rsidR="00520601">
              <w:rPr>
                <w:snapToGrid w:val="0"/>
                <w:sz w:val="18"/>
                <w:szCs w:val="18"/>
              </w:rPr>
              <w:t>January, 2023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BF5" w:rsidRDefault="00EB6BF5">
      <w:r>
        <w:separator/>
      </w:r>
    </w:p>
  </w:endnote>
  <w:endnote w:type="continuationSeparator" w:id="0">
    <w:p w:rsidR="00EB6BF5" w:rsidRDefault="00EB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83F50">
      <w:rPr>
        <w:rStyle w:val="PageNumber"/>
        <w:noProof/>
        <w:sz w:val="18"/>
        <w:szCs w:val="18"/>
      </w:rPr>
      <w:t>7</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BF5" w:rsidRDefault="00EB6BF5">
      <w:r>
        <w:separator/>
      </w:r>
    </w:p>
  </w:footnote>
  <w:footnote w:type="continuationSeparator" w:id="0">
    <w:p w:rsidR="00EB6BF5" w:rsidRDefault="00EB6BF5">
      <w:r>
        <w:continuationSeparator/>
      </w:r>
    </w:p>
  </w:footnote>
  <w:footnote w:id="1">
    <w:p w:rsidR="00367250" w:rsidRDefault="00367250">
      <w:pPr>
        <w:pStyle w:val="FootnoteText"/>
      </w:pPr>
      <w:r>
        <w:rPr>
          <w:rStyle w:val="FootnoteReference"/>
        </w:rPr>
        <w:footnoteRef/>
      </w:r>
      <w:r>
        <w:t xml:space="preserve"> </w:t>
      </w:r>
      <w:r w:rsidRPr="00D57809">
        <w:rPr>
          <w:sz w:val="16"/>
          <w:szCs w:val="16"/>
        </w:rPr>
        <w:t>To be deleted if the facility agreement is not executed on Eazysign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sz w:val="12"/>
        </w:rPr>
        <w:footnoteRef/>
      </w:r>
      <w:r>
        <w:rPr>
          <w:sz w:val="12"/>
        </w:rPr>
        <w:t xml:space="preserve"> applicable in case of company</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3F6348"/>
    <w:rsid w:val="004E6616"/>
    <w:rsid w:val="00500E58"/>
    <w:rsid w:val="00520601"/>
    <w:rsid w:val="0059717A"/>
    <w:rsid w:val="005C6F09"/>
    <w:rsid w:val="006E7A75"/>
    <w:rsid w:val="00730F48"/>
    <w:rsid w:val="00853160"/>
    <w:rsid w:val="009039AF"/>
    <w:rsid w:val="009523F1"/>
    <w:rsid w:val="00B71D4A"/>
    <w:rsid w:val="00C92662"/>
    <w:rsid w:val="00CF76AF"/>
    <w:rsid w:val="00D57809"/>
    <w:rsid w:val="00D83F50"/>
    <w:rsid w:val="00DE58B2"/>
    <w:rsid w:val="00EB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ECA2-BFA7-4A30-BF07-9BDB287B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Ayesha Das     /CLGE/IBANK/KOLKATA</cp:lastModifiedBy>
  <cp:revision>2</cp:revision>
  <dcterms:created xsi:type="dcterms:W3CDTF">2023-03-15T12:41:00Z</dcterms:created>
  <dcterms:modified xsi:type="dcterms:W3CDTF">2023-03-15T12:41:00Z</dcterms:modified>
</cp:coreProperties>
</file>