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421CA5BE"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3E32B2FA"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3A08ED9F"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00D278FF" w:rsidRPr="00C5781A">
        <w:rPr>
          <w:snapToGrid w:val="0"/>
          <w:color w:val="000000"/>
          <w:szCs w:val="22"/>
          <w:lang w:val="en-US"/>
        </w:rPr>
        <w:t>an</w:t>
      </w:r>
      <w:proofErr w:type="gramEnd"/>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00C31A34" w:rsidRPr="00C5781A">
        <w:rPr>
          <w:snapToGrid w:val="0"/>
          <w:color w:val="000000"/>
          <w:szCs w:val="22"/>
          <w:lang w:val="en-US"/>
        </w:rPr>
        <w:t>an</w:t>
      </w:r>
      <w:proofErr w:type="gramEnd"/>
      <w:r w:rsidR="00C31A34" w:rsidRPr="00C5781A">
        <w:rPr>
          <w:snapToGrid w:val="0"/>
          <w:color w:val="000000"/>
          <w:szCs w:val="22"/>
          <w:lang w:val="en-US"/>
        </w:rPr>
        <w:t xml:space="preserve">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w:t>
      </w:r>
      <w:r w:rsidR="00824057" w:rsidRPr="00C5781A">
        <w:rPr>
          <w:snapToGrid w:val="0"/>
        </w:rPr>
        <w:lastRenderedPageBreak/>
        <w:t>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w:t>
      </w:r>
      <w:proofErr w:type="spellStart"/>
      <w:r w:rsidRPr="00C5781A">
        <w:t>i</w:t>
      </w:r>
      <w:proofErr w:type="spellEnd"/>
      <w:r w:rsidRPr="00C5781A">
        <w:t xml:space="preserve">)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0390CD93"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652B2797"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3C0B0602"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w:t>
      </w:r>
      <w:r w:rsidR="009A1ED0">
        <w:rPr>
          <w:szCs w:val="20"/>
          <w:lang w:eastAsia="ar-SA"/>
        </w:rPr>
        <w:t>8</w:t>
      </w:r>
      <w:r w:rsidRPr="00C5781A">
        <w:rPr>
          <w:szCs w:val="20"/>
          <w:lang w:eastAsia="ar-SA"/>
        </w:rPr>
        <w:t>0</w:t>
      </w:r>
      <w:r w:rsidR="007233A3">
        <w:rPr>
          <w:szCs w:val="20"/>
          <w:lang w:eastAsia="ar-SA"/>
        </w:rPr>
        <w:t xml:space="preserve"> (</w:t>
      </w:r>
      <w:r w:rsidR="009A1ED0">
        <w:rPr>
          <w:szCs w:val="20"/>
          <w:lang w:eastAsia="ar-SA"/>
        </w:rPr>
        <w:t>one hundred and eighty</w:t>
      </w:r>
      <w:r w:rsidR="007233A3">
        <w:rPr>
          <w:szCs w:val="20"/>
          <w:lang w:eastAsia="ar-SA"/>
        </w:rPr>
        <w:t>)</w:t>
      </w:r>
      <w:r w:rsidRPr="00C5781A">
        <w:rPr>
          <w:szCs w:val="20"/>
          <w:lang w:eastAsia="ar-SA"/>
        </w:rPr>
        <w:t xml:space="preserve"> days after the same are issued, </w:t>
      </w:r>
      <w:r w:rsidR="009A1ED0">
        <w:rPr>
          <w:szCs w:val="20"/>
          <w:lang w:eastAsia="ar-SA"/>
        </w:rPr>
        <w:t>photocopies</w:t>
      </w:r>
      <w:r w:rsidRPr="00C5781A">
        <w:rPr>
          <w:szCs w:val="20"/>
          <w:lang w:eastAsia="ar-SA"/>
        </w:rPr>
        <w:t xml:space="preserve">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50FE3EA8"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xml:space="preserve">)), </w:t>
      </w:r>
      <w:r w:rsidR="009A1ED0">
        <w:rPr>
          <w:color w:val="000000"/>
          <w:szCs w:val="22"/>
          <w:lang w:val="en-US"/>
        </w:rPr>
        <w:t>United Nations</w:t>
      </w:r>
      <w:r w:rsidRPr="00C91320">
        <w:rPr>
          <w:color w:val="000000"/>
          <w:szCs w:val="22"/>
          <w:lang w:val="en-US"/>
        </w:rPr>
        <w:t>,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w:t>
      </w:r>
      <w:proofErr w:type="spellStart"/>
      <w:r w:rsidR="00557195" w:rsidRPr="00C5781A">
        <w:rPr>
          <w:color w:val="000000"/>
          <w:szCs w:val="22"/>
          <w:lang w:val="en-US"/>
        </w:rPr>
        <w:t>i</w:t>
      </w:r>
      <w:proofErr w:type="spellEnd"/>
      <w:r w:rsidR="00557195" w:rsidRPr="00C5781A">
        <w:rPr>
          <w:color w:val="000000"/>
          <w:szCs w:val="22"/>
          <w:lang w:val="en-US"/>
        </w:rPr>
        <w:t>)</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proofErr w:type="gramStart"/>
      <w:r w:rsidR="007611B6" w:rsidRPr="00C5781A">
        <w:rPr>
          <w:color w:val="000000"/>
          <w:szCs w:val="22"/>
          <w:lang w:val="en-US"/>
        </w:rPr>
        <w:t>is</w:t>
      </w:r>
      <w:proofErr w:type="gramEnd"/>
      <w:r w:rsidR="007611B6" w:rsidRPr="00C5781A">
        <w:rPr>
          <w:color w:val="000000"/>
          <w:szCs w:val="22"/>
          <w:lang w:val="en-US"/>
        </w:rPr>
        <w:t xml:space="preserve">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 xml:space="preserve">identified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is found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w:t>
      </w:r>
      <w:proofErr w:type="spellStart"/>
      <w:r w:rsidR="00142368" w:rsidRPr="00C5781A">
        <w:rPr>
          <w:color w:val="000000"/>
          <w:szCs w:val="22"/>
        </w:rPr>
        <w:t>i</w:t>
      </w:r>
      <w:proofErr w:type="spellEnd"/>
      <w:r w:rsidR="00142368" w:rsidRPr="00C5781A">
        <w:rPr>
          <w:color w:val="000000"/>
          <w:szCs w:val="22"/>
        </w:rPr>
        <w:t xml:space="preserve">)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w:t>
      </w:r>
      <w:r w:rsidR="00CC3CF1" w:rsidRPr="00C5781A">
        <w:rPr>
          <w:color w:val="000000"/>
          <w:szCs w:val="22"/>
          <w:lang w:val="en-US"/>
        </w:rPr>
        <w:lastRenderedPageBreak/>
        <w:t xml:space="preserve">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76FC544D"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w:t>
      </w:r>
      <w:proofErr w:type="spellStart"/>
      <w:r w:rsidR="00CA2BC6">
        <w:t>i</w:t>
      </w:r>
      <w:proofErr w:type="spellEnd"/>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proofErr w:type="spellStart"/>
      <w:r w:rsidR="00457494" w:rsidRPr="003E6FAD">
        <w:rPr>
          <w:i/>
          <w:color w:val="000000"/>
          <w:szCs w:val="22"/>
        </w:rPr>
        <w:t>pari</w:t>
      </w:r>
      <w:proofErr w:type="spellEnd"/>
      <w:r w:rsidR="00457494" w:rsidRPr="003E6FAD">
        <w:rPr>
          <w:i/>
          <w:color w:val="000000"/>
          <w:szCs w:val="22"/>
        </w:rPr>
        <w:t xml:space="preserve"> passu</w:t>
      </w:r>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5E544AF4"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w:t>
      </w:r>
      <w:r w:rsidR="009A1ED0">
        <w:rPr>
          <w:lang w:val="en-US" w:eastAsia="zh-CN"/>
        </w:rPr>
        <w:t xml:space="preserve">with prior written notice, </w:t>
      </w:r>
      <w:r w:rsidR="00A762B9">
        <w:rPr>
          <w:lang w:val="en-US" w:eastAsia="zh-CN"/>
        </w:rPr>
        <w:t xml:space="preserve">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w:t>
      </w:r>
      <w:r w:rsidR="000E54D2">
        <w:rPr>
          <w:lang w:val="en-US" w:eastAsia="zh-CN"/>
        </w:rPr>
        <w:lastRenderedPageBreak/>
        <w:t>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w:t>
      </w:r>
      <w:r w:rsidRPr="00C5781A">
        <w:rPr>
          <w:lang w:val="en-US" w:eastAsia="ar-SA"/>
        </w:rPr>
        <w:lastRenderedPageBreak/>
        <w:t>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w:t>
      </w:r>
      <w:proofErr w:type="spellStart"/>
      <w:r w:rsidR="00007B36" w:rsidRPr="00857081">
        <w:rPr>
          <w:lang w:val="en-US" w:eastAsia="ar-SA"/>
        </w:rPr>
        <w:t>i</w:t>
      </w:r>
      <w:proofErr w:type="spellEnd"/>
      <w:r w:rsidR="00007B36" w:rsidRPr="00857081">
        <w:rPr>
          <w:lang w:val="en-US" w:eastAsia="ar-SA"/>
        </w:rPr>
        <w:t xml:space="preserve">)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proofErr w:type="spellStart"/>
      <w:r w:rsidR="00872D9F"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3E699AED" w:rsidR="00FC5884" w:rsidRPr="00C5781A" w:rsidRDefault="00FC5884" w:rsidP="00E43D60">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w:t>
      </w:r>
      <w:r w:rsidR="009A1ED0">
        <w:rPr>
          <w:rFonts w:ascii="Zurich BT" w:hAnsi="Zurich BT"/>
        </w:rPr>
        <w:t>cured within 5</w:t>
      </w:r>
      <w:r w:rsidRPr="00FC5884">
        <w:rPr>
          <w:rFonts w:ascii="Zurich BT" w:hAnsi="Zurich BT"/>
        </w:rPr>
        <w:t xml:space="preserve">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w:t>
      </w:r>
      <w:proofErr w:type="spellStart"/>
      <w:r w:rsidR="00B9226E" w:rsidRPr="00B9226E">
        <w:rPr>
          <w:lang w:val="en-US"/>
        </w:rPr>
        <w:t>distraint</w:t>
      </w:r>
      <w:proofErr w:type="spellEnd"/>
      <w:r w:rsidR="00B9226E" w:rsidRPr="00B9226E">
        <w:rPr>
          <w:lang w:val="en-US"/>
        </w:rPr>
        <w:t xml:space="preserve">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w:t>
      </w:r>
      <w:r w:rsidR="00070ECB" w:rsidRPr="00C5781A">
        <w:rPr>
          <w:szCs w:val="22"/>
        </w:rPr>
        <w:lastRenderedPageBreak/>
        <w:t xml:space="preserve">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lastRenderedPageBreak/>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7DFC193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5203FC8A"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w:t>
      </w:r>
      <w:r w:rsidR="00D85DB5" w:rsidRPr="00C5781A">
        <w:rPr>
          <w:szCs w:val="22"/>
        </w:rPr>
        <w:lastRenderedPageBreak/>
        <w:t>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 xml:space="preserve">ICICI Bank shall have the paramount right of set-off and lien, irrespective of any other lien or charge, present as well as future on the </w:t>
      </w:r>
      <w:r w:rsidR="00507671" w:rsidRPr="00C5781A">
        <w:lastRenderedPageBreak/>
        <w:t>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lastRenderedPageBreak/>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 xml:space="preserve">by ICICI Bank, each of ICICI Bank, transferee and assignee shall be </w:t>
      </w:r>
      <w:r w:rsidRPr="00AD577B">
        <w:rPr>
          <w:color w:val="000000"/>
          <w:szCs w:val="22"/>
          <w:lang w:val="en-US"/>
        </w:rPr>
        <w:lastRenderedPageBreak/>
        <w:t>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 xml:space="preserve">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 xml:space="preserve">to prospective </w:t>
      </w:r>
      <w:r w:rsidR="00625B67" w:rsidRPr="00625B67">
        <w:lastRenderedPageBreak/>
        <w:t>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C5781A" w:rsidRDefault="000C3314" w:rsidP="00044CBB">
            <w:pPr>
              <w:jc w:val="center"/>
              <w:rPr>
                <w:rFonts w:ascii="Zurich Blk BT" w:hAnsi="Zurich Blk BT"/>
              </w:rPr>
            </w:pPr>
            <w:bookmarkStart w:id="11" w:name="_GoBack" w:colFirst="0" w:colLast="1"/>
            <w:r w:rsidRPr="00C5781A">
              <w:rPr>
                <w:rFonts w:ascii="Zurich Blk BT" w:hAnsi="Zurich Blk BT"/>
              </w:rPr>
              <w:t>Date</w:t>
            </w:r>
            <w:r w:rsidR="001C089D">
              <w:rPr>
                <w:rFonts w:ascii="Zurich Blk BT" w:hAnsi="Zurich Blk BT"/>
              </w:rPr>
              <w:t xml:space="preserve"> of Execution</w:t>
            </w:r>
          </w:p>
        </w:tc>
        <w:tc>
          <w:tcPr>
            <w:tcW w:w="7466" w:type="dxa"/>
            <w:shd w:val="clear" w:color="auto" w:fill="auto"/>
            <w:vAlign w:val="center"/>
          </w:tcPr>
          <w:p w14:paraId="243D5716" w14:textId="0AC4AFD1" w:rsidR="00987CF6" w:rsidRPr="00C5781A" w:rsidRDefault="009A1ED0" w:rsidP="00044CBB">
            <w:r>
              <w:t>March 9, 2023</w:t>
            </w:r>
          </w:p>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C5781A" w:rsidRDefault="000C3314" w:rsidP="00044CBB">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4A97215F" w14:textId="189D4649" w:rsidR="00987CF6" w:rsidRPr="00C5781A" w:rsidRDefault="009A1ED0" w:rsidP="00044CBB">
            <w:proofErr w:type="spellStart"/>
            <w:r>
              <w:t>Haldia</w:t>
            </w:r>
            <w:proofErr w:type="spellEnd"/>
            <w:r>
              <w:t>, West Bengal</w:t>
            </w:r>
          </w:p>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C5781A">
              <w:rPr>
                <w:rFonts w:ascii="Zurich Blk BT" w:hAnsi="Zurich Blk BT"/>
              </w:rPr>
              <w:t>Borrower</w:t>
            </w:r>
            <w:r w:rsidR="00CC0F76">
              <w:rPr>
                <w:rFonts w:ascii="Zurich Blk BT" w:hAnsi="Zurich Blk BT"/>
              </w:rPr>
              <w:t>’s Details</w:t>
            </w:r>
          </w:p>
        </w:tc>
        <w:tc>
          <w:tcPr>
            <w:tcW w:w="7466" w:type="dxa"/>
            <w:shd w:val="clear" w:color="auto" w:fill="auto"/>
            <w:vAlign w:val="center"/>
          </w:tcPr>
          <w:p w14:paraId="4862149A" w14:textId="7ED643A3" w:rsidR="00987CF6" w:rsidRPr="00C5781A" w:rsidRDefault="009A1ED0" w:rsidP="009A1ED0">
            <w:r>
              <w:t>Money Matters Limited</w:t>
            </w:r>
            <w:r w:rsidR="00987CF6" w:rsidRPr="00C5781A">
              <w:t xml:space="preserve">, a company within the meaning of the Companies Act, 2013 and having its registered office at </w:t>
            </w:r>
            <w:r>
              <w:t>P.P Compound, Kolkata – 20</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60849E75" w:rsidR="000C3314" w:rsidRPr="00C5781A" w:rsidRDefault="000C3314" w:rsidP="000C3314">
            <w:r w:rsidRPr="00C5781A">
              <w:t xml:space="preserve">Attention: </w:t>
            </w:r>
            <w:r w:rsidR="0039672B">
              <w:t>Mr. Harsh Bajoria</w:t>
            </w:r>
          </w:p>
          <w:p w14:paraId="38E5F18B" w14:textId="4E76D3B6" w:rsidR="000C3314" w:rsidRPr="00C5781A" w:rsidRDefault="000C3314" w:rsidP="000C3314">
            <w:r w:rsidRPr="00C5781A">
              <w:t xml:space="preserve">Address: </w:t>
            </w:r>
            <w:r w:rsidR="0039672B">
              <w:t xml:space="preserve">ICICI Bank, </w:t>
            </w:r>
            <w:proofErr w:type="spellStart"/>
            <w:r w:rsidR="0039672B">
              <w:t>Gurusaday</w:t>
            </w:r>
            <w:proofErr w:type="spellEnd"/>
            <w:r w:rsidR="0039672B">
              <w:t xml:space="preserve"> Road, Kolkata</w:t>
            </w:r>
          </w:p>
          <w:p w14:paraId="687024C8" w14:textId="0FBD728D" w:rsidR="00987CF6" w:rsidRPr="00C5781A" w:rsidRDefault="000C3314" w:rsidP="0039672B">
            <w:r w:rsidRPr="00C5781A">
              <w:t xml:space="preserve">Email </w:t>
            </w:r>
            <w:r w:rsidR="00E91537">
              <w:t>ID</w:t>
            </w:r>
            <w:r w:rsidRPr="00C5781A">
              <w:t xml:space="preserve">: </w:t>
            </w:r>
            <w:r w:rsidR="0039672B">
              <w:t>harsh.bajoria@icicibank.com</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7DE4ADCA" w14:textId="77777777" w:rsidR="0039672B" w:rsidRPr="00C5781A" w:rsidRDefault="0039672B" w:rsidP="0039672B">
            <w:r w:rsidRPr="00C5781A">
              <w:t xml:space="preserve">Attention: </w:t>
            </w:r>
            <w:r>
              <w:t>Mr. Harsh Bajoria</w:t>
            </w:r>
          </w:p>
          <w:p w14:paraId="48EC154B" w14:textId="77777777" w:rsidR="0039672B" w:rsidRPr="00C5781A" w:rsidRDefault="0039672B" w:rsidP="0039672B">
            <w:r w:rsidRPr="00C5781A">
              <w:t xml:space="preserve">Address: </w:t>
            </w:r>
            <w:r>
              <w:t xml:space="preserve">ICICI Bank, </w:t>
            </w:r>
            <w:proofErr w:type="spellStart"/>
            <w:r>
              <w:t>Gurusaday</w:t>
            </w:r>
            <w:proofErr w:type="spellEnd"/>
            <w:r>
              <w:t xml:space="preserve"> Road, Kolkata</w:t>
            </w:r>
          </w:p>
          <w:p w14:paraId="031040A8" w14:textId="23F9C247" w:rsidR="00987CF6" w:rsidRPr="00C5781A" w:rsidRDefault="0039672B" w:rsidP="0039672B">
            <w:r w:rsidRPr="00C5781A">
              <w:t xml:space="preserve">Email </w:t>
            </w:r>
            <w:r>
              <w:t>ID</w:t>
            </w:r>
            <w:r w:rsidRPr="00C5781A">
              <w:t xml:space="preserve">: </w:t>
            </w:r>
            <w:r>
              <w:t>harsh.bajoria@icicibank.com</w:t>
            </w:r>
          </w:p>
        </w:tc>
      </w:tr>
      <w:tr w:rsidR="00987CF6" w:rsidRPr="00C5781A" w14:paraId="7D416774" w14:textId="77777777" w:rsidTr="00044CBB">
        <w:trPr>
          <w:trHeight w:val="1808"/>
        </w:trPr>
        <w:tc>
          <w:tcPr>
            <w:tcW w:w="2059" w:type="dxa"/>
            <w:shd w:val="clear" w:color="auto" w:fill="D9D9D9"/>
            <w:vAlign w:val="center"/>
          </w:tcPr>
          <w:p w14:paraId="405293D0" w14:textId="482AB37A" w:rsidR="00987CF6" w:rsidRPr="00C5781A" w:rsidRDefault="00987CF6" w:rsidP="009A1ED0">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3AFD62BD" w14:textId="596D49C2" w:rsidR="000C3314" w:rsidRPr="00C5781A" w:rsidRDefault="000C3314" w:rsidP="000C3314">
            <w:r w:rsidRPr="00C5781A">
              <w:t xml:space="preserve">Attention: </w:t>
            </w:r>
            <w:r w:rsidR="0039672B">
              <w:t>Mr. Mohan Pradhan</w:t>
            </w:r>
          </w:p>
          <w:p w14:paraId="25C1ADC6" w14:textId="2A67AA0F" w:rsidR="000C3314" w:rsidRPr="00C5781A" w:rsidRDefault="000C3314" w:rsidP="000C3314">
            <w:r w:rsidRPr="00C5781A">
              <w:t xml:space="preserve">Address: </w:t>
            </w:r>
            <w:r w:rsidR="0039672B">
              <w:t>P.P Compound, Kolkata</w:t>
            </w:r>
          </w:p>
          <w:p w14:paraId="123458DA" w14:textId="523B4D73" w:rsidR="000C3314" w:rsidRPr="00C5781A" w:rsidRDefault="000C3314" w:rsidP="0039672B">
            <w:r w:rsidRPr="00C5781A">
              <w:t xml:space="preserve">Email </w:t>
            </w:r>
            <w:r w:rsidR="00E91537">
              <w:t>ID</w:t>
            </w:r>
            <w:r w:rsidRPr="00C5781A">
              <w:t xml:space="preserve">: </w:t>
            </w:r>
            <w:r w:rsidR="0039672B">
              <w:t>pradhan_mohan@moneymatters.com</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6F0F3D94" w14:textId="2EAF7D80" w:rsidR="000C3314" w:rsidRPr="00C5781A" w:rsidRDefault="000C3314" w:rsidP="000C3314">
            <w:r w:rsidRPr="00C5781A">
              <w:t xml:space="preserve">The CAL dated </w:t>
            </w:r>
            <w:r w:rsidR="0039672B">
              <w:t>10th</w:t>
            </w:r>
            <w:r w:rsidRPr="00C5781A">
              <w:t xml:space="preserve"> day of </w:t>
            </w:r>
            <w:r w:rsidR="0039672B">
              <w:t>February</w:t>
            </w:r>
            <w:r w:rsidRPr="00C5781A">
              <w:t>, 20</w:t>
            </w:r>
            <w:r w:rsidR="0039672B">
              <w:t>23</w:t>
            </w:r>
            <w:r w:rsidR="001C089D">
              <w:t xml:space="preserve">, with reference no. </w:t>
            </w:r>
            <w:r w:rsidR="0039672B">
              <w:t>CAL1122646482</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7CEDC1A4" w:rsidR="00987CF6" w:rsidRPr="00C5781A" w:rsidRDefault="00987CF6" w:rsidP="009A1ED0">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30F2E429" w14:textId="463EBB02"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39672B">
              <w:rPr>
                <w:bCs/>
                <w:lang w:val="en-US"/>
              </w:rPr>
              <w:t>West Bengal</w:t>
            </w:r>
            <w:r w:rsidRPr="00C5781A">
              <w:rPr>
                <w:bCs/>
                <w:lang w:val="en-US"/>
              </w:rPr>
              <w:t xml:space="preserve"> shall have exclusive jurisdiction.  </w:t>
            </w:r>
          </w:p>
          <w:p w14:paraId="7127D282" w14:textId="77777777" w:rsidR="00987CF6" w:rsidRPr="00C5781A" w:rsidRDefault="00987CF6" w:rsidP="00044CBB"/>
        </w:tc>
      </w:tr>
      <w:bookmarkEnd w:id="11"/>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proofErr w:type="gramStart"/>
      <w:r w:rsidR="006E75F5">
        <w:rPr>
          <w:lang w:val="en-GB"/>
        </w:rPr>
        <w:t>such</w:t>
      </w:r>
      <w:proofErr w:type="gramEnd"/>
      <w:r w:rsidR="006E75F5">
        <w:rPr>
          <w:lang w:val="en-GB"/>
        </w:rPr>
        <w:t xml:space="preserve">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2"/>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Rs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Rs</w:t>
      </w:r>
      <w:proofErr w:type="gramEnd"/>
      <w:r w:rsidRPr="00C836F2">
        <w:rPr>
          <w:rFonts w:eastAsiaTheme="minorHAnsi" w:cstheme="minorBidi"/>
          <w:szCs w:val="22"/>
          <w:lang w:eastAsia="en-US"/>
        </w:rPr>
        <w:t xml:space="preserve"> X – Rs Y). If there is more recovery than the Rs X - Rs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3D7D9E">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3D7D9E">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3D7D9E">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3D7D9E">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3D7D9E">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3D7D9E">
            <w:pPr>
              <w:rPr>
                <w:rFonts w:ascii="Zurich Blk BT" w:hAnsi="Zurich Blk BT"/>
                <w:szCs w:val="22"/>
              </w:rPr>
            </w:pPr>
          </w:p>
        </w:tc>
      </w:tr>
      <w:tr w:rsidR="009648A8" w:rsidRPr="00C836F2" w14:paraId="1383A1D0" w14:textId="77777777" w:rsidTr="003D7D9E">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3D7D9E">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3D7D9E">
            <w:pPr>
              <w:rPr>
                <w:szCs w:val="22"/>
              </w:rPr>
            </w:pPr>
            <w:r w:rsidRPr="00C836F2">
              <w:rPr>
                <w:szCs w:val="22"/>
              </w:rPr>
              <w:t>Basis for classification when</w:t>
            </w:r>
          </w:p>
          <w:p w14:paraId="43A4B73D" w14:textId="77777777" w:rsidR="009648A8" w:rsidRPr="00C836F2" w:rsidRDefault="009648A8" w:rsidP="003D7D9E">
            <w:pPr>
              <w:rPr>
                <w:szCs w:val="22"/>
              </w:rPr>
            </w:pPr>
            <w:r w:rsidRPr="00C836F2">
              <w:rPr>
                <w:szCs w:val="22"/>
              </w:rPr>
              <w:t>principal or interest</w:t>
            </w:r>
          </w:p>
          <w:p w14:paraId="21166CB7" w14:textId="77777777" w:rsidR="009648A8" w:rsidRPr="00C836F2" w:rsidRDefault="009648A8" w:rsidP="003D7D9E">
            <w:pPr>
              <w:rPr>
                <w:szCs w:val="22"/>
              </w:rPr>
            </w:pPr>
            <w:r w:rsidRPr="00C836F2">
              <w:rPr>
                <w:szCs w:val="22"/>
              </w:rPr>
              <w:t>payment or any other</w:t>
            </w:r>
          </w:p>
          <w:p w14:paraId="74555BE1" w14:textId="77777777" w:rsidR="009648A8" w:rsidRPr="00C836F2" w:rsidRDefault="009648A8" w:rsidP="003D7D9E">
            <w:pPr>
              <w:rPr>
                <w:szCs w:val="22"/>
              </w:rPr>
            </w:pPr>
            <w:r w:rsidRPr="00C836F2">
              <w:rPr>
                <w:szCs w:val="22"/>
              </w:rPr>
              <w:t>amount wholly or</w:t>
            </w:r>
          </w:p>
          <w:p w14:paraId="09B2B7CF" w14:textId="77777777" w:rsidR="009648A8" w:rsidRPr="00C836F2" w:rsidRDefault="009648A8" w:rsidP="003D7D9E">
            <w:pPr>
              <w:rPr>
                <w:szCs w:val="22"/>
              </w:rPr>
            </w:pPr>
            <w:r w:rsidRPr="00C836F2">
              <w:rPr>
                <w:szCs w:val="22"/>
              </w:rPr>
              <w:t>partly overdue</w:t>
            </w:r>
          </w:p>
          <w:p w14:paraId="2842376C"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3D7D9E">
            <w:pPr>
              <w:rPr>
                <w:szCs w:val="22"/>
              </w:rPr>
            </w:pPr>
            <w:r w:rsidRPr="00C836F2">
              <w:rPr>
                <w:szCs w:val="22"/>
              </w:rPr>
              <w:t xml:space="preserve">SMA Sub-categories </w:t>
            </w:r>
          </w:p>
          <w:p w14:paraId="4AC9873D"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3D7D9E">
            <w:pPr>
              <w:rPr>
                <w:szCs w:val="22"/>
              </w:rPr>
            </w:pPr>
            <w:r w:rsidRPr="00C836F2">
              <w:rPr>
                <w:szCs w:val="22"/>
              </w:rPr>
              <w:t>Basis for classification when</w:t>
            </w:r>
          </w:p>
          <w:p w14:paraId="70B52A62" w14:textId="77777777" w:rsidR="009648A8" w:rsidRPr="00C836F2" w:rsidRDefault="009648A8" w:rsidP="003D7D9E">
            <w:pPr>
              <w:rPr>
                <w:szCs w:val="22"/>
              </w:rPr>
            </w:pPr>
            <w:r w:rsidRPr="00C836F2">
              <w:rPr>
                <w:szCs w:val="22"/>
              </w:rPr>
              <w:t>outstanding balance</w:t>
            </w:r>
          </w:p>
          <w:p w14:paraId="7127E97C" w14:textId="77777777" w:rsidR="009648A8" w:rsidRPr="00C836F2" w:rsidRDefault="009648A8" w:rsidP="003D7D9E">
            <w:pPr>
              <w:rPr>
                <w:szCs w:val="22"/>
              </w:rPr>
            </w:pPr>
            <w:r w:rsidRPr="00C836F2">
              <w:rPr>
                <w:szCs w:val="22"/>
              </w:rPr>
              <w:t>remains continuously</w:t>
            </w:r>
          </w:p>
          <w:p w14:paraId="23352BDD" w14:textId="77777777" w:rsidR="009648A8" w:rsidRPr="00C836F2" w:rsidRDefault="009648A8" w:rsidP="003D7D9E">
            <w:pPr>
              <w:rPr>
                <w:szCs w:val="22"/>
              </w:rPr>
            </w:pPr>
            <w:r w:rsidRPr="00C836F2">
              <w:rPr>
                <w:szCs w:val="22"/>
              </w:rPr>
              <w:t>in excess of the sanctioned limit or drawing power</w:t>
            </w:r>
          </w:p>
          <w:p w14:paraId="49E093D4" w14:textId="77777777" w:rsidR="009648A8" w:rsidRPr="00C836F2" w:rsidRDefault="009648A8" w:rsidP="003D7D9E">
            <w:pPr>
              <w:rPr>
                <w:szCs w:val="22"/>
              </w:rPr>
            </w:pPr>
            <w:r w:rsidRPr="00C836F2">
              <w:rPr>
                <w:szCs w:val="22"/>
              </w:rPr>
              <w:t>whichever is lower for a period of</w:t>
            </w:r>
          </w:p>
          <w:p w14:paraId="4793FDFD" w14:textId="77777777" w:rsidR="009648A8" w:rsidRPr="00C836F2" w:rsidRDefault="009648A8" w:rsidP="003D7D9E">
            <w:pPr>
              <w:rPr>
                <w:szCs w:val="22"/>
              </w:rPr>
            </w:pPr>
          </w:p>
        </w:tc>
      </w:tr>
      <w:tr w:rsidR="009648A8" w:rsidRPr="00C836F2" w14:paraId="671BFA62" w14:textId="77777777" w:rsidTr="003D7D9E">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3D7D9E">
            <w:pPr>
              <w:rPr>
                <w:szCs w:val="22"/>
              </w:rPr>
            </w:pPr>
            <w:r w:rsidRPr="00C836F2">
              <w:rPr>
                <w:szCs w:val="22"/>
              </w:rPr>
              <w:t>SMA-0</w:t>
            </w:r>
          </w:p>
          <w:p w14:paraId="1DD88B97"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3D7D9E">
            <w:pPr>
              <w:rPr>
                <w:szCs w:val="22"/>
              </w:rPr>
            </w:pPr>
            <w:proofErr w:type="spellStart"/>
            <w:r w:rsidRPr="00C836F2">
              <w:rPr>
                <w:szCs w:val="22"/>
              </w:rPr>
              <w:t>Upto</w:t>
            </w:r>
            <w:proofErr w:type="spellEnd"/>
            <w:r w:rsidRPr="00C836F2">
              <w:rPr>
                <w:szCs w:val="22"/>
              </w:rPr>
              <w:t xml:space="preserve"> 30 days</w:t>
            </w:r>
          </w:p>
          <w:p w14:paraId="399AC393"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3D7D9E">
            <w:pPr>
              <w:rPr>
                <w:szCs w:val="22"/>
              </w:rPr>
            </w:pPr>
          </w:p>
        </w:tc>
      </w:tr>
      <w:tr w:rsidR="009648A8" w:rsidRPr="00C836F2" w14:paraId="2FDF0128" w14:textId="77777777" w:rsidTr="003D7D9E">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3D7D9E">
            <w:pPr>
              <w:rPr>
                <w:szCs w:val="22"/>
              </w:rPr>
            </w:pPr>
            <w:r w:rsidRPr="00C836F2">
              <w:rPr>
                <w:szCs w:val="22"/>
              </w:rPr>
              <w:t>SMA-1</w:t>
            </w:r>
          </w:p>
          <w:p w14:paraId="2E9A4D34"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3D7D9E">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751176D9"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3D7D9E">
            <w:pPr>
              <w:rPr>
                <w:szCs w:val="22"/>
              </w:rPr>
            </w:pPr>
            <w:r w:rsidRPr="00C836F2">
              <w:rPr>
                <w:szCs w:val="22"/>
              </w:rPr>
              <w:t>SMA-1</w:t>
            </w:r>
          </w:p>
          <w:p w14:paraId="121B4532"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3D7D9E">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47576584" w14:textId="77777777" w:rsidR="009648A8" w:rsidRPr="00C836F2" w:rsidRDefault="009648A8" w:rsidP="003D7D9E">
            <w:pPr>
              <w:rPr>
                <w:szCs w:val="22"/>
              </w:rPr>
            </w:pPr>
          </w:p>
          <w:p w14:paraId="7EDE43E1" w14:textId="77777777" w:rsidR="009648A8" w:rsidRPr="00C836F2" w:rsidRDefault="009648A8" w:rsidP="003D7D9E">
            <w:pPr>
              <w:rPr>
                <w:szCs w:val="22"/>
              </w:rPr>
            </w:pPr>
          </w:p>
        </w:tc>
      </w:tr>
      <w:tr w:rsidR="009648A8" w:rsidRPr="00C836F2" w14:paraId="5364A6AC" w14:textId="77777777" w:rsidTr="003D7D9E">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3D7D9E">
            <w:pPr>
              <w:rPr>
                <w:szCs w:val="22"/>
              </w:rPr>
            </w:pPr>
            <w:r w:rsidRPr="00C836F2">
              <w:rPr>
                <w:szCs w:val="22"/>
              </w:rPr>
              <w:t>SMA-2</w:t>
            </w:r>
          </w:p>
          <w:p w14:paraId="3234F916"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3D7D9E">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22C3FCC3"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3D7D9E">
            <w:pPr>
              <w:rPr>
                <w:szCs w:val="22"/>
              </w:rPr>
            </w:pPr>
            <w:r w:rsidRPr="00C836F2">
              <w:rPr>
                <w:szCs w:val="22"/>
              </w:rPr>
              <w:t>SMA-2</w:t>
            </w:r>
          </w:p>
          <w:p w14:paraId="35707445"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3D7D9E">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6702041C" w14:textId="77777777" w:rsidR="009648A8" w:rsidRPr="00C836F2" w:rsidRDefault="009648A8" w:rsidP="003D7D9E">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3"/>
      </w:r>
    </w:p>
    <w:p w14:paraId="7CC826F8"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4"/>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3D7D9E">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3D7D9E">
            <w:pPr>
              <w:rPr>
                <w:szCs w:val="22"/>
              </w:rPr>
            </w:pPr>
            <w:r w:rsidRPr="00C836F2">
              <w:rPr>
                <w:szCs w:val="22"/>
              </w:rPr>
              <w:t>Due date of</w:t>
            </w:r>
          </w:p>
          <w:p w14:paraId="0954FF5F" w14:textId="77777777" w:rsidR="009648A8" w:rsidRPr="00C836F2" w:rsidRDefault="009648A8" w:rsidP="003D7D9E">
            <w:pPr>
              <w:rPr>
                <w:szCs w:val="22"/>
              </w:rPr>
            </w:pPr>
            <w:r w:rsidRPr="00C836F2">
              <w:rPr>
                <w:szCs w:val="22"/>
              </w:rPr>
              <w:t>payment</w:t>
            </w:r>
          </w:p>
          <w:p w14:paraId="1CD58940"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3D7D9E">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3D7D9E">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3D7D9E">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3D7D9E">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3D7D9E">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3D7D9E">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3D7D9E">
            <w:pPr>
              <w:rPr>
                <w:szCs w:val="22"/>
              </w:rPr>
            </w:pPr>
            <w:r w:rsidRPr="00C836F2">
              <w:rPr>
                <w:szCs w:val="22"/>
              </w:rPr>
              <w:t>NPA date</w:t>
            </w:r>
          </w:p>
        </w:tc>
      </w:tr>
      <w:tr w:rsidR="009648A8" w:rsidRPr="00C836F2" w14:paraId="5D8191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3D7D9E">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3D7D9E">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3D7D9E">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3D7D9E">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3D7D9E">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3D7D9E">
            <w:pPr>
              <w:rPr>
                <w:szCs w:val="22"/>
              </w:rPr>
            </w:pPr>
            <w:r w:rsidRPr="00C836F2">
              <w:rPr>
                <w:szCs w:val="22"/>
              </w:rPr>
              <w:t>NA</w:t>
            </w:r>
          </w:p>
        </w:tc>
      </w:tr>
      <w:tr w:rsidR="009648A8" w:rsidRPr="00C836F2" w14:paraId="2C268131"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3D7D9E">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3D7D9E">
            <w:pPr>
              <w:rPr>
                <w:szCs w:val="22"/>
              </w:rPr>
            </w:pPr>
            <w:r w:rsidRPr="00C836F2">
              <w:rPr>
                <w:szCs w:val="22"/>
              </w:rPr>
              <w:t>NA</w:t>
            </w:r>
          </w:p>
        </w:tc>
      </w:tr>
      <w:tr w:rsidR="009648A8" w:rsidRPr="00C836F2" w14:paraId="64950449"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3D7D9E">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3D7D9E">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3D7D9E">
            <w:pPr>
              <w:rPr>
                <w:szCs w:val="22"/>
              </w:rPr>
            </w:pPr>
            <w:r w:rsidRPr="00C836F2">
              <w:rPr>
                <w:szCs w:val="22"/>
              </w:rPr>
              <w:t>NA</w:t>
            </w:r>
          </w:p>
        </w:tc>
      </w:tr>
      <w:tr w:rsidR="009648A8" w:rsidRPr="00C836F2" w14:paraId="62F78C9D"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3D7D9E">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3D7D9E">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3D7D9E">
            <w:pPr>
              <w:rPr>
                <w:szCs w:val="22"/>
              </w:rPr>
            </w:pPr>
            <w:r w:rsidRPr="00C836F2">
              <w:rPr>
                <w:szCs w:val="22"/>
              </w:rPr>
              <w:t>NA</w:t>
            </w:r>
          </w:p>
        </w:tc>
      </w:tr>
      <w:tr w:rsidR="009648A8" w:rsidRPr="00C836F2" w14:paraId="6E4BD5F5" w14:textId="77777777" w:rsidTr="003D7D9E">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3D7D9E">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3D7D9E">
            <w:pPr>
              <w:rPr>
                <w:szCs w:val="22"/>
              </w:rPr>
            </w:pPr>
            <w:r w:rsidRPr="00C836F2">
              <w:rPr>
                <w:szCs w:val="22"/>
              </w:rPr>
              <w:t>NA</w:t>
            </w:r>
          </w:p>
        </w:tc>
      </w:tr>
      <w:tr w:rsidR="009648A8" w:rsidRPr="00C836F2" w14:paraId="089E6911" w14:textId="77777777" w:rsidTr="003D7D9E">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3D7D9E">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3D7D9E">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3D7D9E">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3D7D9E">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3D7D9E">
            <w:pPr>
              <w:rPr>
                <w:szCs w:val="22"/>
              </w:rPr>
            </w:pPr>
            <w:r w:rsidRPr="00C836F2">
              <w:rPr>
                <w:szCs w:val="22"/>
              </w:rPr>
              <w:t>NA</w:t>
            </w:r>
          </w:p>
        </w:tc>
      </w:tr>
      <w:tr w:rsidR="009648A8" w:rsidRPr="00C836F2" w14:paraId="7DB52222" w14:textId="77777777" w:rsidTr="003D7D9E">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3D7D9E">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3D7D9E">
            <w:pPr>
              <w:rPr>
                <w:szCs w:val="22"/>
              </w:rPr>
            </w:pPr>
            <w:r w:rsidRPr="00C836F2">
              <w:rPr>
                <w:szCs w:val="22"/>
              </w:rPr>
              <w:t>NA</w:t>
            </w:r>
          </w:p>
        </w:tc>
      </w:tr>
      <w:tr w:rsidR="009648A8" w:rsidRPr="00C836F2" w14:paraId="7D87D837"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3D7D9E">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3D7D9E">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3D7D9E">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3D7D9E">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3D7D9E">
            <w:pPr>
              <w:rPr>
                <w:szCs w:val="22"/>
              </w:rPr>
            </w:pPr>
            <w:r w:rsidRPr="00C836F2">
              <w:rPr>
                <w:szCs w:val="22"/>
              </w:rPr>
              <w:t>NA</w:t>
            </w:r>
          </w:p>
        </w:tc>
      </w:tr>
      <w:tr w:rsidR="009648A8" w:rsidRPr="00C836F2" w14:paraId="6B1E5CD1" w14:textId="77777777" w:rsidTr="003D7D9E">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3D7D9E">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3D7D9E">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3D7D9E">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3D7D9E">
            <w:pPr>
              <w:rPr>
                <w:szCs w:val="22"/>
              </w:rPr>
            </w:pPr>
            <w:r w:rsidRPr="00C836F2">
              <w:rPr>
                <w:szCs w:val="22"/>
              </w:rPr>
              <w:t>NA</w:t>
            </w:r>
          </w:p>
        </w:tc>
      </w:tr>
      <w:tr w:rsidR="009648A8" w:rsidRPr="00C836F2" w14:paraId="23335971"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3D7D9E">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3D7D9E">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3D7D9E">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3D7D9E">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3D7D9E">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3D7D9E">
            <w:pPr>
              <w:rPr>
                <w:szCs w:val="22"/>
              </w:rPr>
            </w:pPr>
            <w:r w:rsidRPr="00C836F2">
              <w:rPr>
                <w:szCs w:val="22"/>
              </w:rPr>
              <w:t>NA</w:t>
            </w:r>
          </w:p>
        </w:tc>
      </w:tr>
      <w:tr w:rsidR="009648A8" w:rsidRPr="00C836F2" w14:paraId="2E44D292" w14:textId="77777777" w:rsidTr="003D7D9E">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3D7D9E">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3D7D9E">
            <w:pPr>
              <w:rPr>
                <w:szCs w:val="22"/>
              </w:rPr>
            </w:pPr>
            <w:r w:rsidRPr="00C836F2">
              <w:rPr>
                <w:szCs w:val="22"/>
              </w:rPr>
              <w:t>02.05.2022</w:t>
            </w:r>
          </w:p>
        </w:tc>
      </w:tr>
      <w:tr w:rsidR="009648A8" w:rsidRPr="00C836F2" w14:paraId="1732E0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3D7D9E">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3D7D9E">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3D7D9E">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3D7D9E">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3D7D9E">
            <w:pPr>
              <w:rPr>
                <w:szCs w:val="22"/>
              </w:rPr>
            </w:pPr>
            <w:r w:rsidRPr="00C836F2">
              <w:rPr>
                <w:szCs w:val="22"/>
              </w:rPr>
              <w:t>02.05.2022</w:t>
            </w:r>
          </w:p>
        </w:tc>
      </w:tr>
      <w:tr w:rsidR="009648A8" w:rsidRPr="00C836F2" w14:paraId="09260D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3D7D9E">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3D7D9E">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3D7D9E">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3D7D9E">
            <w:pPr>
              <w:rPr>
                <w:szCs w:val="22"/>
              </w:rPr>
            </w:pPr>
            <w:r w:rsidRPr="00C836F2">
              <w:rPr>
                <w:szCs w:val="22"/>
              </w:rPr>
              <w:t>02.05.2022</w:t>
            </w:r>
          </w:p>
        </w:tc>
      </w:tr>
      <w:tr w:rsidR="009648A8" w:rsidRPr="00C836F2" w14:paraId="53C49A9D"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3D7D9E">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3D7D9E">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3D7D9E">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3D7D9E">
            <w:pPr>
              <w:rPr>
                <w:szCs w:val="22"/>
              </w:rPr>
            </w:pPr>
            <w:r w:rsidRPr="00C836F2">
              <w:rPr>
                <w:szCs w:val="22"/>
              </w:rPr>
              <w:t>02.05.2022</w:t>
            </w:r>
          </w:p>
        </w:tc>
      </w:tr>
      <w:tr w:rsidR="009648A8" w:rsidRPr="00C836F2" w14:paraId="36BF2E66" w14:textId="77777777" w:rsidTr="003D7D9E">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3D7D9E">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3D7D9E">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3D7D9E">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3D7D9E">
            <w:pPr>
              <w:rPr>
                <w:szCs w:val="22"/>
              </w:rPr>
            </w:pPr>
            <w:r w:rsidRPr="00C836F2">
              <w:rPr>
                <w:szCs w:val="22"/>
              </w:rPr>
              <w:t>02.05.2022</w:t>
            </w:r>
          </w:p>
        </w:tc>
      </w:tr>
      <w:tr w:rsidR="009648A8" w:rsidRPr="00C836F2" w14:paraId="148A8BC0"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3D7D9E">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3D7D9E">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3D7D9E">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3D7D9E">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3D7D9E">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F922D" w14:textId="77777777" w:rsidR="00BF5EB6" w:rsidRDefault="00BF5EB6">
      <w:r>
        <w:separator/>
      </w:r>
    </w:p>
  </w:endnote>
  <w:endnote w:type="continuationSeparator" w:id="0">
    <w:p w14:paraId="3CA43210" w14:textId="77777777" w:rsidR="00BF5EB6" w:rsidRDefault="00BF5EB6">
      <w:r>
        <w:continuationSeparator/>
      </w:r>
    </w:p>
  </w:endnote>
  <w:endnote w:type="continuationNotice" w:id="1">
    <w:p w14:paraId="535E25B0" w14:textId="77777777" w:rsidR="00BF5EB6" w:rsidRDefault="00BF5E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3D7D9E" w:rsidRDefault="003D7D9E">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3D7D9E" w:rsidRPr="00044CBB" w:rsidRDefault="003D7D9E" w:rsidP="00044CBB">
    <w:pPr>
      <w:pStyle w:val="Header"/>
    </w:pPr>
  </w:p>
  <w:p w14:paraId="53BB9F6B" w14:textId="77777777" w:rsidR="003D7D9E" w:rsidRDefault="003D7D9E" w:rsidP="00044CBB"/>
  <w:p w14:paraId="5FDFB0CC" w14:textId="77777777" w:rsidR="003D7D9E" w:rsidRDefault="003D7D9E"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3D7D9E" w:rsidRDefault="003D7D9E"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3D7D9E" w14:paraId="23C81594" w14:textId="77777777" w:rsidTr="00F42908">
      <w:trPr>
        <w:trHeight w:val="707"/>
      </w:trPr>
      <w:tc>
        <w:tcPr>
          <w:tcW w:w="2803" w:type="dxa"/>
          <w:vAlign w:val="bottom"/>
        </w:tcPr>
        <w:p w14:paraId="28698D14" w14:textId="77777777" w:rsidR="003D7D9E" w:rsidRPr="00D12F38" w:rsidRDefault="003D7D9E"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3D7D9E" w:rsidRPr="00D12F38" w:rsidRDefault="003D7D9E"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3D7D9E" w:rsidRPr="00A604ED" w:rsidRDefault="003D7D9E"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3D7D9E" w:rsidRDefault="003D7D9E">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42DEF" w14:textId="77777777" w:rsidR="00BF5EB6" w:rsidRDefault="00BF5EB6">
      <w:r>
        <w:separator/>
      </w:r>
    </w:p>
  </w:footnote>
  <w:footnote w:type="continuationSeparator" w:id="0">
    <w:p w14:paraId="29DAA8D7" w14:textId="77777777" w:rsidR="00BF5EB6" w:rsidRDefault="00BF5EB6">
      <w:r>
        <w:continuationSeparator/>
      </w:r>
    </w:p>
  </w:footnote>
  <w:footnote w:type="continuationNotice" w:id="1">
    <w:p w14:paraId="4D2E11B3" w14:textId="77777777" w:rsidR="00BF5EB6" w:rsidRDefault="00BF5EB6">
      <w:pPr>
        <w:spacing w:line="240" w:lineRule="auto"/>
      </w:pPr>
    </w:p>
  </w:footnote>
  <w:footnote w:id="2">
    <w:p w14:paraId="70C97520" w14:textId="4775FB70" w:rsidR="003D7D9E" w:rsidRDefault="003D7D9E"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3">
    <w:p w14:paraId="1A762D2A" w14:textId="77777777" w:rsidR="003D7D9E" w:rsidRDefault="003D7D9E" w:rsidP="009648A8">
      <w:pPr>
        <w:pStyle w:val="FootnoteText"/>
      </w:pPr>
      <w:r>
        <w:rPr>
          <w:rStyle w:val="FootnoteReference"/>
        </w:rPr>
        <w:footnoteRef/>
      </w:r>
      <w:r>
        <w:t xml:space="preserve"> Delete if not applicable</w:t>
      </w:r>
    </w:p>
  </w:footnote>
  <w:footnote w:id="4">
    <w:p w14:paraId="42AF5483" w14:textId="77777777" w:rsidR="003D7D9E" w:rsidRDefault="003D7D9E" w:rsidP="009648A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3D7D9E" w:rsidRDefault="003D7D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3D7D9E" w:rsidRDefault="003D7D9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672B"/>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D7D9E"/>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1ED0"/>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6D9"/>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5EB6"/>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customXml" Target="../customXml/item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56" Type="http://schemas.openxmlformats.org/officeDocument/2006/relationships/customXml" Target="../customXml/item6.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7DF39F-E309-40F5-944F-9315203DF0C0}">
  <ds:schemaRefs>
    <ds:schemaRef ds:uri="http://schemas.openxmlformats.org/officeDocument/2006/bibliography"/>
  </ds:schemaRefs>
</ds:datastoreItem>
</file>

<file path=customXml/itemProps2.xml><?xml version="1.0" encoding="utf-8"?>
<ds:datastoreItem xmlns:ds="http://schemas.openxmlformats.org/officeDocument/2006/customXml" ds:itemID="{502157CC-8A86-4A81-9516-002F31AE8A31}">
  <ds:schemaRefs>
    <ds:schemaRef ds:uri="http://schemas.openxmlformats.org/officeDocument/2006/bibliography"/>
  </ds:schemaRefs>
</ds:datastoreItem>
</file>

<file path=customXml/itemProps3.xml><?xml version="1.0" encoding="utf-8"?>
<ds:datastoreItem xmlns:ds="http://schemas.openxmlformats.org/officeDocument/2006/customXml" ds:itemID="{6988BDCC-E2F2-4B9B-940E-3D273EA2CC20}">
  <ds:schemaRefs>
    <ds:schemaRef ds:uri="http://schemas.openxmlformats.org/officeDocument/2006/bibliography"/>
  </ds:schemaRefs>
</ds:datastoreItem>
</file>

<file path=customXml/itemProps4.xml><?xml version="1.0" encoding="utf-8"?>
<ds:datastoreItem xmlns:ds="http://schemas.openxmlformats.org/officeDocument/2006/customXml" ds:itemID="{6398F012-5676-4AD7-BE77-E7DDD87E6E84}"/>
</file>

<file path=customXml/itemProps5.xml><?xml version="1.0" encoding="utf-8"?>
<ds:datastoreItem xmlns:ds="http://schemas.openxmlformats.org/officeDocument/2006/customXml" ds:itemID="{6323594C-6786-4DA3-B0EC-EB03BC0283E2}"/>
</file>

<file path=customXml/itemProps6.xml><?xml version="1.0" encoding="utf-8"?>
<ds:datastoreItem xmlns:ds="http://schemas.openxmlformats.org/officeDocument/2006/customXml" ds:itemID="{AEEB587C-2AAC-44DB-8AD0-315BCDB05D00}"/>
</file>

<file path=docProps/app.xml><?xml version="1.0" encoding="utf-8"?>
<Properties xmlns="http://schemas.openxmlformats.org/officeDocument/2006/extended-properties" xmlns:vt="http://schemas.openxmlformats.org/officeDocument/2006/docPropsVTypes">
  <Template>Normal</Template>
  <TotalTime>35</TotalTime>
  <Pages>1</Pages>
  <Words>12184</Words>
  <Characters>69453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Harsh Bajoria     /FISYG/IBANK/BKC</cp:lastModifiedBy>
  <cp:revision>6</cp:revision>
  <cp:lastPrinted>2017-04-26T04:28:00Z</cp:lastPrinted>
  <dcterms:created xsi:type="dcterms:W3CDTF">2022-09-06T06:50:00Z</dcterms:created>
  <dcterms:modified xsi:type="dcterms:W3CDTF">2023-03-14T18:02:00Z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