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515"/>
        <w:gridCol w:w="6123"/>
      </w:tblGrid>
      <w:tr>
        <w:tc>
          <w:tcPr>
            <w:tcW w:type="dxa" w:w="4989"/>
            <w:shd w:fill="0B2F4A"/>
            <w:tcBorders>
              <w:left w:val="nil"/>
              <w:top w:val="nil"/>
              <w:right w:val="nil"/>
              <w:bottom w:val="nil"/>
            </w:tcBorders>
            <w:tcMar>
              <w:top w:w="130" w:type="dxa"/>
              <w:start w:w="180" w:type="dxa"/>
              <w:bottom w:w="130" w:type="dxa"/>
              <w:end w:w="180" w:type="dxa"/>
            </w:tcMar>
          </w:tcPr>
          <w:p>
            <w:pPr>
              <w:jc w:val="center"/>
            </w:pPr>
            <w:r>
              <w:drawing>
                <wp:inline xmlns:a="http://schemas.openxmlformats.org/drawingml/2006/main" xmlns:pic="http://schemas.openxmlformats.org/drawingml/2006/picture">
                  <wp:extent cx="1835999" cy="942650"/>
                  <wp:docPr id="1" name="Picture 1"/>
                  <wp:cNvGraphicFramePr>
                    <a:graphicFrameLocks noChangeAspect="1"/>
                  </wp:cNvGraphicFramePr>
                  <a:graphic>
                    <a:graphicData uri="http://schemas.openxmlformats.org/drawingml/2006/picture">
                      <pic:pic>
                        <pic:nvPicPr>
                          <pic:cNvPr id="0" name="logo_drustvo_gbs_cidp_transparent.png"/>
                          <pic:cNvPicPr/>
                        </pic:nvPicPr>
                        <pic:blipFill>
                          <a:blip r:embed="rId10"/>
                          <a:stretch>
                            <a:fillRect/>
                          </a:stretch>
                        </pic:blipFill>
                        <pic:spPr>
                          <a:xfrm>
                            <a:off x="0" y="0"/>
                            <a:ext cx="1835999" cy="942650"/>
                          </a:xfrm>
                          <a:prstGeom prst="rect"/>
                        </pic:spPr>
                      </pic:pic>
                    </a:graphicData>
                  </a:graphic>
                </wp:inline>
              </w:drawing>
            </w:r>
          </w:p>
        </w:tc>
        <w:tc>
          <w:tcPr>
            <w:tcW w:type="dxa" w:w="4989"/>
            <w:shd w:fill="0B2F4A"/>
            <w:tcBorders>
              <w:left w:val="nil"/>
              <w:top w:val="nil"/>
              <w:right w:val="nil"/>
              <w:bottom w:val="nil"/>
            </w:tcBorders>
            <w:tcMar>
              <w:top w:w="130" w:type="dxa"/>
              <w:start w:w="180" w:type="dxa"/>
              <w:bottom w:w="130" w:type="dxa"/>
              <w:end w:w="180" w:type="dxa"/>
            </w:tcMar>
          </w:tcPr>
          <w:p>
            <w:pPr>
              <w:spacing w:before="0" w:after="60" w:line="240" w:lineRule="auto"/>
            </w:pPr>
            <w:r>
              <w:rPr>
                <w:rFonts w:ascii="Calibri" w:hAnsi="Calibri" w:eastAsia="Calibri"/>
                <w:b/>
                <w:i w:val="0"/>
                <w:color w:val="FFFFFF"/>
                <w:sz w:val="42"/>
              </w:rPr>
              <w:t>DRUŠTVO GBS IN CIDP SLOVENIJE</w:t>
              <w:br/>
            </w:r>
            <w:r>
              <w:rPr>
                <w:rFonts w:ascii="Calibri" w:hAnsi="Calibri" w:eastAsia="Calibri"/>
                <w:b w:val="0"/>
                <w:i w:val="0"/>
                <w:color w:val="E4F2FB"/>
                <w:sz w:val="24"/>
              </w:rPr>
              <w:t>Informativni dokument za paciente, svojce,</w:t>
              <w:br/>
            </w:r>
            <w:r>
              <w:rPr>
                <w:rFonts w:ascii="Calibri" w:hAnsi="Calibri" w:eastAsia="Calibri"/>
                <w:b w:val="0"/>
                <w:i w:val="0"/>
                <w:color w:val="E4F2FB"/>
                <w:sz w:val="24"/>
              </w:rPr>
              <w:t>zdravstvene ustanove in druge institucije</w:t>
            </w:r>
          </w:p>
        </w:tc>
      </w:tr>
    </w:tbl>
    <w:p>
      <w:pPr>
        <w:spacing w:after="80"/>
      </w:pPr>
    </w:p>
    <w:p>
      <w:pPr>
        <w:spacing w:before="40" w:after="100" w:line="283" w:lineRule="auto"/>
      </w:pPr>
      <w:r>
        <w:rPr>
          <w:rFonts w:ascii="Calibri" w:hAnsi="Calibri" w:eastAsia="Calibri"/>
          <w:b w:val="0"/>
          <w:i w:val="0"/>
          <w:sz w:val="21"/>
        </w:rPr>
        <w:t>Ta dokument na enem mestu povzema osnovne informacije o društvu, boleznih GBS in CIDP, poteku zdravljenja, rehabilitaciji ter možnostih podpore in sodelovanja. Namenjen je širjenju razumljivih, preglednih in koristnih informacij.</w:t>
      </w:r>
    </w:p>
    <w:tbl>
      <w:tblPr>
        <w:tblW w:type="auto" w:w="0"/>
        <w:jc w:val="center"/>
        <w:tblLayout w:type="fixed"/>
        <w:tblLook w:firstColumn="1" w:firstRow="1" w:lastColumn="0" w:lastRow="0" w:noHBand="0" w:noVBand="1" w:val="04A0"/>
      </w:tblPr>
      <w:tblGrid>
        <w:gridCol w:w="4989"/>
        <w:gridCol w:w="4989"/>
      </w:tblGrid>
      <w:tr>
        <w:tc>
          <w:tcPr>
            <w:tcW w:type="dxa" w:w="4791"/>
            <w:tcMar>
              <w:top w:w="110" w:type="dxa"/>
              <w:start w:w="150" w:type="dxa"/>
              <w:bottom w:w="120" w:type="dxa"/>
              <w:end w:w="150" w:type="dxa"/>
            </w:tcMar>
            <w:tcBorders>
              <w:left w:val="single" w:sz="10" w:color="D7E6F5"/>
              <w:top w:val="single" w:sz="10" w:color="D7E6F5"/>
              <w:right w:val="single" w:sz="10" w:color="D7E6F5"/>
              <w:bottom w:val="single" w:sz="10" w:color="D7E6F5"/>
            </w:tcBorders>
            <w:vAlign w:val="center"/>
            <w:shd w:fill="EEF6FD"/>
          </w:tcPr>
          <w:p>
            <w:pPr>
              <w:spacing w:before="0" w:after="40" w:line="276" w:lineRule="auto"/>
            </w:pPr>
            <w:r>
              <w:rPr>
                <w:rFonts w:ascii="Calibri" w:hAnsi="Calibri" w:eastAsia="Calibri"/>
                <w:b/>
                <w:i w:val="0"/>
                <w:color w:val="0B5DA8"/>
                <w:sz w:val="22"/>
              </w:rPr>
              <w:t>Za paciente</w:t>
              <w:br/>
            </w:r>
            <w:r>
              <w:rPr>
                <w:rFonts w:ascii="Calibri" w:hAnsi="Calibri" w:eastAsia="Calibri"/>
                <w:b w:val="0"/>
                <w:i w:val="0"/>
                <w:color w:val="333333"/>
                <w:sz w:val="20"/>
              </w:rPr>
              <w:t>jasne osnovne informacije o bolezni, poteku zdravljenja, rehabilitaciji in možnostih podpore.</w:t>
            </w:r>
          </w:p>
        </w:tc>
        <w:tc>
          <w:tcPr>
            <w:tcW w:type="dxa" w:w="4791"/>
            <w:tcMar>
              <w:top w:w="110" w:type="dxa"/>
              <w:start w:w="150" w:type="dxa"/>
              <w:bottom w:w="120" w:type="dxa"/>
              <w:end w:w="150" w:type="dxa"/>
            </w:tcMar>
            <w:tcBorders>
              <w:left w:val="single" w:sz="10" w:color="D7E6F5"/>
              <w:top w:val="single" w:sz="10" w:color="D7E6F5"/>
              <w:right w:val="single" w:sz="10" w:color="D7E6F5"/>
              <w:bottom w:val="single" w:sz="10" w:color="D7E6F5"/>
            </w:tcBorders>
            <w:vAlign w:val="center"/>
            <w:shd w:fill="F0FAF5"/>
          </w:tcPr>
          <w:p>
            <w:pPr>
              <w:spacing w:before="0" w:after="40" w:line="276" w:lineRule="auto"/>
            </w:pPr>
            <w:r>
              <w:rPr>
                <w:rFonts w:ascii="Calibri" w:hAnsi="Calibri" w:eastAsia="Calibri"/>
                <w:b/>
                <w:i w:val="0"/>
                <w:color w:val="0B5DA8"/>
                <w:sz w:val="22"/>
              </w:rPr>
              <w:t>Za svojce</w:t>
              <w:br/>
            </w:r>
            <w:r>
              <w:rPr>
                <w:rFonts w:ascii="Calibri" w:hAnsi="Calibri" w:eastAsia="Calibri"/>
                <w:b w:val="0"/>
                <w:i w:val="0"/>
                <w:color w:val="333333"/>
                <w:sz w:val="20"/>
              </w:rPr>
              <w:t>boljše razumevanje bolezni, okrevanja ter vsakodnevnih izzivov, s katerimi se lahko sreča družina.</w:t>
            </w:r>
          </w:p>
        </w:tc>
      </w:tr>
      <w:tr>
        <w:tc>
          <w:tcPr>
            <w:tcW w:type="dxa" w:w="4791"/>
            <w:tcMar>
              <w:top w:w="110" w:type="dxa"/>
              <w:start w:w="150" w:type="dxa"/>
              <w:bottom w:w="120" w:type="dxa"/>
              <w:end w:w="150" w:type="dxa"/>
            </w:tcMar>
            <w:tcBorders>
              <w:left w:val="single" w:sz="10" w:color="D7E6F5"/>
              <w:top w:val="single" w:sz="10" w:color="D7E6F5"/>
              <w:right w:val="single" w:sz="10" w:color="D7E6F5"/>
              <w:bottom w:val="single" w:sz="10" w:color="D7E6F5"/>
            </w:tcBorders>
            <w:vAlign w:val="center"/>
            <w:shd w:fill="F7F3FE"/>
          </w:tcPr>
          <w:p>
            <w:pPr>
              <w:spacing w:before="0" w:after="40" w:line="276" w:lineRule="auto"/>
            </w:pPr>
            <w:r>
              <w:rPr>
                <w:rFonts w:ascii="Calibri" w:hAnsi="Calibri" w:eastAsia="Calibri"/>
                <w:b/>
                <w:i w:val="0"/>
                <w:color w:val="0B5DA8"/>
                <w:sz w:val="22"/>
              </w:rPr>
              <w:t>Za zdravstvene ustanove</w:t>
              <w:br/>
            </w:r>
            <w:r>
              <w:rPr>
                <w:rFonts w:ascii="Calibri" w:hAnsi="Calibri" w:eastAsia="Calibri"/>
                <w:b w:val="0"/>
                <w:i w:val="0"/>
                <w:color w:val="333333"/>
                <w:sz w:val="20"/>
              </w:rPr>
              <w:t>pripomoček za informiranje bolnikov in lažje povezovanje s skupnostjo ter rehabilitacijskimi vsebinami.</w:t>
            </w:r>
          </w:p>
        </w:tc>
        <w:tc>
          <w:tcPr>
            <w:tcW w:type="dxa" w:w="4791"/>
            <w:tcMar>
              <w:top w:w="110" w:type="dxa"/>
              <w:start w:w="150" w:type="dxa"/>
              <w:bottom w:w="120" w:type="dxa"/>
              <w:end w:w="150" w:type="dxa"/>
            </w:tcMar>
            <w:tcBorders>
              <w:left w:val="single" w:sz="10" w:color="D7E6F5"/>
              <w:top w:val="single" w:sz="10" w:color="D7E6F5"/>
              <w:right w:val="single" w:sz="10" w:color="D7E6F5"/>
              <w:bottom w:val="single" w:sz="10" w:color="D7E6F5"/>
            </w:tcBorders>
            <w:vAlign w:val="center"/>
            <w:shd w:fill="FFF8EA"/>
          </w:tcPr>
          <w:p>
            <w:pPr>
              <w:spacing w:before="0" w:after="40" w:line="276" w:lineRule="auto"/>
            </w:pPr>
            <w:r>
              <w:rPr>
                <w:rFonts w:ascii="Calibri" w:hAnsi="Calibri" w:eastAsia="Calibri"/>
                <w:b/>
                <w:i w:val="0"/>
                <w:color w:val="0B5DA8"/>
                <w:sz w:val="22"/>
              </w:rPr>
              <w:t>Za druge institucije</w:t>
              <w:br/>
            </w:r>
            <w:r>
              <w:rPr>
                <w:rFonts w:ascii="Calibri" w:hAnsi="Calibri" w:eastAsia="Calibri"/>
                <w:b w:val="0"/>
                <w:i w:val="0"/>
                <w:color w:val="333333"/>
                <w:sz w:val="20"/>
              </w:rPr>
              <w:t>osnova za več razumevanja pri socialni, delovni, izobraževalni in administrativni podpori.</w:t>
            </w:r>
          </w:p>
        </w:tc>
      </w:tr>
    </w:tbl>
    <w:p>
      <w:pPr>
        <w:spacing w:after="40"/>
      </w:pPr>
    </w:p>
    <w:tbl>
      <w:tblPr>
        <w:tblW w:type="auto" w:w="0"/>
        <w:jc w:val="center"/>
        <w:tblLayout w:type="fixed"/>
        <w:tblLook w:firstColumn="1" w:firstRow="1" w:lastColumn="0" w:lastRow="0" w:noHBand="0" w:noVBand="1" w:val="04A0"/>
      </w:tblPr>
      <w:tblGrid>
        <w:gridCol w:w="9979"/>
      </w:tblGrid>
      <w:tr>
        <w:tc>
          <w:tcPr>
            <w:tcW w:type="dxa" w:w="9638"/>
            <w:shd w:fill="F3F8FD"/>
            <w:tcBorders>
              <w:left w:val="single" w:sz="10" w:color="B7D0EA"/>
              <w:top w:val="single" w:sz="10" w:color="B7D0EA"/>
              <w:right w:val="single" w:sz="10" w:color="B7D0EA"/>
              <w:bottom w:val="single" w:sz="10" w:color="B7D0EA"/>
            </w:tcBorders>
            <w:tcMar>
              <w:top w:w="140" w:type="dxa"/>
              <w:start w:w="180" w:type="dxa"/>
              <w:bottom w:w="140" w:type="dxa"/>
              <w:end w:w="180" w:type="dxa"/>
            </w:tcMar>
          </w:tcPr>
          <w:p>
            <w:pPr>
              <w:spacing w:before="0" w:after="40" w:line="276" w:lineRule="auto"/>
            </w:pPr>
            <w:r>
              <w:rPr>
                <w:rFonts w:ascii="Calibri" w:hAnsi="Calibri" w:eastAsia="Calibri"/>
                <w:b/>
                <w:i w:val="0"/>
                <w:color w:val="0B5DA8"/>
                <w:sz w:val="23"/>
              </w:rPr>
              <w:t>Poslanstvo društva</w:t>
              <w:br/>
            </w:r>
            <w:r>
              <w:rPr>
                <w:rFonts w:ascii="Calibri" w:hAnsi="Calibri" w:eastAsia="Calibri"/>
                <w:b w:val="0"/>
                <w:i w:val="0"/>
                <w:color w:val="333333"/>
                <w:sz w:val="20"/>
              </w:rPr>
              <w:t>Društvo GBS in CIDP Slovenije povezuje bolnike, svojce, strokovne sodelavce in podpornike. S svojim delovanjem spodbuja ozaveščanje o redkih nevroloških boleznih, medsebojno podporo, sodelovanje z ustanovami ter lažjo vključitev bolnikov v rehabilitacijo, vsakdanje življenje in širšo družbo.</w:t>
            </w:r>
          </w:p>
        </w:tc>
      </w:tr>
    </w:tbl>
    <w:p>
      <w:pPr>
        <w:spacing w:after="0"/>
      </w:pPr>
    </w:p>
    <w:p>
      <w:r>
        <w:br w:type="page"/>
      </w:r>
    </w:p>
    <w:p>
      <w:pPr>
        <w:spacing w:before="60" w:after="100" w:line="240" w:lineRule="auto"/>
        <w:pBdr>
          <w:bottom w:val="single" w:sz="10" w:space="2" w:color="D7E6F5"/>
        </w:pBdr>
      </w:pPr>
      <w:r>
        <w:rPr>
          <w:rFonts w:ascii="Calibri" w:hAnsi="Calibri" w:eastAsia="Calibri"/>
          <w:b/>
          <w:i w:val="0"/>
          <w:color w:val="0B5DA8"/>
          <w:sz w:val="38"/>
        </w:rPr>
        <w:t>O društvu</w:t>
      </w:r>
    </w:p>
    <w:p>
      <w:pPr>
        <w:spacing w:before="0" w:after="70" w:line="283" w:lineRule="auto"/>
      </w:pPr>
      <w:r>
        <w:rPr>
          <w:rFonts w:ascii="Calibri" w:hAnsi="Calibri" w:eastAsia="Calibri"/>
          <w:b w:val="0"/>
          <w:i w:val="0"/>
          <w:color w:val="222222"/>
          <w:sz w:val="21"/>
        </w:rPr>
        <w:t>Društvo je namenjeno povezovanju oseb z Guillain-Barrejevim sindromom (GBS) in kronično vnetno demielinizacijsko polinevropatijo (CIDP), njihovih svojcev, zdravstvenih strokovnjakov in drugih podpornikov. Deluje kot prostor informacij, razumevanja in sodelovanja.</w:t>
      </w:r>
    </w:p>
    <w:p>
      <w:pPr>
        <w:spacing w:before="80" w:after="40" w:line="240" w:lineRule="auto"/>
      </w:pPr>
      <w:r>
        <w:rPr>
          <w:rFonts w:ascii="Calibri" w:hAnsi="Calibri" w:eastAsia="Calibri"/>
          <w:b/>
          <w:i w:val="0"/>
          <w:color w:val="0B5DA8"/>
          <w:sz w:val="27"/>
        </w:rPr>
        <w:t>Kaj želi društvo doseči</w:t>
      </w:r>
    </w:p>
    <w:p>
      <w:pPr>
        <w:pStyle w:val="ListBullet"/>
        <w:spacing w:before="0" w:after="20" w:line="264" w:lineRule="auto"/>
      </w:pPr>
      <w:r>
        <w:rPr>
          <w:rFonts w:ascii="Calibri" w:hAnsi="Calibri" w:eastAsia="Calibri"/>
          <w:b w:val="0"/>
          <w:i w:val="0"/>
          <w:color w:val="222222"/>
          <w:sz w:val="21"/>
        </w:rPr>
        <w:t>povečati prepoznavnost bolezni GBS in CIDP v javnosti in med ustanovami,</w:t>
      </w:r>
    </w:p>
    <w:p>
      <w:pPr>
        <w:pStyle w:val="ListBullet"/>
        <w:spacing w:before="0" w:after="20" w:line="264" w:lineRule="auto"/>
      </w:pPr>
      <w:r>
        <w:rPr>
          <w:rFonts w:ascii="Calibri" w:hAnsi="Calibri" w:eastAsia="Calibri"/>
          <w:b w:val="0"/>
          <w:i w:val="0"/>
          <w:color w:val="222222"/>
          <w:sz w:val="21"/>
        </w:rPr>
        <w:t>omogočiti bolnikom in svojcem dostop do razumljivih informacij,</w:t>
      </w:r>
    </w:p>
    <w:p>
      <w:pPr>
        <w:pStyle w:val="ListBullet"/>
        <w:spacing w:before="0" w:after="20" w:line="264" w:lineRule="auto"/>
      </w:pPr>
      <w:r>
        <w:rPr>
          <w:rFonts w:ascii="Calibri" w:hAnsi="Calibri" w:eastAsia="Calibri"/>
          <w:b w:val="0"/>
          <w:i w:val="0"/>
          <w:color w:val="222222"/>
          <w:sz w:val="21"/>
        </w:rPr>
        <w:t>spodbujati zgodnje prepoznavanje simptomov in pravočasno obravnavo,</w:t>
      </w:r>
    </w:p>
    <w:p>
      <w:pPr>
        <w:pStyle w:val="ListBullet"/>
        <w:spacing w:before="0" w:after="20" w:line="264" w:lineRule="auto"/>
      </w:pPr>
      <w:r>
        <w:rPr>
          <w:rFonts w:ascii="Calibri" w:hAnsi="Calibri" w:eastAsia="Calibri"/>
          <w:b w:val="0"/>
          <w:i w:val="0"/>
          <w:color w:val="222222"/>
          <w:sz w:val="21"/>
        </w:rPr>
        <w:t>podpirati rehabilitacijo ter vračanje v delo, šolo, družino in družbo,</w:t>
      </w:r>
    </w:p>
    <w:p>
      <w:pPr>
        <w:pStyle w:val="ListBullet"/>
        <w:spacing w:before="0" w:after="20" w:line="264" w:lineRule="auto"/>
      </w:pPr>
      <w:r>
        <w:rPr>
          <w:rFonts w:ascii="Calibri" w:hAnsi="Calibri" w:eastAsia="Calibri"/>
          <w:b w:val="0"/>
          <w:i w:val="0"/>
          <w:color w:val="222222"/>
          <w:sz w:val="21"/>
        </w:rPr>
        <w:t>krepiti sodelovanje z nevrološkimi, rehabilitacijskimi, socialnimi in drugimi ustanovami.</w:t>
      </w:r>
    </w:p>
    <w:p>
      <w:pPr>
        <w:spacing w:before="80" w:after="40" w:line="240" w:lineRule="auto"/>
      </w:pPr>
      <w:r>
        <w:rPr>
          <w:rFonts w:ascii="Calibri" w:hAnsi="Calibri" w:eastAsia="Calibri"/>
          <w:b/>
          <w:i w:val="0"/>
          <w:color w:val="0B5DA8"/>
          <w:sz w:val="27"/>
        </w:rPr>
        <w:t>Kako lahko društvo pomaga</w:t>
      </w:r>
    </w:p>
    <w:tbl>
      <w:tblPr>
        <w:tblW w:type="auto" w:w="0"/>
        <w:jc w:val="center"/>
        <w:tblLayout w:type="fixed"/>
        <w:tblLook w:firstColumn="1" w:firstRow="1" w:lastColumn="0" w:lastRow="0" w:noHBand="0" w:noVBand="1" w:val="04A0"/>
      </w:tblPr>
      <w:tblGrid>
        <w:gridCol w:w="4989"/>
        <w:gridCol w:w="4989"/>
      </w:tblGrid>
      <w:tr>
        <w:tc>
          <w:tcPr>
            <w:tcW w:type="dxa" w:w="4791"/>
            <w:tcMar>
              <w:top w:w="110" w:type="dxa"/>
              <w:start w:w="150" w:type="dxa"/>
              <w:bottom w:w="120" w:type="dxa"/>
              <w:end w:w="150" w:type="dxa"/>
            </w:tcMar>
            <w:tcBorders>
              <w:left w:val="single" w:sz="10" w:color="D7E6F5"/>
              <w:top w:val="single" w:sz="10" w:color="D7E6F5"/>
              <w:right w:val="single" w:sz="10" w:color="D7E6F5"/>
              <w:bottom w:val="single" w:sz="10" w:color="D7E6F5"/>
            </w:tcBorders>
            <w:vAlign w:val="center"/>
            <w:shd w:fill="F7FBFE"/>
          </w:tcPr>
          <w:p>
            <w:pPr>
              <w:spacing w:before="0" w:after="40" w:line="276" w:lineRule="auto"/>
            </w:pPr>
            <w:r>
              <w:rPr>
                <w:rFonts w:ascii="Calibri" w:hAnsi="Calibri" w:eastAsia="Calibri"/>
                <w:b/>
                <w:i w:val="0"/>
                <w:color w:val="0B5DA8"/>
                <w:sz w:val="22"/>
              </w:rPr>
              <w:t>Informiranje</w:t>
              <w:br/>
            </w:r>
            <w:r>
              <w:rPr>
                <w:rFonts w:ascii="Calibri" w:hAnsi="Calibri" w:eastAsia="Calibri"/>
                <w:b w:val="0"/>
                <w:i w:val="0"/>
                <w:color w:val="333333"/>
                <w:sz w:val="20"/>
              </w:rPr>
              <w:t>zbrane osnovne informacije o bolezni, zdravljenju, rehabilitaciji in življenju po diagnozi.</w:t>
            </w:r>
          </w:p>
        </w:tc>
        <w:tc>
          <w:tcPr>
            <w:tcW w:type="dxa" w:w="4791"/>
            <w:tcMar>
              <w:top w:w="110" w:type="dxa"/>
              <w:start w:w="150" w:type="dxa"/>
              <w:bottom w:w="120" w:type="dxa"/>
              <w:end w:w="150" w:type="dxa"/>
            </w:tcMar>
            <w:tcBorders>
              <w:left w:val="single" w:sz="10" w:color="D7E6F5"/>
              <w:top w:val="single" w:sz="10" w:color="D7E6F5"/>
              <w:right w:val="single" w:sz="10" w:color="D7E6F5"/>
              <w:bottom w:val="single" w:sz="10" w:color="D7E6F5"/>
            </w:tcBorders>
            <w:vAlign w:val="center"/>
            <w:shd w:fill="F3FAF6"/>
          </w:tcPr>
          <w:p>
            <w:pPr>
              <w:spacing w:before="0" w:after="40" w:line="276" w:lineRule="auto"/>
            </w:pPr>
            <w:r>
              <w:rPr>
                <w:rFonts w:ascii="Calibri" w:hAnsi="Calibri" w:eastAsia="Calibri"/>
                <w:b/>
                <w:i w:val="0"/>
                <w:color w:val="0B5DA8"/>
                <w:sz w:val="22"/>
              </w:rPr>
              <w:t>Podpora</w:t>
              <w:br/>
            </w:r>
            <w:r>
              <w:rPr>
                <w:rFonts w:ascii="Calibri" w:hAnsi="Calibri" w:eastAsia="Calibri"/>
                <w:b w:val="0"/>
                <w:i w:val="0"/>
                <w:color w:val="333333"/>
                <w:sz w:val="20"/>
              </w:rPr>
              <w:t>medsebojna povezanost bolnikov in svojcev ter izmenjava izkušenj v varnem in razumevajočem okolju.</w:t>
            </w:r>
          </w:p>
        </w:tc>
      </w:tr>
      <w:tr>
        <w:tc>
          <w:tcPr>
            <w:tcW w:type="dxa" w:w="4791"/>
            <w:tcMar>
              <w:top w:w="110" w:type="dxa"/>
              <w:start w:w="150" w:type="dxa"/>
              <w:bottom w:w="120" w:type="dxa"/>
              <w:end w:w="150" w:type="dxa"/>
            </w:tcMar>
            <w:tcBorders>
              <w:left w:val="single" w:sz="10" w:color="D7E6F5"/>
              <w:top w:val="single" w:sz="10" w:color="D7E6F5"/>
              <w:right w:val="single" w:sz="10" w:color="D7E6F5"/>
              <w:bottom w:val="single" w:sz="10" w:color="D7E6F5"/>
            </w:tcBorders>
            <w:vAlign w:val="center"/>
            <w:shd w:fill="FEF8ED"/>
          </w:tcPr>
          <w:p>
            <w:pPr>
              <w:spacing w:before="0" w:after="40" w:line="276" w:lineRule="auto"/>
            </w:pPr>
            <w:r>
              <w:rPr>
                <w:rFonts w:ascii="Calibri" w:hAnsi="Calibri" w:eastAsia="Calibri"/>
                <w:b/>
                <w:i w:val="0"/>
                <w:color w:val="0B5DA8"/>
                <w:sz w:val="22"/>
              </w:rPr>
              <w:t>Sodelovanje</w:t>
              <w:br/>
            </w:r>
            <w:r>
              <w:rPr>
                <w:rFonts w:ascii="Calibri" w:hAnsi="Calibri" w:eastAsia="Calibri"/>
                <w:b w:val="0"/>
                <w:i w:val="0"/>
                <w:color w:val="333333"/>
                <w:sz w:val="20"/>
              </w:rPr>
              <w:t>povezovanje z zdravstvenimi, rehabilitacijskimi, socialnimi in drugimi ustanovami.</w:t>
            </w:r>
          </w:p>
        </w:tc>
        <w:tc>
          <w:tcPr>
            <w:tcW w:type="dxa" w:w="4791"/>
            <w:tcMar>
              <w:top w:w="110" w:type="dxa"/>
              <w:start w:w="150" w:type="dxa"/>
              <w:bottom w:w="120" w:type="dxa"/>
              <w:end w:w="150" w:type="dxa"/>
            </w:tcMar>
            <w:tcBorders>
              <w:left w:val="single" w:sz="10" w:color="D7E6F5"/>
              <w:top w:val="single" w:sz="10" w:color="D7E6F5"/>
              <w:right w:val="single" w:sz="10" w:color="D7E6F5"/>
              <w:bottom w:val="single" w:sz="10" w:color="D7E6F5"/>
            </w:tcBorders>
            <w:vAlign w:val="center"/>
            <w:shd w:fill="F9F5FF"/>
          </w:tcPr>
          <w:p>
            <w:pPr>
              <w:spacing w:before="0" w:after="40" w:line="276" w:lineRule="auto"/>
            </w:pPr>
            <w:r>
              <w:rPr>
                <w:rFonts w:ascii="Calibri" w:hAnsi="Calibri" w:eastAsia="Calibri"/>
                <w:b/>
                <w:i w:val="0"/>
                <w:color w:val="0B5DA8"/>
                <w:sz w:val="22"/>
              </w:rPr>
              <w:t>Ozaveščanje</w:t>
              <w:br/>
            </w:r>
            <w:r>
              <w:rPr>
                <w:rFonts w:ascii="Calibri" w:hAnsi="Calibri" w:eastAsia="Calibri"/>
                <w:b w:val="0"/>
                <w:i w:val="0"/>
                <w:color w:val="333333"/>
                <w:sz w:val="20"/>
              </w:rPr>
              <w:t>več razumevanja za nevidne posledice bolezni, utrudljivost, počasnejše okrevanje in potrebo po prilagoditvah.</w:t>
            </w:r>
          </w:p>
        </w:tc>
      </w:tr>
    </w:tbl>
    <w:p>
      <w:pPr>
        <w:spacing w:after="40"/>
      </w:pPr>
    </w:p>
    <w:tbl>
      <w:tblPr>
        <w:tblW w:type="auto" w:w="0"/>
        <w:jc w:val="center"/>
        <w:tblLayout w:type="fixed"/>
        <w:tblLook w:firstColumn="1" w:firstRow="1" w:lastColumn="0" w:lastRow="0" w:noHBand="0" w:noVBand="1" w:val="04A0"/>
      </w:tblPr>
      <w:tblGrid>
        <w:gridCol w:w="9979"/>
      </w:tblGrid>
      <w:tr>
        <w:tc>
          <w:tcPr>
            <w:tcW w:type="dxa" w:w="9638"/>
            <w:shd w:fill="F3F8FD"/>
            <w:tcBorders>
              <w:left w:val="single" w:sz="10" w:color="B7D0EA"/>
              <w:top w:val="single" w:sz="10" w:color="B7D0EA"/>
              <w:right w:val="single" w:sz="10" w:color="B7D0EA"/>
              <w:bottom w:val="single" w:sz="10" w:color="B7D0EA"/>
            </w:tcBorders>
            <w:tcMar>
              <w:top w:w="140" w:type="dxa"/>
              <w:start w:w="180" w:type="dxa"/>
              <w:bottom w:w="140" w:type="dxa"/>
              <w:end w:w="180" w:type="dxa"/>
            </w:tcMar>
          </w:tcPr>
          <w:p>
            <w:pPr>
              <w:spacing w:before="0" w:after="40" w:line="276" w:lineRule="auto"/>
            </w:pPr>
            <w:r>
              <w:rPr>
                <w:rFonts w:ascii="Calibri" w:hAnsi="Calibri" w:eastAsia="Calibri"/>
                <w:b/>
                <w:i w:val="0"/>
                <w:color w:val="0B5DA8"/>
                <w:sz w:val="23"/>
              </w:rPr>
              <w:t>Pomembno</w:t>
              <w:br/>
            </w:r>
            <w:r>
              <w:rPr>
                <w:rFonts w:ascii="Calibri" w:hAnsi="Calibri" w:eastAsia="Calibri"/>
                <w:b w:val="0"/>
                <w:i w:val="0"/>
                <w:color w:val="333333"/>
                <w:sz w:val="20"/>
              </w:rPr>
              <w:t>GBS in CIDP sta redki bolezni perifernega živčevja. Ker sta potek in okrevanje lahko zelo različna od osebe do osebe, so pravilne informacije, zgodnja obravnava in dobra rehabilitacijska podpora izredno pomembni.</w:t>
            </w:r>
          </w:p>
        </w:tc>
      </w:tr>
    </w:tbl>
    <w:p>
      <w:pPr>
        <w:spacing w:after="0"/>
      </w:pPr>
    </w:p>
    <w:p>
      <w:r>
        <w:br w:type="page"/>
      </w:r>
    </w:p>
    <w:p>
      <w:pPr>
        <w:spacing w:before="60" w:after="100" w:line="240" w:lineRule="auto"/>
        <w:pBdr>
          <w:bottom w:val="single" w:sz="10" w:space="2" w:color="D7E6F5"/>
        </w:pBdr>
      </w:pPr>
      <w:r>
        <w:rPr>
          <w:rFonts w:ascii="Calibri" w:hAnsi="Calibri" w:eastAsia="Calibri"/>
          <w:b/>
          <w:i w:val="0"/>
          <w:color w:val="0B5DA8"/>
          <w:sz w:val="38"/>
        </w:rPr>
        <w:t>Kaj sta GBS in CIDP?</w:t>
      </w:r>
    </w:p>
    <w:tbl>
      <w:tblPr>
        <w:tblW w:type="auto" w:w="0"/>
        <w:jc w:val="center"/>
        <w:tblLayout w:type="fixed"/>
        <w:tblLook w:firstColumn="1" w:firstRow="1" w:lastColumn="0" w:lastRow="0" w:noHBand="0" w:noVBand="1" w:val="04A0"/>
      </w:tblPr>
      <w:tblGrid>
        <w:gridCol w:w="4791"/>
        <w:gridCol w:w="4791"/>
      </w:tblGrid>
      <w:tr>
        <w:tc>
          <w:tcPr>
            <w:tcW w:type="dxa" w:w="4989"/>
            <w:tcMar>
              <w:top w:w="140" w:type="dxa"/>
              <w:start w:w="160" w:type="dxa"/>
              <w:bottom w:w="140" w:type="dxa"/>
              <w:end w:w="160" w:type="dxa"/>
            </w:tcMar>
            <w:shd w:fill="EEF6FD"/>
            <w:tcBorders>
              <w:left w:val="single" w:sz="10" w:color="D7E6F5"/>
              <w:top w:val="single" w:sz="10" w:color="D7E6F5"/>
              <w:right w:val="single" w:sz="10" w:color="D7E6F5"/>
              <w:bottom w:val="single" w:sz="10" w:color="D7E6F5"/>
            </w:tcBorders>
          </w:tcPr>
          <w:p>
            <w:pPr>
              <w:spacing w:before="0" w:after="40" w:line="276" w:lineRule="auto"/>
            </w:pPr>
            <w:r>
              <w:rPr>
                <w:rFonts w:ascii="Calibri" w:hAnsi="Calibri" w:eastAsia="Calibri"/>
                <w:b/>
                <w:i w:val="0"/>
                <w:color w:val="0B5DA8"/>
                <w:sz w:val="22"/>
              </w:rPr>
              <w:t>GBS - Guillain-Barrejev sindrom</w:t>
              <w:br/>
            </w:r>
            <w:r>
              <w:rPr>
                <w:rFonts w:ascii="Calibri" w:hAnsi="Calibri" w:eastAsia="Calibri"/>
                <w:b w:val="0"/>
                <w:i w:val="0"/>
                <w:color w:val="333333"/>
                <w:sz w:val="20"/>
              </w:rPr>
              <w:t>GBS je redka akutna imunsko pogojena bolezen perifernega živčevja. Simptomi se navadno razvijajo hitro, v dneh do tednih. Ker lahko prizadene mišično moč, ravnotežje, požiranje in v hujših primerih tudi dihanje, zahteva hitro zdravniško obravnavo in pogosto bolnišnično spremljanje.</w:t>
            </w:r>
          </w:p>
        </w:tc>
        <w:tc>
          <w:tcPr>
            <w:tcW w:type="dxa" w:w="4989"/>
            <w:tcMar>
              <w:top w:w="140" w:type="dxa"/>
              <w:start w:w="160" w:type="dxa"/>
              <w:bottom w:w="140" w:type="dxa"/>
              <w:end w:w="160" w:type="dxa"/>
            </w:tcMar>
            <w:shd w:fill="F0FAF5"/>
            <w:tcBorders>
              <w:left w:val="single" w:sz="10" w:color="D7E6F5"/>
              <w:top w:val="single" w:sz="10" w:color="D7E6F5"/>
              <w:right w:val="single" w:sz="10" w:color="D7E6F5"/>
              <w:bottom w:val="single" w:sz="10" w:color="D7E6F5"/>
            </w:tcBorders>
          </w:tcPr>
          <w:p>
            <w:pPr>
              <w:spacing w:before="0" w:after="40" w:line="276" w:lineRule="auto"/>
            </w:pPr>
            <w:r>
              <w:rPr>
                <w:rFonts w:ascii="Calibri" w:hAnsi="Calibri" w:eastAsia="Calibri"/>
                <w:b/>
                <w:i w:val="0"/>
                <w:color w:val="0B5DA8"/>
                <w:sz w:val="22"/>
              </w:rPr>
              <w:t>CIDP - kronična vnetna demielinizacijska polinevropatija</w:t>
              <w:br/>
            </w:r>
            <w:r>
              <w:rPr>
                <w:rFonts w:ascii="Calibri" w:hAnsi="Calibri" w:eastAsia="Calibri"/>
                <w:b w:val="0"/>
                <w:i w:val="0"/>
                <w:color w:val="333333"/>
                <w:sz w:val="20"/>
              </w:rPr>
              <w:t>CIDP je redka imunsko pogojena bolezen perifernega živčevja, pri kateri se simptomi razvijajo počasneje - navadno več kot 8 tednov - ali pa potekajo nihajoče oziroma se ponavljajo. Pogosto povzroča napredujočo šibkost, senzorične motnje in zmanjšane reflekse.</w:t>
            </w:r>
          </w:p>
        </w:tc>
      </w:tr>
    </w:tbl>
    <w:p>
      <w:pPr>
        <w:spacing w:after="60"/>
      </w:pPr>
    </w:p>
    <w:p>
      <w:pPr>
        <w:spacing w:before="80" w:after="40" w:line="240" w:lineRule="auto"/>
      </w:pPr>
      <w:r>
        <w:rPr>
          <w:rFonts w:ascii="Calibri" w:hAnsi="Calibri" w:eastAsia="Calibri"/>
          <w:b/>
          <w:i w:val="0"/>
          <w:color w:val="0B5DA8"/>
          <w:sz w:val="27"/>
        </w:rPr>
        <w:t>Pogosti simptomi</w:t>
      </w:r>
    </w:p>
    <w:tbl>
      <w:tblPr>
        <w:tblW w:type="auto" w:w="0"/>
        <w:jc w:val="center"/>
        <w:tblLayout w:type="fixed"/>
        <w:tblLook w:firstColumn="1" w:firstRow="1" w:lastColumn="0" w:lastRow="0" w:noHBand="0" w:noVBand="1" w:val="04A0"/>
      </w:tblPr>
      <w:tblGrid>
        <w:gridCol w:w="3326"/>
        <w:gridCol w:w="3326"/>
        <w:gridCol w:w="3326"/>
      </w:tblGrid>
      <w:tr>
        <w:tc>
          <w:tcPr>
            <w:tcW w:type="dxa" w:w="3192"/>
            <w:tcMar>
              <w:top w:w="120" w:type="dxa"/>
              <w:start w:w="120" w:type="dxa"/>
              <w:bottom w:w="120" w:type="dxa"/>
              <w:end w:w="120" w:type="dxa"/>
            </w:tcMar>
            <w:shd w:fill="F7FBFE"/>
            <w:tcBorders>
              <w:left w:val="single" w:sz="8" w:color="DDE7F2"/>
              <w:top w:val="single" w:sz="8" w:color="DDE7F2"/>
              <w:right w:val="single" w:sz="8" w:color="DDE7F2"/>
              <w:bottom w:val="single" w:sz="8" w:color="DDE7F2"/>
            </w:tcBorders>
          </w:tcPr>
          <w:p>
            <w:pPr>
              <w:spacing w:before="0" w:after="0" w:line="264" w:lineRule="auto"/>
              <w:jc w:val="center"/>
            </w:pPr>
            <w:r>
              <w:rPr>
                <w:rFonts w:ascii="Calibri" w:hAnsi="Calibri" w:eastAsia="Calibri"/>
                <w:b w:val="0"/>
                <w:i w:val="0"/>
                <w:color w:val="333333"/>
                <w:sz w:val="20"/>
              </w:rPr>
              <w:t>šibkost v nogah in rokah</w:t>
            </w:r>
          </w:p>
        </w:tc>
        <w:tc>
          <w:tcPr>
            <w:tcW w:type="dxa" w:w="3192"/>
            <w:tcMar>
              <w:top w:w="120" w:type="dxa"/>
              <w:start w:w="120" w:type="dxa"/>
              <w:bottom w:w="120" w:type="dxa"/>
              <w:end w:w="120" w:type="dxa"/>
            </w:tcMar>
            <w:shd w:fill="F3FAF6"/>
            <w:tcBorders>
              <w:left w:val="single" w:sz="8" w:color="DDE7F2"/>
              <w:top w:val="single" w:sz="8" w:color="DDE7F2"/>
              <w:right w:val="single" w:sz="8" w:color="DDE7F2"/>
              <w:bottom w:val="single" w:sz="8" w:color="DDE7F2"/>
            </w:tcBorders>
          </w:tcPr>
          <w:p>
            <w:pPr>
              <w:spacing w:before="0" w:after="0" w:line="264" w:lineRule="auto"/>
              <w:jc w:val="center"/>
            </w:pPr>
            <w:r>
              <w:rPr>
                <w:rFonts w:ascii="Calibri" w:hAnsi="Calibri" w:eastAsia="Calibri"/>
                <w:b w:val="0"/>
                <w:i w:val="0"/>
                <w:color w:val="333333"/>
                <w:sz w:val="20"/>
              </w:rPr>
              <w:t>mravljinčenje, odrevenelost ali pekoč občutek</w:t>
            </w:r>
          </w:p>
        </w:tc>
        <w:tc>
          <w:tcPr>
            <w:tcW w:type="dxa" w:w="3192"/>
            <w:tcMar>
              <w:top w:w="120" w:type="dxa"/>
              <w:start w:w="120" w:type="dxa"/>
              <w:bottom w:w="120" w:type="dxa"/>
              <w:end w:w="120" w:type="dxa"/>
            </w:tcMar>
            <w:shd w:fill="FEF8ED"/>
            <w:tcBorders>
              <w:left w:val="single" w:sz="8" w:color="DDE7F2"/>
              <w:top w:val="single" w:sz="8" w:color="DDE7F2"/>
              <w:right w:val="single" w:sz="8" w:color="DDE7F2"/>
              <w:bottom w:val="single" w:sz="8" w:color="DDE7F2"/>
            </w:tcBorders>
          </w:tcPr>
          <w:p>
            <w:pPr>
              <w:spacing w:before="0" w:after="0" w:line="264" w:lineRule="auto"/>
              <w:jc w:val="center"/>
            </w:pPr>
            <w:r>
              <w:rPr>
                <w:rFonts w:ascii="Calibri" w:hAnsi="Calibri" w:eastAsia="Calibri"/>
                <w:b w:val="0"/>
                <w:i w:val="0"/>
                <w:color w:val="333333"/>
                <w:sz w:val="20"/>
              </w:rPr>
              <w:t>zmanjšani ali odsotni refleksi</w:t>
            </w:r>
          </w:p>
        </w:tc>
      </w:tr>
      <w:tr>
        <w:tc>
          <w:tcPr>
            <w:tcW w:type="dxa" w:w="3192"/>
            <w:tcMar>
              <w:top w:w="120" w:type="dxa"/>
              <w:start w:w="120" w:type="dxa"/>
              <w:bottom w:w="120" w:type="dxa"/>
              <w:end w:w="120" w:type="dxa"/>
            </w:tcMar>
            <w:shd w:fill="F9F5FF"/>
            <w:tcBorders>
              <w:left w:val="single" w:sz="8" w:color="DDE7F2"/>
              <w:top w:val="single" w:sz="8" w:color="DDE7F2"/>
              <w:right w:val="single" w:sz="8" w:color="DDE7F2"/>
              <w:bottom w:val="single" w:sz="8" w:color="DDE7F2"/>
            </w:tcBorders>
          </w:tcPr>
          <w:p>
            <w:pPr>
              <w:spacing w:before="0" w:after="0" w:line="264" w:lineRule="auto"/>
              <w:jc w:val="center"/>
            </w:pPr>
            <w:r>
              <w:rPr>
                <w:rFonts w:ascii="Calibri" w:hAnsi="Calibri" w:eastAsia="Calibri"/>
                <w:b w:val="0"/>
                <w:i w:val="0"/>
                <w:color w:val="333333"/>
                <w:sz w:val="20"/>
              </w:rPr>
              <w:t>težave z ravnotežjem in hojo</w:t>
            </w:r>
          </w:p>
        </w:tc>
        <w:tc>
          <w:tcPr>
            <w:tcW w:type="dxa" w:w="3192"/>
            <w:tcMar>
              <w:top w:w="120" w:type="dxa"/>
              <w:start w:w="120" w:type="dxa"/>
              <w:bottom w:w="120" w:type="dxa"/>
              <w:end w:w="120" w:type="dxa"/>
            </w:tcMar>
            <w:shd w:fill="F7FBFE"/>
            <w:tcBorders>
              <w:left w:val="single" w:sz="8" w:color="DDE7F2"/>
              <w:top w:val="single" w:sz="8" w:color="DDE7F2"/>
              <w:right w:val="single" w:sz="8" w:color="DDE7F2"/>
              <w:bottom w:val="single" w:sz="8" w:color="DDE7F2"/>
            </w:tcBorders>
          </w:tcPr>
          <w:p>
            <w:pPr>
              <w:spacing w:before="0" w:after="0" w:line="264" w:lineRule="auto"/>
              <w:jc w:val="center"/>
            </w:pPr>
            <w:r>
              <w:rPr>
                <w:rFonts w:ascii="Calibri" w:hAnsi="Calibri" w:eastAsia="Calibri"/>
                <w:b w:val="0"/>
                <w:i w:val="0"/>
                <w:color w:val="333333"/>
                <w:sz w:val="20"/>
              </w:rPr>
              <w:t>utrujenost in slabša vzdržljivost</w:t>
            </w:r>
          </w:p>
        </w:tc>
        <w:tc>
          <w:tcPr>
            <w:tcW w:type="dxa" w:w="3192"/>
            <w:tcMar>
              <w:top w:w="120" w:type="dxa"/>
              <w:start w:w="120" w:type="dxa"/>
              <w:bottom w:w="120" w:type="dxa"/>
              <w:end w:w="120" w:type="dxa"/>
            </w:tcMar>
            <w:shd w:fill="FFF1F2"/>
            <w:tcBorders>
              <w:left w:val="single" w:sz="8" w:color="DDE7F2"/>
              <w:top w:val="single" w:sz="8" w:color="DDE7F2"/>
              <w:right w:val="single" w:sz="8" w:color="DDE7F2"/>
              <w:bottom w:val="single" w:sz="8" w:color="DDE7F2"/>
            </w:tcBorders>
          </w:tcPr>
          <w:p>
            <w:pPr>
              <w:spacing w:before="0" w:after="0" w:line="264" w:lineRule="auto"/>
              <w:jc w:val="center"/>
            </w:pPr>
            <w:r>
              <w:rPr>
                <w:rFonts w:ascii="Calibri" w:hAnsi="Calibri" w:eastAsia="Calibri"/>
                <w:b w:val="0"/>
                <w:i w:val="0"/>
                <w:color w:val="333333"/>
                <w:sz w:val="20"/>
              </w:rPr>
              <w:t>pri GBS lahko tudi težave z dihanjem ali požiranjem</w:t>
            </w:r>
          </w:p>
        </w:tc>
      </w:tr>
    </w:tbl>
    <w:p>
      <w:pPr>
        <w:spacing w:after="60"/>
      </w:pPr>
    </w:p>
    <w:tbl>
      <w:tblPr>
        <w:tblW w:type="auto" w:w="0"/>
        <w:jc w:val="center"/>
        <w:tblLayout w:type="fixed"/>
        <w:tblLook w:firstColumn="1" w:firstRow="1" w:lastColumn="0" w:lastRow="0" w:noHBand="0" w:noVBand="1" w:val="04A0"/>
      </w:tblPr>
      <w:tblGrid>
        <w:gridCol w:w="9979"/>
      </w:tblGrid>
      <w:tr>
        <w:tc>
          <w:tcPr>
            <w:tcW w:type="dxa" w:w="9638"/>
            <w:shd w:fill="F3F8FD"/>
            <w:tcBorders>
              <w:left w:val="single" w:sz="10" w:color="B7D0EA"/>
              <w:top w:val="single" w:sz="10" w:color="B7D0EA"/>
              <w:right w:val="single" w:sz="10" w:color="B7D0EA"/>
              <w:bottom w:val="single" w:sz="10" w:color="B7D0EA"/>
            </w:tcBorders>
            <w:tcMar>
              <w:top w:w="140" w:type="dxa"/>
              <w:start w:w="180" w:type="dxa"/>
              <w:bottom w:w="140" w:type="dxa"/>
              <w:end w:w="180" w:type="dxa"/>
            </w:tcMar>
          </w:tcPr>
          <w:p>
            <w:pPr>
              <w:spacing w:before="0" w:after="40" w:line="276" w:lineRule="auto"/>
            </w:pPr>
            <w:r>
              <w:rPr>
                <w:rFonts w:ascii="Calibri" w:hAnsi="Calibri" w:eastAsia="Calibri"/>
                <w:b/>
                <w:i w:val="0"/>
                <w:color w:val="0B5DA8"/>
                <w:sz w:val="23"/>
              </w:rPr>
              <w:t>Kdaj je nujna hitra zdravniška pomoč</w:t>
              <w:br/>
            </w:r>
            <w:r>
              <w:rPr>
                <w:rFonts w:ascii="Calibri" w:hAnsi="Calibri" w:eastAsia="Calibri"/>
                <w:b w:val="0"/>
                <w:i w:val="0"/>
                <w:color w:val="333333"/>
                <w:sz w:val="20"/>
              </w:rPr>
              <w:t>Ob hitro napredujoči šibkosti, težkem dihanju, težavah s požiranjem, izraziti nestabilnosti ali nenadni nezmožnosti hoje je potrebna takojšnja zdravniška ocena. Pri GBS se lahko stanje poslabša hitro, zato je zgodnja obravnava ključna.</w:t>
            </w:r>
          </w:p>
        </w:tc>
      </w:tr>
    </w:tbl>
    <w:p>
      <w:pPr>
        <w:spacing w:after="0"/>
      </w:pPr>
    </w:p>
    <w:p>
      <w:r>
        <w:br w:type="page"/>
      </w:r>
    </w:p>
    <w:p>
      <w:pPr>
        <w:spacing w:before="60" w:after="100" w:line="240" w:lineRule="auto"/>
        <w:pBdr>
          <w:bottom w:val="single" w:sz="10" w:space="2" w:color="D7E6F5"/>
        </w:pBdr>
      </w:pPr>
      <w:r>
        <w:rPr>
          <w:rFonts w:ascii="Calibri" w:hAnsi="Calibri" w:eastAsia="Calibri"/>
          <w:b/>
          <w:i w:val="0"/>
          <w:color w:val="0B5DA8"/>
          <w:sz w:val="38"/>
        </w:rPr>
        <w:t>Diagnostika in zdravljenje</w:t>
      </w:r>
    </w:p>
    <w:tbl>
      <w:tblPr>
        <w:tblW w:type="auto" w:w="0"/>
        <w:jc w:val="center"/>
        <w:tblLayout w:type="fixed"/>
        <w:tblLook w:firstColumn="1" w:firstRow="1" w:lastColumn="0" w:lastRow="0" w:noHBand="0" w:noVBand="1" w:val="04A0"/>
      </w:tblPr>
      <w:tblGrid>
        <w:gridCol w:w="4649"/>
        <w:gridCol w:w="4932"/>
      </w:tblGrid>
      <w:tr>
        <w:tc>
          <w:tcPr>
            <w:tcW w:type="dxa" w:w="4989"/>
            <w:shd w:fill="F7FBFE"/>
            <w:tcBorders>
              <w:left w:val="single" w:sz="10" w:color="D7E6F5"/>
              <w:top w:val="single" w:sz="10" w:color="D7E6F5"/>
              <w:right w:val="single" w:sz="10" w:color="D7E6F5"/>
              <w:bottom w:val="single" w:sz="10" w:color="D7E6F5"/>
            </w:tcBorders>
            <w:tcMar>
              <w:top w:w="140" w:type="dxa"/>
              <w:start w:w="160" w:type="dxa"/>
              <w:bottom w:w="140" w:type="dxa"/>
              <w:end w:w="160" w:type="dxa"/>
            </w:tcMar>
          </w:tcPr>
          <w:p>
            <w:pPr>
              <w:spacing w:before="0" w:after="40" w:line="276" w:lineRule="auto"/>
            </w:pPr>
            <w:r>
              <w:rPr>
                <w:rFonts w:ascii="Calibri" w:hAnsi="Calibri" w:eastAsia="Calibri"/>
                <w:b/>
                <w:i w:val="0"/>
                <w:color w:val="0B5DA8"/>
                <w:sz w:val="22"/>
              </w:rPr>
              <w:t>Kako zdravniki postavijo diagnozo</w:t>
              <w:br/>
            </w:r>
          </w:p>
          <w:p>
            <w:pPr>
              <w:pStyle w:val="ListBullet"/>
              <w:spacing w:before="0" w:after="20" w:line="259" w:lineRule="auto"/>
            </w:pPr>
            <w:r>
              <w:rPr>
                <w:rFonts w:ascii="Calibri" w:hAnsi="Calibri" w:eastAsia="Calibri"/>
                <w:b w:val="0"/>
                <w:i w:val="0"/>
                <w:color w:val="333333"/>
                <w:sz w:val="20"/>
              </w:rPr>
              <w:t>klinični in nevrološki pregled,</w:t>
            </w:r>
          </w:p>
          <w:p>
            <w:pPr>
              <w:pStyle w:val="ListBullet"/>
              <w:spacing w:before="0" w:after="20" w:line="259" w:lineRule="auto"/>
            </w:pPr>
            <w:r>
              <w:rPr>
                <w:rFonts w:ascii="Calibri" w:hAnsi="Calibri" w:eastAsia="Calibri"/>
                <w:b w:val="0"/>
                <w:i w:val="0"/>
                <w:color w:val="333333"/>
                <w:sz w:val="20"/>
              </w:rPr>
              <w:t>EMG oziroma preiskave prevajanja po živcih,</w:t>
            </w:r>
          </w:p>
          <w:p>
            <w:pPr>
              <w:pStyle w:val="ListBullet"/>
              <w:spacing w:before="0" w:after="20" w:line="259" w:lineRule="auto"/>
            </w:pPr>
            <w:r>
              <w:rPr>
                <w:rFonts w:ascii="Calibri" w:hAnsi="Calibri" w:eastAsia="Calibri"/>
                <w:b w:val="0"/>
                <w:i w:val="0"/>
                <w:color w:val="333333"/>
                <w:sz w:val="20"/>
              </w:rPr>
              <w:t>lumbalna punkcija (spinalna tekočina),</w:t>
            </w:r>
          </w:p>
          <w:p>
            <w:pPr>
              <w:pStyle w:val="ListBullet"/>
              <w:spacing w:before="0" w:after="20" w:line="259" w:lineRule="auto"/>
            </w:pPr>
            <w:r>
              <w:rPr>
                <w:rFonts w:ascii="Calibri" w:hAnsi="Calibri" w:eastAsia="Calibri"/>
                <w:b w:val="0"/>
                <w:i w:val="0"/>
                <w:color w:val="333333"/>
                <w:sz w:val="20"/>
              </w:rPr>
              <w:t>krvni testi,</w:t>
            </w:r>
          </w:p>
          <w:p>
            <w:pPr>
              <w:pStyle w:val="ListBullet"/>
              <w:spacing w:before="0" w:after="20" w:line="259" w:lineRule="auto"/>
            </w:pPr>
            <w:r>
              <w:rPr>
                <w:rFonts w:ascii="Calibri" w:hAnsi="Calibri" w:eastAsia="Calibri"/>
                <w:b w:val="0"/>
                <w:i w:val="0"/>
                <w:color w:val="333333"/>
                <w:sz w:val="20"/>
              </w:rPr>
              <w:t>po potrebi dodatne slikovne ali druge preiskave; pri CIDP v izbranih primerih tudi dodatna specialistična diagnostika.</w:t>
            </w:r>
          </w:p>
        </w:tc>
        <w:tc>
          <w:tcPr>
            <w:tcW w:type="dxa" w:w="4989"/>
            <w:shd w:fill="F0FAF5"/>
            <w:tcBorders>
              <w:left w:val="single" w:sz="10" w:color="D7E6F5"/>
              <w:top w:val="single" w:sz="10" w:color="D7E6F5"/>
              <w:right w:val="single" w:sz="10" w:color="D7E6F5"/>
              <w:bottom w:val="single" w:sz="10" w:color="D7E6F5"/>
            </w:tcBorders>
            <w:tcMar>
              <w:top w:w="140" w:type="dxa"/>
              <w:start w:w="160" w:type="dxa"/>
              <w:bottom w:w="140" w:type="dxa"/>
              <w:end w:w="160" w:type="dxa"/>
            </w:tcMar>
          </w:tcPr>
          <w:p>
            <w:pPr>
              <w:spacing w:before="0" w:after="40" w:line="276" w:lineRule="auto"/>
            </w:pPr>
            <w:r>
              <w:rPr>
                <w:rFonts w:ascii="Calibri" w:hAnsi="Calibri" w:eastAsia="Calibri"/>
                <w:b/>
                <w:i w:val="0"/>
                <w:color w:val="0B5DA8"/>
                <w:sz w:val="22"/>
              </w:rPr>
              <w:t>Zdravljenje</w:t>
              <w:br/>
            </w:r>
            <w:r>
              <w:rPr>
                <w:rFonts w:ascii="Calibri" w:hAnsi="Calibri" w:eastAsia="Calibri"/>
                <w:b/>
                <w:i w:val="0"/>
                <w:color w:val="2B5C3F"/>
                <w:sz w:val="21"/>
              </w:rPr>
              <w:t>GBS:</w:t>
              <w:br/>
            </w:r>
            <w:r>
              <w:rPr>
                <w:rFonts w:ascii="Calibri" w:hAnsi="Calibri" w:eastAsia="Calibri"/>
                <w:b w:val="0"/>
                <w:i w:val="0"/>
                <w:color w:val="333333"/>
                <w:sz w:val="20"/>
              </w:rPr>
              <w:t>najpogosteje zahteva bolnišnično spremljanje, podporno zdravljenje ter zdravljenje z intravenskimi imunoglobulini (IVIg) ali plazmaferezo.</w:t>
              <w:br/>
            </w:r>
            <w:r>
              <w:rPr>
                <w:rFonts w:ascii="Calibri" w:hAnsi="Calibri" w:eastAsia="Calibri"/>
                <w:b/>
                <w:i w:val="0"/>
                <w:color w:val="2B5C3F"/>
                <w:sz w:val="21"/>
              </w:rPr>
              <w:t>CIDP:</w:t>
              <w:br/>
            </w:r>
            <w:r>
              <w:rPr>
                <w:rFonts w:ascii="Calibri" w:hAnsi="Calibri" w:eastAsia="Calibri"/>
                <w:b w:val="0"/>
                <w:i w:val="0"/>
                <w:color w:val="333333"/>
                <w:sz w:val="20"/>
              </w:rPr>
              <w:t>zdravljenje lahko vključuje IVIg, kortikosteroide, plazmaferezo in v nekaterih primerih druga zdravila za uravnavanje imunskega odziva. Potek zdravljenja je individualen in ga vodi specialist nevrolog.</w:t>
            </w:r>
          </w:p>
        </w:tc>
      </w:tr>
    </w:tbl>
    <w:p>
      <w:pPr>
        <w:spacing w:after="80"/>
      </w:pPr>
    </w:p>
    <w:p>
      <w:pPr>
        <w:spacing w:before="80" w:after="40" w:line="240" w:lineRule="auto"/>
      </w:pPr>
      <w:r>
        <w:rPr>
          <w:rFonts w:ascii="Calibri" w:hAnsi="Calibri" w:eastAsia="Calibri"/>
          <w:b/>
          <w:i w:val="0"/>
          <w:color w:val="0B5DA8"/>
          <w:sz w:val="27"/>
        </w:rPr>
        <w:t>Ključne razlike med GBS in CIDP</w:t>
      </w:r>
    </w:p>
    <w:tbl>
      <w:tblPr>
        <w:tblW w:type="auto" w:w="0"/>
        <w:jc w:val="center"/>
        <w:tblLayout w:type="fixed"/>
        <w:tblLook w:firstColumn="1" w:firstRow="1" w:lastColumn="0" w:lastRow="0" w:noHBand="0" w:noVBand="1" w:val="04A0"/>
      </w:tblPr>
      <w:tblGrid>
        <w:gridCol w:w="2835"/>
        <w:gridCol w:w="3288"/>
        <w:gridCol w:w="3515"/>
      </w:tblGrid>
      <w:tr>
        <w:tc>
          <w:tcPr>
            <w:tcW w:type="dxa" w:w="3326"/>
            <w:shd w:fill="0B5DA8"/>
            <w:tcBorders>
              <w:left w:val="single" w:sz="8" w:color="0B5DA8"/>
              <w:top w:val="single" w:sz="8" w:color="0B5DA8"/>
              <w:right w:val="single" w:sz="8" w:color="0B5DA8"/>
              <w:bottom w:val="single" w:sz="8" w:color="0B5DA8"/>
            </w:tcBorders>
            <w:tcMar>
              <w:top w:w="80" w:type="dxa"/>
              <w:start w:w="100" w:type="dxa"/>
              <w:bottom w:w="80" w:type="dxa"/>
              <w:end w:w="100" w:type="dxa"/>
            </w:tcMar>
          </w:tcPr>
          <w:p>
            <w:pPr>
              <w:spacing w:before="0" w:after="0" w:line="276" w:lineRule="auto"/>
              <w:jc w:val="center"/>
            </w:pPr>
            <w:r>
              <w:rPr>
                <w:rFonts w:ascii="Calibri" w:hAnsi="Calibri" w:eastAsia="Calibri"/>
                <w:b/>
                <w:i w:val="0"/>
                <w:color w:val="FFFFFF"/>
                <w:sz w:val="20"/>
              </w:rPr>
              <w:t>Značilnost</w:t>
            </w:r>
          </w:p>
        </w:tc>
        <w:tc>
          <w:tcPr>
            <w:tcW w:type="dxa" w:w="3326"/>
            <w:shd w:fill="0B5DA8"/>
            <w:tcBorders>
              <w:left w:val="single" w:sz="8" w:color="0B5DA8"/>
              <w:top w:val="single" w:sz="8" w:color="0B5DA8"/>
              <w:right w:val="single" w:sz="8" w:color="0B5DA8"/>
              <w:bottom w:val="single" w:sz="8" w:color="0B5DA8"/>
            </w:tcBorders>
            <w:tcMar>
              <w:top w:w="80" w:type="dxa"/>
              <w:start w:w="100" w:type="dxa"/>
              <w:bottom w:w="80" w:type="dxa"/>
              <w:end w:w="100" w:type="dxa"/>
            </w:tcMar>
          </w:tcPr>
          <w:p>
            <w:pPr>
              <w:spacing w:before="0" w:after="0" w:line="276" w:lineRule="auto"/>
              <w:jc w:val="center"/>
            </w:pPr>
            <w:r>
              <w:rPr>
                <w:rFonts w:ascii="Calibri" w:hAnsi="Calibri" w:eastAsia="Calibri"/>
                <w:b/>
                <w:i w:val="0"/>
                <w:color w:val="FFFFFF"/>
                <w:sz w:val="20"/>
              </w:rPr>
              <w:t>GBS</w:t>
            </w:r>
          </w:p>
        </w:tc>
        <w:tc>
          <w:tcPr>
            <w:tcW w:type="dxa" w:w="3326"/>
            <w:shd w:fill="0B5DA8"/>
            <w:tcBorders>
              <w:left w:val="single" w:sz="8" w:color="0B5DA8"/>
              <w:top w:val="single" w:sz="8" w:color="0B5DA8"/>
              <w:right w:val="single" w:sz="8" w:color="0B5DA8"/>
              <w:bottom w:val="single" w:sz="8" w:color="0B5DA8"/>
            </w:tcBorders>
            <w:tcMar>
              <w:top w:w="80" w:type="dxa"/>
              <w:start w:w="100" w:type="dxa"/>
              <w:bottom w:w="80" w:type="dxa"/>
              <w:end w:w="100" w:type="dxa"/>
            </w:tcMar>
          </w:tcPr>
          <w:p>
            <w:pPr>
              <w:spacing w:before="0" w:after="0" w:line="276" w:lineRule="auto"/>
              <w:jc w:val="center"/>
            </w:pPr>
            <w:r>
              <w:rPr>
                <w:rFonts w:ascii="Calibri" w:hAnsi="Calibri" w:eastAsia="Calibri"/>
                <w:b/>
                <w:i w:val="0"/>
                <w:color w:val="FFFFFF"/>
                <w:sz w:val="20"/>
              </w:rPr>
              <w:t>CIDP</w:t>
            </w:r>
          </w:p>
        </w:tc>
      </w:tr>
      <w:tr>
        <w:tc>
          <w:tcPr>
            <w:tcW w:type="dxa" w:w="3326"/>
            <w:shd w:fill="F9FBFD"/>
            <w:tcBorders>
              <w:left w:val="single" w:sz="6" w:color="D8E3EE"/>
              <w:top w:val="single" w:sz="6" w:color="D8E3EE"/>
              <w:right w:val="single" w:sz="6" w:color="D8E3EE"/>
              <w:bottom w:val="single" w:sz="6" w:color="D8E3EE"/>
            </w:tcBorders>
            <w:tcMar>
              <w:top w:w="80" w:type="dxa"/>
              <w:start w:w="110" w:type="dxa"/>
              <w:bottom w:w="80" w:type="dxa"/>
              <w:end w:w="110" w:type="dxa"/>
            </w:tcMar>
            <w:vAlign w:val="center"/>
          </w:tcPr>
          <w:p>
            <w:pPr>
              <w:spacing w:before="0" w:after="0" w:line="257" w:lineRule="auto"/>
              <w:jc w:val="left"/>
            </w:pPr>
            <w:r>
              <w:rPr>
                <w:rFonts w:ascii="Calibri" w:hAnsi="Calibri" w:eastAsia="Calibri"/>
                <w:b/>
                <w:i w:val="0"/>
                <w:color w:val="333333"/>
                <w:sz w:val="19"/>
              </w:rPr>
              <w:t>Potek</w:t>
            </w:r>
          </w:p>
        </w:tc>
        <w:tc>
          <w:tcPr>
            <w:tcW w:type="dxa" w:w="3326"/>
            <w:shd w:fill="F9FBFD"/>
            <w:tcBorders>
              <w:left w:val="single" w:sz="6" w:color="D8E3EE"/>
              <w:top w:val="single" w:sz="6" w:color="D8E3EE"/>
              <w:right w:val="single" w:sz="6" w:color="D8E3EE"/>
              <w:bottom w:val="single" w:sz="6" w:color="D8E3EE"/>
            </w:tcBorders>
            <w:tcMar>
              <w:top w:w="80" w:type="dxa"/>
              <w:start w:w="110" w:type="dxa"/>
              <w:bottom w:w="80" w:type="dxa"/>
              <w:end w:w="110" w:type="dxa"/>
            </w:tcMar>
            <w:vAlign w:val="center"/>
          </w:tcPr>
          <w:p>
            <w:pPr>
              <w:spacing w:before="0" w:after="0" w:line="257" w:lineRule="auto"/>
              <w:jc w:val="center"/>
            </w:pPr>
            <w:r>
              <w:rPr>
                <w:rFonts w:ascii="Calibri" w:hAnsi="Calibri" w:eastAsia="Calibri"/>
                <w:b w:val="0"/>
                <w:i w:val="0"/>
                <w:color w:val="333333"/>
                <w:sz w:val="19"/>
              </w:rPr>
              <w:t>akuten</w:t>
            </w:r>
          </w:p>
        </w:tc>
        <w:tc>
          <w:tcPr>
            <w:tcW w:type="dxa" w:w="3326"/>
            <w:shd w:fill="F9FBFD"/>
            <w:tcBorders>
              <w:left w:val="single" w:sz="6" w:color="D8E3EE"/>
              <w:top w:val="single" w:sz="6" w:color="D8E3EE"/>
              <w:right w:val="single" w:sz="6" w:color="D8E3EE"/>
              <w:bottom w:val="single" w:sz="6" w:color="D8E3EE"/>
            </w:tcBorders>
            <w:tcMar>
              <w:top w:w="80" w:type="dxa"/>
              <w:start w:w="110" w:type="dxa"/>
              <w:bottom w:w="80" w:type="dxa"/>
              <w:end w:w="110" w:type="dxa"/>
            </w:tcMar>
            <w:vAlign w:val="center"/>
          </w:tcPr>
          <w:p>
            <w:pPr>
              <w:spacing w:before="0" w:after="0" w:line="257" w:lineRule="auto"/>
              <w:jc w:val="center"/>
            </w:pPr>
            <w:r>
              <w:rPr>
                <w:rFonts w:ascii="Calibri" w:hAnsi="Calibri" w:eastAsia="Calibri"/>
                <w:b w:val="0"/>
                <w:i w:val="0"/>
                <w:color w:val="333333"/>
                <w:sz w:val="19"/>
              </w:rPr>
              <w:t>kroničen ali relapsen</w:t>
            </w:r>
          </w:p>
        </w:tc>
      </w:tr>
      <w:tr>
        <w:tc>
          <w:tcPr>
            <w:tcW w:type="dxa" w:w="3326"/>
            <w:shd w:fill="F2F7FB"/>
            <w:tcBorders>
              <w:left w:val="single" w:sz="6" w:color="D8E3EE"/>
              <w:top w:val="single" w:sz="6" w:color="D8E3EE"/>
              <w:right w:val="single" w:sz="6" w:color="D8E3EE"/>
              <w:bottom w:val="single" w:sz="6" w:color="D8E3EE"/>
            </w:tcBorders>
            <w:tcMar>
              <w:top w:w="80" w:type="dxa"/>
              <w:start w:w="110" w:type="dxa"/>
              <w:bottom w:w="80" w:type="dxa"/>
              <w:end w:w="110" w:type="dxa"/>
            </w:tcMar>
            <w:vAlign w:val="center"/>
          </w:tcPr>
          <w:p>
            <w:pPr>
              <w:spacing w:before="0" w:after="0" w:line="257" w:lineRule="auto"/>
              <w:jc w:val="left"/>
            </w:pPr>
            <w:r>
              <w:rPr>
                <w:rFonts w:ascii="Calibri" w:hAnsi="Calibri" w:eastAsia="Calibri"/>
                <w:b/>
                <w:i w:val="0"/>
                <w:color w:val="333333"/>
                <w:sz w:val="19"/>
              </w:rPr>
              <w:t>Napredovanje</w:t>
            </w:r>
          </w:p>
        </w:tc>
        <w:tc>
          <w:tcPr>
            <w:tcW w:type="dxa" w:w="3326"/>
            <w:shd w:fill="F2F7FB"/>
            <w:tcBorders>
              <w:left w:val="single" w:sz="6" w:color="D8E3EE"/>
              <w:top w:val="single" w:sz="6" w:color="D8E3EE"/>
              <w:right w:val="single" w:sz="6" w:color="D8E3EE"/>
              <w:bottom w:val="single" w:sz="6" w:color="D8E3EE"/>
            </w:tcBorders>
            <w:tcMar>
              <w:top w:w="80" w:type="dxa"/>
              <w:start w:w="110" w:type="dxa"/>
              <w:bottom w:w="80" w:type="dxa"/>
              <w:end w:w="110" w:type="dxa"/>
            </w:tcMar>
            <w:vAlign w:val="center"/>
          </w:tcPr>
          <w:p>
            <w:pPr>
              <w:spacing w:before="0" w:after="0" w:line="257" w:lineRule="auto"/>
              <w:jc w:val="center"/>
            </w:pPr>
            <w:r>
              <w:rPr>
                <w:rFonts w:ascii="Calibri" w:hAnsi="Calibri" w:eastAsia="Calibri"/>
                <w:b w:val="0"/>
                <w:i w:val="0"/>
                <w:color w:val="333333"/>
                <w:sz w:val="19"/>
              </w:rPr>
              <w:t>dnevi do tedni</w:t>
            </w:r>
          </w:p>
        </w:tc>
        <w:tc>
          <w:tcPr>
            <w:tcW w:type="dxa" w:w="3326"/>
            <w:shd w:fill="F2F7FB"/>
            <w:tcBorders>
              <w:left w:val="single" w:sz="6" w:color="D8E3EE"/>
              <w:top w:val="single" w:sz="6" w:color="D8E3EE"/>
              <w:right w:val="single" w:sz="6" w:color="D8E3EE"/>
              <w:bottom w:val="single" w:sz="6" w:color="D8E3EE"/>
            </w:tcBorders>
            <w:tcMar>
              <w:top w:w="80" w:type="dxa"/>
              <w:start w:w="110" w:type="dxa"/>
              <w:bottom w:w="80" w:type="dxa"/>
              <w:end w:w="110" w:type="dxa"/>
            </w:tcMar>
            <w:vAlign w:val="center"/>
          </w:tcPr>
          <w:p>
            <w:pPr>
              <w:spacing w:before="0" w:after="0" w:line="257" w:lineRule="auto"/>
              <w:jc w:val="center"/>
            </w:pPr>
            <w:r>
              <w:rPr>
                <w:rFonts w:ascii="Calibri" w:hAnsi="Calibri" w:eastAsia="Calibri"/>
                <w:b w:val="0"/>
                <w:i w:val="0"/>
                <w:color w:val="333333"/>
                <w:sz w:val="19"/>
              </w:rPr>
              <w:t>več kot 8 tednov ali ponavljanja</w:t>
            </w:r>
          </w:p>
        </w:tc>
      </w:tr>
      <w:tr>
        <w:tc>
          <w:tcPr>
            <w:tcW w:type="dxa" w:w="3326"/>
            <w:shd w:fill="F9FBFD"/>
            <w:tcBorders>
              <w:left w:val="single" w:sz="6" w:color="D8E3EE"/>
              <w:top w:val="single" w:sz="6" w:color="D8E3EE"/>
              <w:right w:val="single" w:sz="6" w:color="D8E3EE"/>
              <w:bottom w:val="single" w:sz="6" w:color="D8E3EE"/>
            </w:tcBorders>
            <w:tcMar>
              <w:top w:w="80" w:type="dxa"/>
              <w:start w:w="110" w:type="dxa"/>
              <w:bottom w:w="80" w:type="dxa"/>
              <w:end w:w="110" w:type="dxa"/>
            </w:tcMar>
            <w:vAlign w:val="center"/>
          </w:tcPr>
          <w:p>
            <w:pPr>
              <w:spacing w:before="0" w:after="0" w:line="257" w:lineRule="auto"/>
              <w:jc w:val="left"/>
            </w:pPr>
            <w:r>
              <w:rPr>
                <w:rFonts w:ascii="Calibri" w:hAnsi="Calibri" w:eastAsia="Calibri"/>
                <w:b/>
                <w:i w:val="0"/>
                <w:color w:val="333333"/>
                <w:sz w:val="19"/>
              </w:rPr>
              <w:t>Začetna obravnava</w:t>
            </w:r>
          </w:p>
        </w:tc>
        <w:tc>
          <w:tcPr>
            <w:tcW w:type="dxa" w:w="3326"/>
            <w:shd w:fill="F9FBFD"/>
            <w:tcBorders>
              <w:left w:val="single" w:sz="6" w:color="D8E3EE"/>
              <w:top w:val="single" w:sz="6" w:color="D8E3EE"/>
              <w:right w:val="single" w:sz="6" w:color="D8E3EE"/>
              <w:bottom w:val="single" w:sz="6" w:color="D8E3EE"/>
            </w:tcBorders>
            <w:tcMar>
              <w:top w:w="80" w:type="dxa"/>
              <w:start w:w="110" w:type="dxa"/>
              <w:bottom w:w="80" w:type="dxa"/>
              <w:end w:w="110" w:type="dxa"/>
            </w:tcMar>
            <w:vAlign w:val="center"/>
          </w:tcPr>
          <w:p>
            <w:pPr>
              <w:spacing w:before="0" w:after="0" w:line="257" w:lineRule="auto"/>
              <w:jc w:val="center"/>
            </w:pPr>
            <w:r>
              <w:rPr>
                <w:rFonts w:ascii="Calibri" w:hAnsi="Calibri" w:eastAsia="Calibri"/>
                <w:b w:val="0"/>
                <w:i w:val="0"/>
                <w:color w:val="333333"/>
                <w:sz w:val="19"/>
              </w:rPr>
              <w:t>pogosto nujna hospitalizacija</w:t>
            </w:r>
          </w:p>
        </w:tc>
        <w:tc>
          <w:tcPr>
            <w:tcW w:type="dxa" w:w="3326"/>
            <w:shd w:fill="F9FBFD"/>
            <w:tcBorders>
              <w:left w:val="single" w:sz="6" w:color="D8E3EE"/>
              <w:top w:val="single" w:sz="6" w:color="D8E3EE"/>
              <w:right w:val="single" w:sz="6" w:color="D8E3EE"/>
              <w:bottom w:val="single" w:sz="6" w:color="D8E3EE"/>
            </w:tcBorders>
            <w:tcMar>
              <w:top w:w="80" w:type="dxa"/>
              <w:start w:w="110" w:type="dxa"/>
              <w:bottom w:w="80" w:type="dxa"/>
              <w:end w:w="110" w:type="dxa"/>
            </w:tcMar>
            <w:vAlign w:val="center"/>
          </w:tcPr>
          <w:p>
            <w:pPr>
              <w:spacing w:before="0" w:after="0" w:line="257" w:lineRule="auto"/>
              <w:jc w:val="center"/>
            </w:pPr>
            <w:r>
              <w:rPr>
                <w:rFonts w:ascii="Calibri" w:hAnsi="Calibri" w:eastAsia="Calibri"/>
                <w:b w:val="0"/>
                <w:i w:val="0"/>
                <w:color w:val="333333"/>
                <w:sz w:val="19"/>
              </w:rPr>
              <w:t>specialistična nevrološka obravnava in spremljanje</w:t>
            </w:r>
          </w:p>
        </w:tc>
      </w:tr>
      <w:tr>
        <w:tc>
          <w:tcPr>
            <w:tcW w:type="dxa" w:w="3326"/>
            <w:shd w:fill="F2F7FB"/>
            <w:tcBorders>
              <w:left w:val="single" w:sz="6" w:color="D8E3EE"/>
              <w:top w:val="single" w:sz="6" w:color="D8E3EE"/>
              <w:right w:val="single" w:sz="6" w:color="D8E3EE"/>
              <w:bottom w:val="single" w:sz="6" w:color="D8E3EE"/>
            </w:tcBorders>
            <w:tcMar>
              <w:top w:w="80" w:type="dxa"/>
              <w:start w:w="110" w:type="dxa"/>
              <w:bottom w:w="80" w:type="dxa"/>
              <w:end w:w="110" w:type="dxa"/>
            </w:tcMar>
            <w:vAlign w:val="center"/>
          </w:tcPr>
          <w:p>
            <w:pPr>
              <w:spacing w:before="0" w:after="0" w:line="257" w:lineRule="auto"/>
              <w:jc w:val="left"/>
            </w:pPr>
            <w:r>
              <w:rPr>
                <w:rFonts w:ascii="Calibri" w:hAnsi="Calibri" w:eastAsia="Calibri"/>
                <w:b/>
                <w:i w:val="0"/>
                <w:color w:val="333333"/>
                <w:sz w:val="19"/>
              </w:rPr>
              <w:t>Ključni simptomi</w:t>
            </w:r>
          </w:p>
        </w:tc>
        <w:tc>
          <w:tcPr>
            <w:tcW w:type="dxa" w:w="3326"/>
            <w:shd w:fill="F2F7FB"/>
            <w:tcBorders>
              <w:left w:val="single" w:sz="6" w:color="D8E3EE"/>
              <w:top w:val="single" w:sz="6" w:color="D8E3EE"/>
              <w:right w:val="single" w:sz="6" w:color="D8E3EE"/>
              <w:bottom w:val="single" w:sz="6" w:color="D8E3EE"/>
            </w:tcBorders>
            <w:tcMar>
              <w:top w:w="80" w:type="dxa"/>
              <w:start w:w="110" w:type="dxa"/>
              <w:bottom w:w="80" w:type="dxa"/>
              <w:end w:w="110" w:type="dxa"/>
            </w:tcMar>
            <w:vAlign w:val="center"/>
          </w:tcPr>
          <w:p>
            <w:pPr>
              <w:spacing w:before="0" w:after="0" w:line="257" w:lineRule="auto"/>
              <w:jc w:val="center"/>
            </w:pPr>
            <w:r>
              <w:rPr>
                <w:rFonts w:ascii="Calibri" w:hAnsi="Calibri" w:eastAsia="Calibri"/>
                <w:b w:val="0"/>
                <w:i w:val="0"/>
                <w:color w:val="333333"/>
                <w:sz w:val="19"/>
              </w:rPr>
              <w:t>hitro naraščajoča šibkost, senzorične motnje, lahko tudi dihanje/požiranje</w:t>
            </w:r>
          </w:p>
        </w:tc>
        <w:tc>
          <w:tcPr>
            <w:tcW w:type="dxa" w:w="3326"/>
            <w:shd w:fill="F2F7FB"/>
            <w:tcBorders>
              <w:left w:val="single" w:sz="6" w:color="D8E3EE"/>
              <w:top w:val="single" w:sz="6" w:color="D8E3EE"/>
              <w:right w:val="single" w:sz="6" w:color="D8E3EE"/>
              <w:bottom w:val="single" w:sz="6" w:color="D8E3EE"/>
            </w:tcBorders>
            <w:tcMar>
              <w:top w:w="80" w:type="dxa"/>
              <w:start w:w="110" w:type="dxa"/>
              <w:bottom w:w="80" w:type="dxa"/>
              <w:end w:w="110" w:type="dxa"/>
            </w:tcMar>
            <w:vAlign w:val="center"/>
          </w:tcPr>
          <w:p>
            <w:pPr>
              <w:spacing w:before="0" w:after="0" w:line="257" w:lineRule="auto"/>
              <w:jc w:val="center"/>
            </w:pPr>
            <w:r>
              <w:rPr>
                <w:rFonts w:ascii="Calibri" w:hAnsi="Calibri" w:eastAsia="Calibri"/>
                <w:b w:val="0"/>
                <w:i w:val="0"/>
                <w:color w:val="333333"/>
                <w:sz w:val="19"/>
              </w:rPr>
              <w:t>postopna ali nihajoča šibkost, senzorične motnje, zmanjšani refleksi</w:t>
            </w:r>
          </w:p>
        </w:tc>
      </w:tr>
      <w:tr>
        <w:tc>
          <w:tcPr>
            <w:tcW w:type="dxa" w:w="3326"/>
            <w:shd w:fill="F9FBFD"/>
            <w:tcBorders>
              <w:left w:val="single" w:sz="6" w:color="D8E3EE"/>
              <w:top w:val="single" w:sz="6" w:color="D8E3EE"/>
              <w:right w:val="single" w:sz="6" w:color="D8E3EE"/>
              <w:bottom w:val="single" w:sz="6" w:color="D8E3EE"/>
            </w:tcBorders>
            <w:tcMar>
              <w:top w:w="80" w:type="dxa"/>
              <w:start w:w="110" w:type="dxa"/>
              <w:bottom w:w="80" w:type="dxa"/>
              <w:end w:w="110" w:type="dxa"/>
            </w:tcMar>
            <w:vAlign w:val="center"/>
          </w:tcPr>
          <w:p>
            <w:pPr>
              <w:spacing w:before="0" w:after="0" w:line="257" w:lineRule="auto"/>
              <w:jc w:val="left"/>
            </w:pPr>
            <w:r>
              <w:rPr>
                <w:rFonts w:ascii="Calibri" w:hAnsi="Calibri" w:eastAsia="Calibri"/>
                <w:b/>
                <w:i w:val="0"/>
                <w:color w:val="333333"/>
                <w:sz w:val="19"/>
              </w:rPr>
              <w:t>Zdravljenje</w:t>
            </w:r>
          </w:p>
        </w:tc>
        <w:tc>
          <w:tcPr>
            <w:tcW w:type="dxa" w:w="3326"/>
            <w:shd w:fill="F9FBFD"/>
            <w:tcBorders>
              <w:left w:val="single" w:sz="6" w:color="D8E3EE"/>
              <w:top w:val="single" w:sz="6" w:color="D8E3EE"/>
              <w:right w:val="single" w:sz="6" w:color="D8E3EE"/>
              <w:bottom w:val="single" w:sz="6" w:color="D8E3EE"/>
            </w:tcBorders>
            <w:tcMar>
              <w:top w:w="80" w:type="dxa"/>
              <w:start w:w="110" w:type="dxa"/>
              <w:bottom w:w="80" w:type="dxa"/>
              <w:end w:w="110" w:type="dxa"/>
            </w:tcMar>
            <w:vAlign w:val="center"/>
          </w:tcPr>
          <w:p>
            <w:pPr>
              <w:spacing w:before="0" w:after="0" w:line="257" w:lineRule="auto"/>
              <w:jc w:val="center"/>
            </w:pPr>
            <w:r>
              <w:rPr>
                <w:rFonts w:ascii="Calibri" w:hAnsi="Calibri" w:eastAsia="Calibri"/>
                <w:b w:val="0"/>
                <w:i w:val="0"/>
                <w:color w:val="333333"/>
                <w:sz w:val="19"/>
              </w:rPr>
              <w:t>IVIg ali plazmafereza + podporna oskrba</w:t>
            </w:r>
          </w:p>
        </w:tc>
        <w:tc>
          <w:tcPr>
            <w:tcW w:type="dxa" w:w="3326"/>
            <w:shd w:fill="F9FBFD"/>
            <w:tcBorders>
              <w:left w:val="single" w:sz="6" w:color="D8E3EE"/>
              <w:top w:val="single" w:sz="6" w:color="D8E3EE"/>
              <w:right w:val="single" w:sz="6" w:color="D8E3EE"/>
              <w:bottom w:val="single" w:sz="6" w:color="D8E3EE"/>
            </w:tcBorders>
            <w:tcMar>
              <w:top w:w="80" w:type="dxa"/>
              <w:start w:w="110" w:type="dxa"/>
              <w:bottom w:w="80" w:type="dxa"/>
              <w:end w:w="110" w:type="dxa"/>
            </w:tcMar>
            <w:vAlign w:val="center"/>
          </w:tcPr>
          <w:p>
            <w:pPr>
              <w:spacing w:before="0" w:after="0" w:line="257" w:lineRule="auto"/>
              <w:jc w:val="center"/>
            </w:pPr>
            <w:r>
              <w:rPr>
                <w:rFonts w:ascii="Calibri" w:hAnsi="Calibri" w:eastAsia="Calibri"/>
                <w:b w:val="0"/>
                <w:i w:val="0"/>
                <w:color w:val="333333"/>
                <w:sz w:val="19"/>
              </w:rPr>
              <w:t>IVIg, kortikosteroidi, plazmafereza, po potrebi dodatna terapija</w:t>
            </w:r>
          </w:p>
        </w:tc>
      </w:tr>
    </w:tbl>
    <w:tbl>
      <w:tblPr>
        <w:tblW w:type="auto" w:w="0"/>
        <w:jc w:val="center"/>
        <w:tblLayout w:type="fixed"/>
        <w:tblLook w:firstColumn="1" w:firstRow="1" w:lastColumn="0" w:lastRow="0" w:noHBand="0" w:noVBand="1" w:val="04A0"/>
      </w:tblPr>
      <w:tblGrid>
        <w:gridCol w:w="9979"/>
      </w:tblGrid>
      <w:tr>
        <w:tc>
          <w:tcPr>
            <w:tcW w:type="dxa" w:w="9638"/>
            <w:shd w:fill="F3F8FD"/>
            <w:tcBorders>
              <w:left w:val="single" w:sz="10" w:color="B7D0EA"/>
              <w:top w:val="single" w:sz="10" w:color="B7D0EA"/>
              <w:right w:val="single" w:sz="10" w:color="B7D0EA"/>
              <w:bottom w:val="single" w:sz="10" w:color="B7D0EA"/>
            </w:tcBorders>
            <w:tcMar>
              <w:top w:w="140" w:type="dxa"/>
              <w:start w:w="180" w:type="dxa"/>
              <w:bottom w:w="140" w:type="dxa"/>
              <w:end w:w="180" w:type="dxa"/>
            </w:tcMar>
          </w:tcPr>
          <w:p>
            <w:pPr>
              <w:spacing w:before="0" w:after="40" w:line="276" w:lineRule="auto"/>
            </w:pPr>
            <w:r>
              <w:rPr>
                <w:rFonts w:ascii="Calibri" w:hAnsi="Calibri" w:eastAsia="Calibri"/>
                <w:b/>
                <w:i w:val="0"/>
                <w:color w:val="0B5DA8"/>
                <w:sz w:val="23"/>
              </w:rPr>
              <w:t>Opomba</w:t>
              <w:br/>
            </w:r>
            <w:r>
              <w:rPr>
                <w:rFonts w:ascii="Calibri" w:hAnsi="Calibri" w:eastAsia="Calibri"/>
                <w:b w:val="0"/>
                <w:i w:val="0"/>
                <w:color w:val="333333"/>
                <w:sz w:val="20"/>
              </w:rPr>
              <w:t>Potek bolezni je pri vsakem posamezniku drugačen. Informacije v tem dokumentu so splošne in ne morejo nadomestiti individualnega pregleda, diagnoze ali načrta zdravljenja.</w:t>
            </w:r>
          </w:p>
        </w:tc>
      </w:tr>
    </w:tbl>
    <w:p>
      <w:pPr>
        <w:spacing w:after="0"/>
      </w:pPr>
    </w:p>
    <w:p>
      <w:r>
        <w:br w:type="page"/>
      </w:r>
    </w:p>
    <w:p>
      <w:pPr>
        <w:spacing w:before="60" w:after="100" w:line="240" w:lineRule="auto"/>
        <w:pBdr>
          <w:bottom w:val="single" w:sz="10" w:space="2" w:color="D7E6F5"/>
        </w:pBdr>
      </w:pPr>
      <w:r>
        <w:rPr>
          <w:rFonts w:ascii="Calibri" w:hAnsi="Calibri" w:eastAsia="Calibri"/>
          <w:b/>
          <w:i w:val="0"/>
          <w:color w:val="0B5DA8"/>
          <w:sz w:val="38"/>
        </w:rPr>
        <w:t>Rehabilitacija in življenje po diagnozi</w:t>
      </w:r>
    </w:p>
    <w:p>
      <w:pPr>
        <w:spacing w:before="0" w:after="70" w:line="283" w:lineRule="auto"/>
      </w:pPr>
      <w:r>
        <w:rPr>
          <w:rFonts w:ascii="Calibri" w:hAnsi="Calibri" w:eastAsia="Calibri"/>
          <w:b w:val="0"/>
          <w:i w:val="0"/>
          <w:color w:val="222222"/>
          <w:sz w:val="21"/>
        </w:rPr>
        <w:t>Rehabilitacija je pomemben del okrevanja po GBS in obvladovanja CIDP. Njeni cilji so izboljšanje gibanja, moči, ravnotežja, samostojnosti ter varnejše vračanje v vsakdanje življenje.</w:t>
      </w:r>
    </w:p>
    <w:tbl>
      <w:tblPr>
        <w:tblW w:type="auto" w:w="0"/>
        <w:jc w:val="center"/>
        <w:tblLayout w:type="fixed"/>
        <w:tblLook w:firstColumn="1" w:firstRow="1" w:lastColumn="0" w:lastRow="0" w:noHBand="0" w:noVBand="1" w:val="04A0"/>
      </w:tblPr>
      <w:tblGrid>
        <w:gridCol w:w="4989"/>
        <w:gridCol w:w="4989"/>
      </w:tblGrid>
      <w:tr>
        <w:tc>
          <w:tcPr>
            <w:tcW w:type="dxa" w:w="4791"/>
            <w:tcMar>
              <w:top w:w="110" w:type="dxa"/>
              <w:start w:w="150" w:type="dxa"/>
              <w:bottom w:w="120" w:type="dxa"/>
              <w:end w:w="150" w:type="dxa"/>
            </w:tcMar>
            <w:tcBorders>
              <w:left w:val="single" w:sz="10" w:color="D7E6F5"/>
              <w:top w:val="single" w:sz="10" w:color="D7E6F5"/>
              <w:right w:val="single" w:sz="10" w:color="D7E6F5"/>
              <w:bottom w:val="single" w:sz="10" w:color="D7E6F5"/>
            </w:tcBorders>
            <w:vAlign w:val="center"/>
            <w:shd w:fill="EEF6FD"/>
          </w:tcPr>
          <w:p>
            <w:pPr>
              <w:spacing w:before="0" w:after="40" w:line="276" w:lineRule="auto"/>
            </w:pPr>
            <w:r>
              <w:rPr>
                <w:rFonts w:ascii="Calibri" w:hAnsi="Calibri" w:eastAsia="Calibri"/>
                <w:b/>
                <w:i w:val="0"/>
                <w:color w:val="0B5DA8"/>
                <w:sz w:val="22"/>
              </w:rPr>
              <w:t>Fizioterapija</w:t>
              <w:br/>
            </w:r>
            <w:r>
              <w:rPr>
                <w:rFonts w:ascii="Calibri" w:hAnsi="Calibri" w:eastAsia="Calibri"/>
                <w:b w:val="0"/>
                <w:i w:val="0"/>
                <w:color w:val="333333"/>
                <w:sz w:val="20"/>
              </w:rPr>
              <w:t>vadba za moč, gibljivost, ravnotežje, hojo, vzdržljivost in postopno povečanje funkcionalne zmogljivosti.</w:t>
            </w:r>
          </w:p>
        </w:tc>
        <w:tc>
          <w:tcPr>
            <w:tcW w:type="dxa" w:w="4791"/>
            <w:tcMar>
              <w:top w:w="110" w:type="dxa"/>
              <w:start w:w="150" w:type="dxa"/>
              <w:bottom w:w="120" w:type="dxa"/>
              <w:end w:w="150" w:type="dxa"/>
            </w:tcMar>
            <w:tcBorders>
              <w:left w:val="single" w:sz="10" w:color="D7E6F5"/>
              <w:top w:val="single" w:sz="10" w:color="D7E6F5"/>
              <w:right w:val="single" w:sz="10" w:color="D7E6F5"/>
              <w:bottom w:val="single" w:sz="10" w:color="D7E6F5"/>
            </w:tcBorders>
            <w:vAlign w:val="center"/>
            <w:shd w:fill="F0FAF5"/>
          </w:tcPr>
          <w:p>
            <w:pPr>
              <w:spacing w:before="0" w:after="40" w:line="276" w:lineRule="auto"/>
            </w:pPr>
            <w:r>
              <w:rPr>
                <w:rFonts w:ascii="Calibri" w:hAnsi="Calibri" w:eastAsia="Calibri"/>
                <w:b/>
                <w:i w:val="0"/>
                <w:color w:val="0B5DA8"/>
                <w:sz w:val="22"/>
              </w:rPr>
              <w:t>Delovna terapija</w:t>
              <w:br/>
            </w:r>
            <w:r>
              <w:rPr>
                <w:rFonts w:ascii="Calibri" w:hAnsi="Calibri" w:eastAsia="Calibri"/>
                <w:b w:val="0"/>
                <w:i w:val="0"/>
                <w:color w:val="333333"/>
                <w:sz w:val="20"/>
              </w:rPr>
              <w:t>podpora pri dnevnih opravilih, prilagoditvah doma ali delovnega okolja ter učenju varčnejšega razporejanja energije.</w:t>
            </w:r>
          </w:p>
        </w:tc>
      </w:tr>
      <w:tr>
        <w:tc>
          <w:tcPr>
            <w:tcW w:type="dxa" w:w="4791"/>
            <w:tcMar>
              <w:top w:w="110" w:type="dxa"/>
              <w:start w:w="150" w:type="dxa"/>
              <w:bottom w:w="120" w:type="dxa"/>
              <w:end w:w="150" w:type="dxa"/>
            </w:tcMar>
            <w:tcBorders>
              <w:left w:val="single" w:sz="10" w:color="D7E6F5"/>
              <w:top w:val="single" w:sz="10" w:color="D7E6F5"/>
              <w:right w:val="single" w:sz="10" w:color="D7E6F5"/>
              <w:bottom w:val="single" w:sz="10" w:color="D7E6F5"/>
            </w:tcBorders>
            <w:vAlign w:val="center"/>
            <w:shd w:fill="FFF8EA"/>
          </w:tcPr>
          <w:p>
            <w:pPr>
              <w:spacing w:before="0" w:after="40" w:line="276" w:lineRule="auto"/>
            </w:pPr>
            <w:r>
              <w:rPr>
                <w:rFonts w:ascii="Calibri" w:hAnsi="Calibri" w:eastAsia="Calibri"/>
                <w:b/>
                <w:i w:val="0"/>
                <w:color w:val="0B5DA8"/>
                <w:sz w:val="22"/>
              </w:rPr>
              <w:t>Redno spremljanje</w:t>
              <w:br/>
            </w:r>
            <w:r>
              <w:rPr>
                <w:rFonts w:ascii="Calibri" w:hAnsi="Calibri" w:eastAsia="Calibri"/>
                <w:b w:val="0"/>
                <w:i w:val="0"/>
                <w:color w:val="333333"/>
                <w:sz w:val="20"/>
              </w:rPr>
              <w:t>kontrolni pregledi pri nevrologu in drugih strokovnjakih pomagajo prilagajati zdravljenje ter spremljati napredek.</w:t>
            </w:r>
          </w:p>
        </w:tc>
        <w:tc>
          <w:tcPr>
            <w:tcW w:type="dxa" w:w="4791"/>
            <w:tcMar>
              <w:top w:w="110" w:type="dxa"/>
              <w:start w:w="150" w:type="dxa"/>
              <w:bottom w:w="120" w:type="dxa"/>
              <w:end w:w="150" w:type="dxa"/>
            </w:tcMar>
            <w:tcBorders>
              <w:left w:val="single" w:sz="10" w:color="D7E6F5"/>
              <w:top w:val="single" w:sz="10" w:color="D7E6F5"/>
              <w:right w:val="single" w:sz="10" w:color="D7E6F5"/>
              <w:bottom w:val="single" w:sz="10" w:color="D7E6F5"/>
            </w:tcBorders>
            <w:vAlign w:val="center"/>
            <w:shd w:fill="F9F5FF"/>
          </w:tcPr>
          <w:p>
            <w:pPr>
              <w:spacing w:before="0" w:after="40" w:line="276" w:lineRule="auto"/>
            </w:pPr>
            <w:r>
              <w:rPr>
                <w:rFonts w:ascii="Calibri" w:hAnsi="Calibri" w:eastAsia="Calibri"/>
                <w:b/>
                <w:i w:val="0"/>
                <w:color w:val="0B5DA8"/>
                <w:sz w:val="22"/>
              </w:rPr>
              <w:t>Psihološka in socialna podpora</w:t>
              <w:br/>
            </w:r>
            <w:r>
              <w:rPr>
                <w:rFonts w:ascii="Calibri" w:hAnsi="Calibri" w:eastAsia="Calibri"/>
                <w:b w:val="0"/>
                <w:i w:val="0"/>
                <w:color w:val="333333"/>
                <w:sz w:val="20"/>
              </w:rPr>
              <w:t>dolgotrajna bolezen vpliva tudi na čustveno počutje, odnose, delo in socialno varnost; podpora je zato pomemben del obravnave.</w:t>
            </w:r>
          </w:p>
        </w:tc>
      </w:tr>
    </w:tbl>
    <w:p>
      <w:pPr>
        <w:spacing w:after="40"/>
      </w:pPr>
    </w:p>
    <w:p>
      <w:pPr>
        <w:spacing w:before="80" w:after="40" w:line="240" w:lineRule="auto"/>
      </w:pPr>
      <w:r>
        <w:rPr>
          <w:rFonts w:ascii="Calibri" w:hAnsi="Calibri" w:eastAsia="Calibri"/>
          <w:b/>
          <w:i w:val="0"/>
          <w:color w:val="0B5DA8"/>
          <w:sz w:val="27"/>
        </w:rPr>
        <w:t>Kaj pomaga v vsakdanjem življenju</w:t>
      </w:r>
    </w:p>
    <w:p>
      <w:pPr>
        <w:pStyle w:val="ListBullet"/>
        <w:spacing w:before="0" w:after="20" w:line="264" w:lineRule="auto"/>
      </w:pPr>
      <w:r>
        <w:rPr>
          <w:rFonts w:ascii="Calibri" w:hAnsi="Calibri" w:eastAsia="Calibri"/>
          <w:b w:val="0"/>
          <w:i w:val="0"/>
          <w:color w:val="222222"/>
          <w:sz w:val="21"/>
        </w:rPr>
        <w:t>dovolj počitka in postopno stopnjevanje aktivnosti,</w:t>
      </w:r>
    </w:p>
    <w:p>
      <w:pPr>
        <w:pStyle w:val="ListBullet"/>
        <w:spacing w:before="0" w:after="20" w:line="264" w:lineRule="auto"/>
      </w:pPr>
      <w:r>
        <w:rPr>
          <w:rFonts w:ascii="Calibri" w:hAnsi="Calibri" w:eastAsia="Calibri"/>
          <w:b w:val="0"/>
          <w:i w:val="0"/>
          <w:color w:val="222222"/>
          <w:sz w:val="21"/>
        </w:rPr>
        <w:t>varno gibanje ter preprečevanje padcev,</w:t>
      </w:r>
    </w:p>
    <w:p>
      <w:pPr>
        <w:pStyle w:val="ListBullet"/>
        <w:spacing w:before="0" w:after="20" w:line="264" w:lineRule="auto"/>
      </w:pPr>
      <w:r>
        <w:rPr>
          <w:rFonts w:ascii="Calibri" w:hAnsi="Calibri" w:eastAsia="Calibri"/>
          <w:b w:val="0"/>
          <w:i w:val="0"/>
          <w:color w:val="222222"/>
          <w:sz w:val="21"/>
        </w:rPr>
        <w:t>uravnotežena prehrana in skrb za splošno kondicijo,</w:t>
      </w:r>
    </w:p>
    <w:p>
      <w:pPr>
        <w:pStyle w:val="ListBullet"/>
        <w:spacing w:before="0" w:after="20" w:line="264" w:lineRule="auto"/>
      </w:pPr>
      <w:r>
        <w:rPr>
          <w:rFonts w:ascii="Calibri" w:hAnsi="Calibri" w:eastAsia="Calibri"/>
          <w:b w:val="0"/>
          <w:i w:val="0"/>
          <w:color w:val="222222"/>
          <w:sz w:val="21"/>
        </w:rPr>
        <w:t>spremljanje utrudljivosti, bolečine in sprememb občutkov,</w:t>
      </w:r>
    </w:p>
    <w:p>
      <w:pPr>
        <w:pStyle w:val="ListBullet"/>
        <w:spacing w:before="0" w:after="20" w:line="264" w:lineRule="auto"/>
      </w:pPr>
      <w:r>
        <w:rPr>
          <w:rFonts w:ascii="Calibri" w:hAnsi="Calibri" w:eastAsia="Calibri"/>
          <w:b w:val="0"/>
          <w:i w:val="0"/>
          <w:color w:val="222222"/>
          <w:sz w:val="21"/>
        </w:rPr>
        <w:t>odprta komunikacija s svojci, delodajalcem, šolo ali drugimi ustanovami glede potrebnih prilagoditev.</w:t>
      </w:r>
    </w:p>
    <w:tbl>
      <w:tblPr>
        <w:tblW w:type="auto" w:w="0"/>
        <w:jc w:val="center"/>
        <w:tblLayout w:type="fixed"/>
        <w:tblLook w:firstColumn="1" w:firstRow="1" w:lastColumn="0" w:lastRow="0" w:noHBand="0" w:noVBand="1" w:val="04A0"/>
      </w:tblPr>
      <w:tblGrid>
        <w:gridCol w:w="9979"/>
      </w:tblGrid>
      <w:tr>
        <w:tc>
          <w:tcPr>
            <w:tcW w:type="dxa" w:w="9638"/>
            <w:shd w:fill="F3F8FD"/>
            <w:tcBorders>
              <w:left w:val="single" w:sz="10" w:color="B7D0EA"/>
              <w:top w:val="single" w:sz="10" w:color="B7D0EA"/>
              <w:right w:val="single" w:sz="10" w:color="B7D0EA"/>
              <w:bottom w:val="single" w:sz="10" w:color="B7D0EA"/>
            </w:tcBorders>
            <w:tcMar>
              <w:top w:w="140" w:type="dxa"/>
              <w:start w:w="180" w:type="dxa"/>
              <w:bottom w:w="140" w:type="dxa"/>
              <w:end w:w="180" w:type="dxa"/>
            </w:tcMar>
          </w:tcPr>
          <w:p>
            <w:pPr>
              <w:spacing w:before="0" w:after="40" w:line="276" w:lineRule="auto"/>
            </w:pPr>
            <w:r>
              <w:rPr>
                <w:rFonts w:ascii="Calibri" w:hAnsi="Calibri" w:eastAsia="Calibri"/>
                <w:b/>
                <w:i w:val="0"/>
                <w:color w:val="0B5DA8"/>
                <w:sz w:val="23"/>
              </w:rPr>
              <w:t>Za svojce in bližnje</w:t>
              <w:br/>
            </w:r>
            <w:r>
              <w:rPr>
                <w:rFonts w:ascii="Calibri" w:hAnsi="Calibri" w:eastAsia="Calibri"/>
                <w:b w:val="0"/>
                <w:i w:val="0"/>
                <w:color w:val="333333"/>
                <w:sz w:val="20"/>
              </w:rPr>
              <w:t>Okrevanje je lahko počasno in neenakomerno. Podpora doma pogosto pomeni pomoč pri razumevanju bolezni, spremljanju utrujenosti, spodbujanju rehabilitacije in prilagajanju vsakodnevnih obremenitev brez pretiranega pritiska na bolnika.</w:t>
            </w:r>
          </w:p>
        </w:tc>
      </w:tr>
    </w:tbl>
    <w:p>
      <w:pPr>
        <w:spacing w:after="0"/>
      </w:pPr>
    </w:p>
    <w:p>
      <w:r>
        <w:br w:type="page"/>
      </w:r>
    </w:p>
    <w:p>
      <w:pPr>
        <w:spacing w:before="60" w:after="100" w:line="240" w:lineRule="auto"/>
        <w:pBdr>
          <w:bottom w:val="single" w:sz="10" w:space="2" w:color="D7E6F5"/>
        </w:pBdr>
      </w:pPr>
      <w:r>
        <w:rPr>
          <w:rFonts w:ascii="Calibri" w:hAnsi="Calibri" w:eastAsia="Calibri"/>
          <w:b/>
          <w:i w:val="0"/>
          <w:color w:val="0B5DA8"/>
          <w:sz w:val="38"/>
        </w:rPr>
        <w:t>Sodelovanje z ustanovami in kontakti</w:t>
      </w:r>
    </w:p>
    <w:p>
      <w:pPr>
        <w:spacing w:before="0" w:after="70" w:line="283" w:lineRule="auto"/>
      </w:pPr>
      <w:r>
        <w:rPr>
          <w:rFonts w:ascii="Calibri" w:hAnsi="Calibri" w:eastAsia="Calibri"/>
          <w:b w:val="0"/>
          <w:i w:val="0"/>
          <w:color w:val="222222"/>
          <w:sz w:val="21"/>
        </w:rPr>
        <w:t>Društvo želi biti povezovalna točka med bolniki, svojci, zdravstvenimi ustanovami, rehabilitacijskimi centri, socialnimi službami, šolami, delodajalci in drugimi organizacijami.</w:t>
      </w:r>
    </w:p>
    <w:tbl>
      <w:tblPr>
        <w:tblW w:type="auto" w:w="0"/>
        <w:jc w:val="center"/>
        <w:tblLayout w:type="fixed"/>
        <w:tblLook w:firstColumn="1" w:firstRow="1" w:lastColumn="0" w:lastRow="0" w:noHBand="0" w:noVBand="1" w:val="04A0"/>
      </w:tblPr>
      <w:tblGrid>
        <w:gridCol w:w="4989"/>
        <w:gridCol w:w="4989"/>
      </w:tblGrid>
      <w:tr>
        <w:tc>
          <w:tcPr>
            <w:tcW w:type="dxa" w:w="4791"/>
            <w:tcMar>
              <w:top w:w="110" w:type="dxa"/>
              <w:start w:w="150" w:type="dxa"/>
              <w:bottom w:w="120" w:type="dxa"/>
              <w:end w:w="150" w:type="dxa"/>
            </w:tcMar>
            <w:tcBorders>
              <w:left w:val="single" w:sz="10" w:color="D7E6F5"/>
              <w:top w:val="single" w:sz="10" w:color="D7E6F5"/>
              <w:right w:val="single" w:sz="10" w:color="D7E6F5"/>
              <w:bottom w:val="single" w:sz="10" w:color="D7E6F5"/>
            </w:tcBorders>
            <w:vAlign w:val="center"/>
            <w:shd w:fill="F7FBFE"/>
          </w:tcPr>
          <w:p>
            <w:pPr>
              <w:spacing w:before="0" w:after="40" w:line="276" w:lineRule="auto"/>
            </w:pPr>
            <w:r>
              <w:rPr>
                <w:rFonts w:ascii="Calibri" w:hAnsi="Calibri" w:eastAsia="Calibri"/>
                <w:b/>
                <w:i w:val="0"/>
                <w:color w:val="0B5DA8"/>
                <w:sz w:val="22"/>
              </w:rPr>
              <w:t>Zdravstvene ustanove</w:t>
              <w:br/>
            </w:r>
            <w:r>
              <w:rPr>
                <w:rFonts w:ascii="Calibri" w:hAnsi="Calibri" w:eastAsia="Calibri"/>
                <w:b w:val="0"/>
                <w:i w:val="0"/>
                <w:color w:val="333333"/>
                <w:sz w:val="20"/>
              </w:rPr>
              <w:t>lahko dokument uporabljajo pri osnovnem informiranju bolnikov in jih usmerijo k nadaljnji strokovni obravnavi ter rehabilitaciji.</w:t>
            </w:r>
          </w:p>
        </w:tc>
        <w:tc>
          <w:tcPr>
            <w:tcW w:type="dxa" w:w="4791"/>
            <w:tcMar>
              <w:top w:w="110" w:type="dxa"/>
              <w:start w:w="150" w:type="dxa"/>
              <w:bottom w:w="120" w:type="dxa"/>
              <w:end w:w="150" w:type="dxa"/>
            </w:tcMar>
            <w:tcBorders>
              <w:left w:val="single" w:sz="10" w:color="D7E6F5"/>
              <w:top w:val="single" w:sz="10" w:color="D7E6F5"/>
              <w:right w:val="single" w:sz="10" w:color="D7E6F5"/>
              <w:bottom w:val="single" w:sz="10" w:color="D7E6F5"/>
            </w:tcBorders>
            <w:vAlign w:val="center"/>
            <w:shd w:fill="F3FAF6"/>
          </w:tcPr>
          <w:p>
            <w:pPr>
              <w:spacing w:before="0" w:after="40" w:line="276" w:lineRule="auto"/>
            </w:pPr>
            <w:r>
              <w:rPr>
                <w:rFonts w:ascii="Calibri" w:hAnsi="Calibri" w:eastAsia="Calibri"/>
                <w:b/>
                <w:i w:val="0"/>
                <w:color w:val="0B5DA8"/>
                <w:sz w:val="22"/>
              </w:rPr>
              <w:t>Rehabilitacijske in socialne ustanove</w:t>
              <w:br/>
            </w:r>
            <w:r>
              <w:rPr>
                <w:rFonts w:ascii="Calibri" w:hAnsi="Calibri" w:eastAsia="Calibri"/>
                <w:b w:val="0"/>
                <w:i w:val="0"/>
                <w:color w:val="333333"/>
                <w:sz w:val="20"/>
              </w:rPr>
              <w:t>lahko s sodelovanjem prispevajo k boljši podpori pri okrevanju, samostojnosti in socialnem vključevanju.</w:t>
            </w:r>
          </w:p>
        </w:tc>
      </w:tr>
      <w:tr>
        <w:tc>
          <w:tcPr>
            <w:tcW w:type="dxa" w:w="4791"/>
            <w:tcMar>
              <w:top w:w="110" w:type="dxa"/>
              <w:start w:w="150" w:type="dxa"/>
              <w:bottom w:w="120" w:type="dxa"/>
              <w:end w:w="150" w:type="dxa"/>
            </w:tcMar>
            <w:tcBorders>
              <w:left w:val="single" w:sz="10" w:color="D7E6F5"/>
              <w:top w:val="single" w:sz="10" w:color="D7E6F5"/>
              <w:right w:val="single" w:sz="10" w:color="D7E6F5"/>
              <w:bottom w:val="single" w:sz="10" w:color="D7E6F5"/>
            </w:tcBorders>
            <w:vAlign w:val="center"/>
            <w:shd w:fill="FEF8ED"/>
          </w:tcPr>
          <w:p>
            <w:pPr>
              <w:spacing w:before="0" w:after="40" w:line="276" w:lineRule="auto"/>
            </w:pPr>
            <w:r>
              <w:rPr>
                <w:rFonts w:ascii="Calibri" w:hAnsi="Calibri" w:eastAsia="Calibri"/>
                <w:b/>
                <w:i w:val="0"/>
                <w:color w:val="0B5DA8"/>
                <w:sz w:val="22"/>
              </w:rPr>
              <w:t>Delodajalci in šole</w:t>
              <w:br/>
            </w:r>
            <w:r>
              <w:rPr>
                <w:rFonts w:ascii="Calibri" w:hAnsi="Calibri" w:eastAsia="Calibri"/>
                <w:b w:val="0"/>
                <w:i w:val="0"/>
                <w:color w:val="333333"/>
                <w:sz w:val="20"/>
              </w:rPr>
              <w:t>lahko z razumevanjem bolezni in ustreznimi prilagoditvami olajšajo postopno vračanje v delo ali izobraževanje.</w:t>
            </w:r>
          </w:p>
        </w:tc>
        <w:tc>
          <w:tcPr>
            <w:tcW w:type="dxa" w:w="4791"/>
            <w:tcMar>
              <w:top w:w="110" w:type="dxa"/>
              <w:start w:w="150" w:type="dxa"/>
              <w:bottom w:w="120" w:type="dxa"/>
              <w:end w:w="150" w:type="dxa"/>
            </w:tcMar>
            <w:tcBorders>
              <w:left w:val="single" w:sz="10" w:color="D7E6F5"/>
              <w:top w:val="single" w:sz="10" w:color="D7E6F5"/>
              <w:right w:val="single" w:sz="10" w:color="D7E6F5"/>
              <w:bottom w:val="single" w:sz="10" w:color="D7E6F5"/>
            </w:tcBorders>
            <w:vAlign w:val="center"/>
            <w:shd w:fill="F9F5FF"/>
          </w:tcPr>
          <w:p>
            <w:pPr>
              <w:spacing w:before="0" w:after="40" w:line="276" w:lineRule="auto"/>
            </w:pPr>
            <w:r>
              <w:rPr>
                <w:rFonts w:ascii="Calibri" w:hAnsi="Calibri" w:eastAsia="Calibri"/>
                <w:b/>
                <w:i w:val="0"/>
                <w:color w:val="0B5DA8"/>
                <w:sz w:val="22"/>
              </w:rPr>
              <w:t>Lokalne skupnosti in druge organizacije</w:t>
              <w:br/>
            </w:r>
            <w:r>
              <w:rPr>
                <w:rFonts w:ascii="Calibri" w:hAnsi="Calibri" w:eastAsia="Calibri"/>
                <w:b w:val="0"/>
                <w:i w:val="0"/>
                <w:color w:val="333333"/>
                <w:sz w:val="20"/>
              </w:rPr>
              <w:t>lahko pomagajo pri ozaveščanju, dostopnosti informacij in podpornih dejavnostih za bolnike ter družine.</w:t>
            </w:r>
          </w:p>
        </w:tc>
      </w:tr>
    </w:tbl>
    <w:p>
      <w:pPr>
        <w:spacing w:after="40"/>
      </w:pPr>
    </w:p>
    <w:p>
      <w:pPr>
        <w:spacing w:before="80" w:after="40" w:line="240" w:lineRule="auto"/>
      </w:pPr>
      <w:r>
        <w:rPr>
          <w:rFonts w:ascii="Calibri" w:hAnsi="Calibri" w:eastAsia="Calibri"/>
          <w:b/>
          <w:i w:val="0"/>
          <w:color w:val="0B5DA8"/>
          <w:sz w:val="27"/>
        </w:rPr>
        <w:t>Kontakt društva</w:t>
      </w:r>
    </w:p>
    <w:tbl>
      <w:tblPr>
        <w:tblW w:type="auto" w:w="0"/>
        <w:jc w:val="center"/>
        <w:tblLayout w:type="fixed"/>
        <w:tblLook w:firstColumn="1" w:firstRow="1" w:lastColumn="0" w:lastRow="0" w:noHBand="0" w:noVBand="1" w:val="04A0"/>
      </w:tblPr>
      <w:tblGrid>
        <w:gridCol w:w="9979"/>
      </w:tblGrid>
      <w:tr>
        <w:tc>
          <w:tcPr>
            <w:tcW w:type="dxa" w:w="9979"/>
            <w:shd w:fill="0B2F4A"/>
            <w:tcBorders>
              <w:left w:val="single" w:sz="12" w:color="0B2F4A"/>
              <w:top w:val="single" w:sz="12" w:color="0B2F4A"/>
              <w:right w:val="single" w:sz="12" w:color="0B2F4A"/>
              <w:bottom w:val="single" w:sz="12" w:color="0B2F4A"/>
            </w:tcBorders>
            <w:tcMar>
              <w:top w:w="120" w:type="dxa"/>
              <w:start w:w="180" w:type="dxa"/>
              <w:bottom w:w="120" w:type="dxa"/>
              <w:end w:w="180" w:type="dxa"/>
            </w:tcMar>
          </w:tcPr>
          <w:p>
            <w:pPr>
              <w:spacing w:before="0" w:after="20" w:line="264" w:lineRule="auto"/>
              <w:jc w:val="center"/>
            </w:pPr>
            <w:r>
              <w:rPr>
                <w:rFonts w:ascii="Calibri" w:hAnsi="Calibri" w:eastAsia="Calibri"/>
                <w:b/>
                <w:i w:val="0"/>
                <w:color w:val="FFFFFF"/>
                <w:sz w:val="25"/>
              </w:rPr>
              <w:t>Društvo GBS in CIDP Slovenije</w:t>
              <w:br/>
            </w:r>
            <w:r>
              <w:rPr>
                <w:rFonts w:ascii="Calibri" w:hAnsi="Calibri" w:eastAsia="Calibri"/>
                <w:b w:val="0"/>
                <w:i w:val="0"/>
                <w:color w:val="E9F4FF"/>
                <w:sz w:val="21"/>
              </w:rPr>
              <w:t>E-pošta: gbs.cidp.skupnost@gmail.com</w:t>
            </w:r>
          </w:p>
        </w:tc>
      </w:tr>
    </w:tbl>
    <w:p>
      <w:pPr>
        <w:spacing w:after="60"/>
      </w:pPr>
    </w:p>
    <w:p>
      <w:pPr>
        <w:spacing w:before="80" w:after="40" w:line="240" w:lineRule="auto"/>
      </w:pPr>
      <w:r>
        <w:rPr>
          <w:rFonts w:ascii="Calibri" w:hAnsi="Calibri" w:eastAsia="Calibri"/>
          <w:b/>
          <w:i w:val="0"/>
          <w:color w:val="0B5DA8"/>
          <w:sz w:val="27"/>
        </w:rPr>
        <w:t>Koristni strokovni kontakti</w:t>
      </w:r>
    </w:p>
    <w:p>
      <w:pPr>
        <w:pStyle w:val="ListBullet"/>
        <w:spacing w:before="0" w:after="20" w:line="264" w:lineRule="auto"/>
      </w:pPr>
      <w:r>
        <w:rPr>
          <w:rFonts w:ascii="Calibri" w:hAnsi="Calibri" w:eastAsia="Calibri"/>
          <w:b w:val="0"/>
          <w:i w:val="0"/>
          <w:color w:val="222222"/>
          <w:sz w:val="21"/>
        </w:rPr>
        <w:t>UKC Ljubljana - Nevrološka klinika, Klinični inštitut za klinično nevrofiziologijo, Zaloška cesta 7, 1000 Ljubljana, tel. 01 522 15 17</w:t>
      </w:r>
    </w:p>
    <w:p>
      <w:pPr>
        <w:pStyle w:val="ListBullet"/>
        <w:spacing w:before="0" w:after="20" w:line="264" w:lineRule="auto"/>
      </w:pPr>
      <w:r>
        <w:rPr>
          <w:rFonts w:ascii="Calibri" w:hAnsi="Calibri" w:eastAsia="Calibri"/>
          <w:b w:val="0"/>
          <w:i w:val="0"/>
          <w:color w:val="222222"/>
          <w:sz w:val="21"/>
        </w:rPr>
        <w:t>Nevrološka klinika, Zaloška cesta 2a, 1000 Ljubljana, tel. 01 522 30 71</w:t>
      </w:r>
    </w:p>
    <w:p>
      <w:pPr>
        <w:pStyle w:val="ListBullet"/>
        <w:spacing w:before="0" w:after="20" w:line="264" w:lineRule="auto"/>
      </w:pPr>
      <w:r>
        <w:rPr>
          <w:rFonts w:ascii="Calibri" w:hAnsi="Calibri" w:eastAsia="Calibri"/>
          <w:b w:val="0"/>
          <w:i w:val="0"/>
          <w:color w:val="222222"/>
          <w:sz w:val="21"/>
        </w:rPr>
        <w:t>URI Soča, Linhartova 51, 1000 Ljubljana, tel. 01 475 81 00</w:t>
      </w:r>
    </w:p>
    <w:tbl>
      <w:tblPr>
        <w:tblW w:type="auto" w:w="0"/>
        <w:jc w:val="center"/>
        <w:tblLayout w:type="fixed"/>
        <w:tblLook w:firstColumn="1" w:firstRow="1" w:lastColumn="0" w:lastRow="0" w:noHBand="0" w:noVBand="1" w:val="04A0"/>
      </w:tblPr>
      <w:tblGrid>
        <w:gridCol w:w="9979"/>
      </w:tblGrid>
      <w:tr>
        <w:tc>
          <w:tcPr>
            <w:tcW w:type="dxa" w:w="9638"/>
            <w:shd w:fill="F3F8FD"/>
            <w:tcBorders>
              <w:left w:val="single" w:sz="10" w:color="B7D0EA"/>
              <w:top w:val="single" w:sz="10" w:color="B7D0EA"/>
              <w:right w:val="single" w:sz="10" w:color="B7D0EA"/>
              <w:bottom w:val="single" w:sz="10" w:color="B7D0EA"/>
            </w:tcBorders>
            <w:tcMar>
              <w:top w:w="140" w:type="dxa"/>
              <w:start w:w="180" w:type="dxa"/>
              <w:bottom w:w="140" w:type="dxa"/>
              <w:end w:w="180" w:type="dxa"/>
            </w:tcMar>
          </w:tcPr>
          <w:p>
            <w:pPr>
              <w:spacing w:before="0" w:after="40" w:line="276" w:lineRule="auto"/>
            </w:pPr>
            <w:r>
              <w:rPr>
                <w:rFonts w:ascii="Calibri" w:hAnsi="Calibri" w:eastAsia="Calibri"/>
                <w:b/>
                <w:i w:val="0"/>
                <w:color w:val="0B5DA8"/>
                <w:sz w:val="23"/>
              </w:rPr>
              <w:t>Informativni značaj dokumenta</w:t>
              <w:br/>
            </w:r>
            <w:r>
              <w:rPr>
                <w:rFonts w:ascii="Calibri" w:hAnsi="Calibri" w:eastAsia="Calibri"/>
                <w:b w:val="0"/>
                <w:i w:val="0"/>
                <w:color w:val="333333"/>
                <w:sz w:val="20"/>
              </w:rPr>
              <w:t>Dokument je namenjen osnovnemu informiranju. Ne nadomešča pregleda pri osebnem zdravniku, nevrologu ali druge individualne medicinske obravnave. Vsebina je pripravljena na podlagi javno dostopnih strokovnih razlag in podatkov iz priložene CIDP zloženke.</w:t>
            </w:r>
          </w:p>
        </w:tc>
      </w:tr>
    </w:tbl>
    <w:p>
      <w:pPr>
        <w:spacing w:after="0"/>
      </w:pPr>
    </w:p>
    <w:sectPr w:rsidR="00FC693F" w:rsidRPr="0006063C" w:rsidSect="00034616">
      <w:footerReference w:type="default" r:id="rId9"/>
      <w:pgSz w:w="11906" w:h="16838"/>
      <w:pgMar w:top="907" w:right="907" w:bottom="85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eastAsia="Calibri"/>
        <w:b w:val="0"/>
        <w:i w:val="0"/>
        <w:color w:val="6B7280"/>
        <w:sz w:val="17"/>
      </w:rPr>
      <w:t>Društvo GBS in CIDP Slovenije  |  Informativni dokument  |  gbs.cidp.skupnost@gmail.com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Calibri" w:hAnsi="Calibri" w:eastAsia="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