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71D6" w14:textId="77777777" w:rsidR="00BD6AA3" w:rsidRPr="002F719A" w:rsidRDefault="00BD6AA3" w:rsidP="00A91FB3">
      <w:pPr>
        <w:pStyle w:val="CdigoFuente"/>
        <w:tabs>
          <w:tab w:val="clear" w:pos="567"/>
          <w:tab w:val="left" w:pos="708"/>
        </w:tabs>
        <w:jc w:val="center"/>
        <w:rPr>
          <w:rFonts w:ascii="Eras Medium ITC" w:hAnsi="Eras Medium ITC"/>
          <w:spacing w:val="-20"/>
          <w:sz w:val="36"/>
          <w:vertAlign w:val="superscript"/>
        </w:rPr>
      </w:pPr>
    </w:p>
    <w:p w14:paraId="4564FA70" w14:textId="77777777" w:rsidR="00BD6AA3" w:rsidRDefault="00BD6AA3" w:rsidP="00A91FB3">
      <w:pPr>
        <w:pStyle w:val="CdigoFuente"/>
        <w:tabs>
          <w:tab w:val="clear" w:pos="567"/>
          <w:tab w:val="left" w:pos="708"/>
        </w:tabs>
        <w:jc w:val="center"/>
        <w:rPr>
          <w:rFonts w:ascii="Eras Medium ITC" w:hAnsi="Eras Medium ITC"/>
          <w:spacing w:val="-20"/>
          <w:sz w:val="36"/>
        </w:rPr>
      </w:pPr>
    </w:p>
    <w:p w14:paraId="0E864093" w14:textId="1131FA88" w:rsidR="00A91FB3" w:rsidRDefault="00A91FB3" w:rsidP="00A91FB3">
      <w:pPr>
        <w:pStyle w:val="CdigoFuente"/>
        <w:tabs>
          <w:tab w:val="clear" w:pos="567"/>
          <w:tab w:val="left" w:pos="708"/>
        </w:tabs>
        <w:jc w:val="center"/>
        <w:rPr>
          <w:rFonts w:ascii="Eras Medium ITC" w:hAnsi="Eras Medium ITC"/>
          <w:spacing w:val="-20"/>
          <w:sz w:val="36"/>
        </w:rPr>
      </w:pPr>
      <w:r>
        <w:rPr>
          <w:rFonts w:ascii="Eras Medium ITC" w:hAnsi="Eras Medium ITC"/>
          <w:spacing w:val="-20"/>
          <w:sz w:val="36"/>
        </w:rPr>
        <w:t>UNIVERSIDAD SAN PABLO - CEU</w:t>
      </w:r>
    </w:p>
    <w:p w14:paraId="4F67F2A3" w14:textId="77777777" w:rsidR="00A91FB3" w:rsidRDefault="00A91FB3" w:rsidP="00A91FB3">
      <w:pPr>
        <w:pStyle w:val="CdigoFuente"/>
        <w:jc w:val="center"/>
        <w:rPr>
          <w:rFonts w:ascii="Eras Medium ITC" w:hAnsi="Eras Medium ITC"/>
          <w:spacing w:val="-20"/>
          <w:sz w:val="34"/>
        </w:rPr>
      </w:pPr>
    </w:p>
    <w:p w14:paraId="61D429A2" w14:textId="009C1EDA" w:rsidR="00A91FB3" w:rsidRDefault="00C933B1" w:rsidP="00A91FB3">
      <w:pPr>
        <w:pStyle w:val="CdigoFuente"/>
        <w:jc w:val="center"/>
        <w:rPr>
          <w:rFonts w:ascii="Eras Medium ITC" w:hAnsi="Eras Medium ITC"/>
          <w:spacing w:val="-20"/>
          <w:sz w:val="32"/>
        </w:rPr>
      </w:pPr>
      <w:r>
        <w:rPr>
          <w:rFonts w:ascii="Eras Medium ITC" w:hAnsi="Eras Medium ITC"/>
          <w:spacing w:val="-20"/>
          <w:sz w:val="32"/>
        </w:rPr>
        <w:t>FACULTAD DE CIENCIAS ECONÓMICAS Y EMPRESARIALES</w:t>
      </w:r>
    </w:p>
    <w:p w14:paraId="234E2490" w14:textId="77777777" w:rsidR="00A91FB3" w:rsidRDefault="00A91FB3" w:rsidP="00A91FB3">
      <w:pPr>
        <w:pStyle w:val="CdigoFuente"/>
        <w:jc w:val="center"/>
        <w:rPr>
          <w:rFonts w:ascii="Eras Medium ITC" w:hAnsi="Eras Medium ITC"/>
          <w:spacing w:val="-20"/>
          <w:sz w:val="32"/>
        </w:rPr>
      </w:pPr>
    </w:p>
    <w:p w14:paraId="07DD73B2" w14:textId="0EAF3989" w:rsidR="00A91FB3" w:rsidRDefault="00A91FB3" w:rsidP="00A91FB3">
      <w:pPr>
        <w:pStyle w:val="CdigoFuente"/>
        <w:jc w:val="center"/>
        <w:rPr>
          <w:rFonts w:ascii="Eras Medium ITC" w:hAnsi="Eras Medium ITC"/>
          <w:spacing w:val="-20"/>
          <w:sz w:val="32"/>
        </w:rPr>
      </w:pPr>
      <w:r w:rsidRPr="00F223C9">
        <w:rPr>
          <w:rFonts w:ascii="Eras Medium ITC" w:hAnsi="Eras Medium ITC"/>
          <w:spacing w:val="-20"/>
          <w:sz w:val="32"/>
        </w:rPr>
        <w:t xml:space="preserve">GRADO EN </w:t>
      </w:r>
      <w:r w:rsidR="00243ADD">
        <w:rPr>
          <w:rFonts w:ascii="Eras Medium ITC" w:hAnsi="Eras Medium ITC"/>
          <w:spacing w:val="-20"/>
          <w:sz w:val="32"/>
        </w:rPr>
        <w:t>ADMINISTRACIÓN Y DIRECCIÓN DE EMPRESAS</w:t>
      </w:r>
    </w:p>
    <w:p w14:paraId="55AC1CCC" w14:textId="77777777" w:rsidR="00A91FB3" w:rsidRDefault="00A91FB3" w:rsidP="00A91FB3">
      <w:pPr>
        <w:pStyle w:val="CdigoFuente"/>
        <w:jc w:val="center"/>
        <w:rPr>
          <w:rFonts w:ascii="Eras Medium ITC" w:hAnsi="Eras Medium ITC"/>
          <w:spacing w:val="-20"/>
          <w:sz w:val="32"/>
        </w:rPr>
      </w:pPr>
    </w:p>
    <w:p w14:paraId="46D9B399" w14:textId="77777777" w:rsidR="00A91FB3" w:rsidRDefault="00A91FB3" w:rsidP="00A91FB3">
      <w:pPr>
        <w:pStyle w:val="CdigoFuente"/>
        <w:jc w:val="center"/>
        <w:rPr>
          <w:rFonts w:ascii="Eras Medium ITC" w:hAnsi="Eras Medium ITC"/>
          <w:spacing w:val="20"/>
          <w:sz w:val="44"/>
        </w:rPr>
      </w:pPr>
    </w:p>
    <w:p w14:paraId="28CBC73B" w14:textId="77777777" w:rsidR="00A91FB3" w:rsidRPr="00A91FB3" w:rsidRDefault="00A91FB3" w:rsidP="00A91FB3">
      <w:pPr>
        <w:spacing w:after="0" w:line="240" w:lineRule="auto"/>
        <w:jc w:val="center"/>
        <w:rPr>
          <w:rFonts w:ascii="Times New Roman" w:eastAsia="Times New Roman" w:hAnsi="Times New Roman" w:cs="Times New Roman"/>
          <w:szCs w:val="24"/>
          <w:lang w:eastAsia="es-ES_tradnl"/>
        </w:rPr>
      </w:pPr>
      <w:r w:rsidRPr="00A91FB3">
        <w:rPr>
          <w:rFonts w:ascii="Times New Roman" w:eastAsia="Times New Roman" w:hAnsi="Times New Roman" w:cs="Times New Roman"/>
          <w:szCs w:val="24"/>
          <w:lang w:eastAsia="es-ES_tradnl"/>
        </w:rPr>
        <w:fldChar w:fldCharType="begin"/>
      </w:r>
      <w:r w:rsidRPr="00A91FB3">
        <w:rPr>
          <w:rFonts w:ascii="Times New Roman" w:eastAsia="Times New Roman" w:hAnsi="Times New Roman" w:cs="Times New Roman"/>
          <w:szCs w:val="24"/>
          <w:lang w:eastAsia="es-ES_tradnl"/>
        </w:rPr>
        <w:instrText xml:space="preserve"> INCLUDEPICTURE "http://www.madrid.org/sumadeporte/images/imagenes/deporte_universitario/logo-universidad-san-pablo-ceu.jpg" \* MERGEFORMATINET </w:instrText>
      </w:r>
      <w:r w:rsidRPr="00A91FB3">
        <w:rPr>
          <w:rFonts w:ascii="Times New Roman" w:eastAsia="Times New Roman" w:hAnsi="Times New Roman" w:cs="Times New Roman"/>
          <w:szCs w:val="24"/>
          <w:lang w:eastAsia="es-ES_tradnl"/>
        </w:rPr>
        <w:fldChar w:fldCharType="separate"/>
      </w:r>
      <w:r w:rsidRPr="00A91FB3">
        <w:rPr>
          <w:rFonts w:ascii="Times New Roman" w:eastAsia="Times New Roman" w:hAnsi="Times New Roman" w:cs="Times New Roman"/>
          <w:noProof/>
          <w:szCs w:val="24"/>
          <w:lang w:eastAsia="es-ES_tradnl"/>
        </w:rPr>
        <w:drawing>
          <wp:inline distT="0" distB="0" distL="0" distR="0" wp14:anchorId="787A112A" wp14:editId="7DF16A98">
            <wp:extent cx="1734207" cy="1734207"/>
            <wp:effectExtent l="0" t="0" r="5715" b="5715"/>
            <wp:docPr id="1" name="Imagen 1" descr="http://www.madrid.org/sumadeporte/images/imagenes/deporte_universitario/logo-universidad-san-pablo-c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drid.org/sumadeporte/images/imagenes/deporte_universitario/logo-universidad-san-pablo-ce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48" cy="1743048"/>
                    </a:xfrm>
                    <a:prstGeom prst="rect">
                      <a:avLst/>
                    </a:prstGeom>
                    <a:noFill/>
                    <a:ln>
                      <a:noFill/>
                    </a:ln>
                  </pic:spPr>
                </pic:pic>
              </a:graphicData>
            </a:graphic>
          </wp:inline>
        </w:drawing>
      </w:r>
      <w:r w:rsidRPr="00A91FB3">
        <w:rPr>
          <w:rFonts w:ascii="Times New Roman" w:eastAsia="Times New Roman" w:hAnsi="Times New Roman" w:cs="Times New Roman"/>
          <w:szCs w:val="24"/>
          <w:lang w:eastAsia="es-ES_tradnl"/>
        </w:rPr>
        <w:fldChar w:fldCharType="end"/>
      </w:r>
    </w:p>
    <w:p w14:paraId="2CA6E353" w14:textId="77777777" w:rsidR="00A91FB3" w:rsidRDefault="00A91FB3" w:rsidP="00A91FB3">
      <w:pPr>
        <w:pStyle w:val="CdigoFuente"/>
        <w:jc w:val="center"/>
        <w:rPr>
          <w:rFonts w:ascii="Eras Medium ITC" w:hAnsi="Eras Medium ITC"/>
          <w:spacing w:val="20"/>
          <w:sz w:val="36"/>
        </w:rPr>
      </w:pPr>
    </w:p>
    <w:p w14:paraId="196BA62B" w14:textId="77777777" w:rsidR="00A91FB3" w:rsidRDefault="00A91FB3" w:rsidP="00A91FB3">
      <w:pPr>
        <w:pStyle w:val="CdigoFuente"/>
        <w:jc w:val="center"/>
        <w:rPr>
          <w:rFonts w:ascii="Eras Medium ITC" w:hAnsi="Eras Medium ITC"/>
          <w:spacing w:val="20"/>
          <w:sz w:val="36"/>
        </w:rPr>
      </w:pPr>
    </w:p>
    <w:p w14:paraId="51D2903E" w14:textId="77777777" w:rsidR="00A91FB3" w:rsidRDefault="00A91FB3" w:rsidP="00A91FB3">
      <w:pPr>
        <w:pStyle w:val="CdigoFuente"/>
        <w:jc w:val="center"/>
        <w:rPr>
          <w:rFonts w:ascii="Eras Medium ITC" w:hAnsi="Eras Medium ITC"/>
          <w:spacing w:val="20"/>
          <w:sz w:val="44"/>
        </w:rPr>
      </w:pPr>
      <w:r>
        <w:rPr>
          <w:rFonts w:ascii="Eras Medium ITC" w:hAnsi="Eras Medium ITC"/>
          <w:spacing w:val="20"/>
          <w:sz w:val="36"/>
        </w:rPr>
        <w:t>TRABAJO FIN DE GRADO</w:t>
      </w:r>
    </w:p>
    <w:p w14:paraId="15F48573" w14:textId="77777777" w:rsidR="00A91FB3" w:rsidRDefault="00A91FB3" w:rsidP="00A91FB3">
      <w:pPr>
        <w:pStyle w:val="CdigoFuente"/>
        <w:jc w:val="center"/>
        <w:rPr>
          <w:rFonts w:ascii="Eras Medium ITC" w:hAnsi="Eras Medium ITC"/>
          <w:spacing w:val="20"/>
          <w:sz w:val="44"/>
        </w:rPr>
      </w:pPr>
    </w:p>
    <w:p w14:paraId="60B047F8" w14:textId="68763C9E" w:rsidR="00A91FB3" w:rsidRDefault="00D04213" w:rsidP="00A91FB3">
      <w:pPr>
        <w:pStyle w:val="CdigoFuente"/>
        <w:jc w:val="center"/>
        <w:rPr>
          <w:rFonts w:ascii="Eras Medium ITC" w:hAnsi="Eras Medium ITC"/>
          <w:spacing w:val="-20"/>
          <w:sz w:val="44"/>
        </w:rPr>
      </w:pPr>
      <w:r>
        <w:rPr>
          <w:rFonts w:ascii="Eras Medium ITC" w:hAnsi="Eras Medium ITC"/>
          <w:b/>
          <w:spacing w:val="20"/>
          <w:sz w:val="44"/>
        </w:rPr>
        <w:t>El modelo de Ising para analizar la evasión fiscal</w:t>
      </w:r>
    </w:p>
    <w:p w14:paraId="65C5E1F6" w14:textId="77777777" w:rsidR="00A91FB3" w:rsidRDefault="00A91FB3" w:rsidP="00A91FB3">
      <w:pPr>
        <w:pStyle w:val="CdigoFuente"/>
        <w:jc w:val="center"/>
        <w:rPr>
          <w:rFonts w:ascii="Eras Medium ITC" w:hAnsi="Eras Medium ITC"/>
          <w:spacing w:val="-20"/>
          <w:sz w:val="44"/>
        </w:rPr>
      </w:pPr>
    </w:p>
    <w:p w14:paraId="737A97A5" w14:textId="77777777" w:rsidR="00A91FB3" w:rsidRDefault="00A91FB3" w:rsidP="00A91FB3">
      <w:pPr>
        <w:pStyle w:val="CdigoFuente"/>
        <w:jc w:val="center"/>
        <w:rPr>
          <w:rFonts w:ascii="Eras Medium ITC" w:hAnsi="Eras Medium ITC"/>
          <w:spacing w:val="-20"/>
          <w:sz w:val="44"/>
        </w:rPr>
      </w:pPr>
    </w:p>
    <w:p w14:paraId="411889C1" w14:textId="77777777" w:rsidR="00A91FB3" w:rsidRDefault="00A91FB3" w:rsidP="00A91FB3">
      <w:pPr>
        <w:pStyle w:val="Sinespaciado"/>
        <w:jc w:val="center"/>
      </w:pPr>
    </w:p>
    <w:p w14:paraId="656991D8" w14:textId="0D7FB691" w:rsidR="00A91FB3" w:rsidRDefault="00A91FB3" w:rsidP="00A91FB3">
      <w:pPr>
        <w:pStyle w:val="Sinespaciado"/>
        <w:jc w:val="center"/>
        <w:rPr>
          <w:sz w:val="28"/>
        </w:rPr>
      </w:pPr>
      <w:r w:rsidRPr="00F223C9">
        <w:rPr>
          <w:sz w:val="28"/>
        </w:rPr>
        <w:t xml:space="preserve">Autor: </w:t>
      </w:r>
      <w:r w:rsidR="007D2C44">
        <w:rPr>
          <w:sz w:val="28"/>
        </w:rPr>
        <w:t>Miguel Laloma</w:t>
      </w:r>
      <w:r w:rsidR="00243ADD">
        <w:rPr>
          <w:sz w:val="28"/>
        </w:rPr>
        <w:t xml:space="preserve"> Cabrera</w:t>
      </w:r>
    </w:p>
    <w:p w14:paraId="1E0CF86B" w14:textId="799A1B0F" w:rsidR="00A91FB3" w:rsidRDefault="00882F9E" w:rsidP="00A91FB3">
      <w:pPr>
        <w:pStyle w:val="Sinespaciado"/>
        <w:jc w:val="center"/>
        <w:rPr>
          <w:spacing w:val="20"/>
          <w:sz w:val="24"/>
        </w:rPr>
      </w:pPr>
      <w:r>
        <w:rPr>
          <w:spacing w:val="20"/>
          <w:sz w:val="28"/>
        </w:rPr>
        <w:t>Tutor</w:t>
      </w:r>
      <w:r w:rsidR="00A91FB3">
        <w:rPr>
          <w:spacing w:val="20"/>
          <w:sz w:val="28"/>
        </w:rPr>
        <w:t xml:space="preserve">: </w:t>
      </w:r>
      <w:r w:rsidR="00243ADD">
        <w:rPr>
          <w:spacing w:val="20"/>
          <w:sz w:val="28"/>
        </w:rPr>
        <w:t>Manuel Rodríguez Leret</w:t>
      </w:r>
    </w:p>
    <w:p w14:paraId="72A2D864" w14:textId="77777777" w:rsidR="00A91FB3" w:rsidRDefault="00A91FB3" w:rsidP="00A91FB3">
      <w:pPr>
        <w:pStyle w:val="CdigoFuente"/>
        <w:jc w:val="center"/>
        <w:rPr>
          <w:rFonts w:ascii="Eras Medium ITC" w:hAnsi="Eras Medium ITC"/>
          <w:spacing w:val="20"/>
          <w:sz w:val="28"/>
        </w:rPr>
      </w:pPr>
    </w:p>
    <w:p w14:paraId="6C546505" w14:textId="77777777" w:rsidR="00A91FB3" w:rsidRDefault="00A91FB3" w:rsidP="00A91FB3">
      <w:pPr>
        <w:pStyle w:val="CdigoFuente"/>
        <w:jc w:val="center"/>
        <w:rPr>
          <w:rFonts w:ascii="Eras Medium ITC" w:hAnsi="Eras Medium ITC"/>
          <w:spacing w:val="20"/>
          <w:sz w:val="28"/>
        </w:rPr>
      </w:pPr>
    </w:p>
    <w:p w14:paraId="7CB451D8" w14:textId="77777777" w:rsidR="00A91FB3" w:rsidRDefault="00A91FB3" w:rsidP="00A91FB3">
      <w:pPr>
        <w:pStyle w:val="CdigoFuente"/>
        <w:jc w:val="center"/>
        <w:rPr>
          <w:rFonts w:ascii="Eras Medium ITC" w:hAnsi="Eras Medium ITC"/>
          <w:spacing w:val="20"/>
          <w:sz w:val="28"/>
        </w:rPr>
      </w:pPr>
    </w:p>
    <w:p w14:paraId="2CB4D45D" w14:textId="300A88EB" w:rsidR="00A91FB3" w:rsidRDefault="00D04213" w:rsidP="00A91FB3">
      <w:pPr>
        <w:jc w:val="center"/>
        <w:rPr>
          <w:rFonts w:ascii="Eras Medium ITC" w:eastAsia="Times New Roman" w:hAnsi="Eras Medium ITC" w:cs="Times New Roman"/>
          <w:noProof/>
          <w:spacing w:val="20"/>
          <w:szCs w:val="20"/>
          <w:lang w:eastAsia="es-ES"/>
        </w:rPr>
      </w:pPr>
      <w:r>
        <w:rPr>
          <w:rFonts w:ascii="Eras Medium ITC" w:eastAsia="Times New Roman" w:hAnsi="Eras Medium ITC" w:cs="Times New Roman"/>
          <w:noProof/>
          <w:spacing w:val="20"/>
          <w:szCs w:val="20"/>
          <w:lang w:eastAsia="es-ES"/>
        </w:rPr>
        <w:t>Mayo 2025</w:t>
      </w:r>
    </w:p>
    <w:p w14:paraId="33654E1C" w14:textId="77777777" w:rsidR="00A91FB3" w:rsidRDefault="00A91FB3" w:rsidP="00A91FB3">
      <w:pPr>
        <w:jc w:val="center"/>
        <w:rPr>
          <w:rFonts w:ascii="Eras Medium ITC" w:eastAsia="Times New Roman" w:hAnsi="Eras Medium ITC" w:cs="Times New Roman"/>
          <w:noProof/>
          <w:spacing w:val="20"/>
          <w:szCs w:val="20"/>
          <w:lang w:eastAsia="es-ES"/>
        </w:rPr>
      </w:pPr>
    </w:p>
    <w:p w14:paraId="5072575F" w14:textId="77777777" w:rsidR="00A91FB3" w:rsidRDefault="00A91FB3" w:rsidP="00A91FB3">
      <w:pPr>
        <w:jc w:val="center"/>
        <w:rPr>
          <w:rFonts w:ascii="Eras Medium ITC" w:eastAsia="Times New Roman" w:hAnsi="Eras Medium ITC" w:cs="Times New Roman"/>
          <w:noProof/>
          <w:spacing w:val="20"/>
          <w:szCs w:val="20"/>
          <w:lang w:eastAsia="es-ES"/>
        </w:rPr>
      </w:pPr>
    </w:p>
    <w:p w14:paraId="4D8EB120" w14:textId="77777777" w:rsidR="00A91FB3" w:rsidRDefault="00A91FB3" w:rsidP="00A91FB3">
      <w:pPr>
        <w:jc w:val="center"/>
        <w:rPr>
          <w:rFonts w:ascii="Bookman Old Style" w:hAnsi="Bookman Old Style"/>
        </w:rPr>
      </w:pPr>
    </w:p>
    <w:p w14:paraId="762DFBC1"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5D2000DD"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2FCE11E7" w14:textId="77777777" w:rsidR="00C73DFD" w:rsidRDefault="00C73DFD"/>
    <w:p w14:paraId="0F9188D0" w14:textId="77777777" w:rsidR="00A91FB3" w:rsidRDefault="00A91FB3"/>
    <w:p w14:paraId="5D3A4863" w14:textId="77777777" w:rsidR="00A91FB3" w:rsidRDefault="00A91FB3"/>
    <w:p w14:paraId="1FF7D9FB" w14:textId="77777777" w:rsidR="00A91FB3" w:rsidRDefault="00A91FB3"/>
    <w:p w14:paraId="027227C3" w14:textId="77777777" w:rsidR="00A91FB3" w:rsidRDefault="00A91FB3"/>
    <w:p w14:paraId="706C1271" w14:textId="77777777" w:rsidR="00A91FB3" w:rsidRDefault="00A91FB3"/>
    <w:p w14:paraId="7D0C7881" w14:textId="77777777" w:rsidR="00A91FB3" w:rsidRDefault="00A91FB3"/>
    <w:p w14:paraId="6277DC94" w14:textId="77777777" w:rsidR="00A91FB3" w:rsidRDefault="00A91FB3"/>
    <w:p w14:paraId="2B561360" w14:textId="77777777" w:rsidR="00A91FB3" w:rsidRDefault="00A91FB3"/>
    <w:p w14:paraId="20321C26" w14:textId="77777777" w:rsidR="00A91FB3" w:rsidRDefault="00A91FB3"/>
    <w:p w14:paraId="3D6EA237" w14:textId="77777777" w:rsidR="00A91FB3" w:rsidRDefault="00A91FB3"/>
    <w:p w14:paraId="3AF86260" w14:textId="77777777" w:rsidR="00922079" w:rsidRDefault="00922079">
      <w:pPr>
        <w:sectPr w:rsidR="00922079" w:rsidSect="006351D8">
          <w:headerReference w:type="default" r:id="rId9"/>
          <w:footerReference w:type="even" r:id="rId10"/>
          <w:footerReference w:type="default" r:id="rId11"/>
          <w:headerReference w:type="first" r:id="rId12"/>
          <w:footerReference w:type="first" r:id="rId13"/>
          <w:pgSz w:w="11900" w:h="16840"/>
          <w:pgMar w:top="1985" w:right="1268" w:bottom="1417" w:left="1701" w:header="708" w:footer="708" w:gutter="0"/>
          <w:pgNumType w:fmt="upperRoman" w:start="1"/>
          <w:cols w:space="708"/>
          <w:docGrid w:linePitch="360"/>
        </w:sectPr>
      </w:pPr>
    </w:p>
    <w:p w14:paraId="7D2D08F9" w14:textId="0A5F03AE" w:rsidR="00A91FB3" w:rsidRPr="00BC13A5" w:rsidRDefault="00A91FB3" w:rsidP="00630A81">
      <w:pPr>
        <w:pStyle w:val="Ttulo"/>
        <w:rPr>
          <w:rFonts w:asciiTheme="minorHAnsi" w:eastAsiaTheme="minorHAnsi" w:hAnsiTheme="minorHAnsi" w:cs="Arial"/>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BC13A5">
        <w:rPr>
          <w:szCs w:val="48"/>
        </w:rPr>
        <w:lastRenderedPageBreak/>
        <w:t>Resumen</w:t>
      </w:r>
      <w:bookmarkEnd w:id="0"/>
      <w:bookmarkEnd w:id="1"/>
      <w:bookmarkEnd w:id="2"/>
      <w:bookmarkEnd w:id="3"/>
      <w:bookmarkEnd w:id="4"/>
      <w:bookmarkEnd w:id="5"/>
      <w:bookmarkEnd w:id="6"/>
      <w:r w:rsidRPr="00BC13A5">
        <w:rPr>
          <w:rFonts w:asciiTheme="minorHAnsi" w:eastAsiaTheme="minorHAnsi" w:hAnsiTheme="minorHAnsi" w:cs="Arial"/>
          <w:spacing w:val="0"/>
          <w:kern w:val="0"/>
          <w:sz w:val="24"/>
          <w:szCs w:val="24"/>
        </w:rPr>
        <w:tab/>
      </w:r>
    </w:p>
    <w:p w14:paraId="12F4F0D4" w14:textId="77777777" w:rsidR="0049578A" w:rsidRDefault="0049578A" w:rsidP="00A91FB3">
      <w:pPr>
        <w:autoSpaceDE w:val="0"/>
        <w:autoSpaceDN w:val="0"/>
        <w:adjustRightInd w:val="0"/>
        <w:spacing w:after="0" w:line="240" w:lineRule="auto"/>
        <w:rPr>
          <w:rFonts w:cs="Arial"/>
          <w:szCs w:val="24"/>
        </w:rPr>
      </w:pPr>
    </w:p>
    <w:p w14:paraId="1D6317EB" w14:textId="26807687" w:rsidR="006064E8" w:rsidRDefault="002A0363" w:rsidP="00A91FB3">
      <w:pPr>
        <w:autoSpaceDE w:val="0"/>
        <w:autoSpaceDN w:val="0"/>
        <w:adjustRightInd w:val="0"/>
        <w:spacing w:after="0" w:line="240" w:lineRule="auto"/>
        <w:rPr>
          <w:rFonts w:cs="Arial"/>
          <w:szCs w:val="24"/>
        </w:rPr>
      </w:pPr>
      <w:r>
        <w:rPr>
          <w:rFonts w:cs="Arial"/>
          <w:szCs w:val="24"/>
        </w:rPr>
        <w:t>El presente</w:t>
      </w:r>
      <w:r w:rsidR="006064E8">
        <w:rPr>
          <w:rFonts w:cs="Arial"/>
          <w:szCs w:val="24"/>
        </w:rPr>
        <w:t xml:space="preserve"> trabajo explora la aplicación del modelo de Ising al estudio de la evasión fiscal</w:t>
      </w:r>
      <w:r w:rsidR="00767FAE">
        <w:rPr>
          <w:rFonts w:cs="Arial"/>
          <w:szCs w:val="24"/>
        </w:rPr>
        <w:t>.</w:t>
      </w:r>
      <w:r w:rsidR="006064E8">
        <w:rPr>
          <w:rFonts w:cs="Arial"/>
          <w:szCs w:val="24"/>
        </w:rPr>
        <w:t xml:space="preserve"> </w:t>
      </w:r>
      <w:r w:rsidR="00325C53">
        <w:rPr>
          <w:rFonts w:cs="Arial"/>
          <w:szCs w:val="24"/>
        </w:rPr>
        <w:t>A partir de la adaptación de los conceptos fundamentales del modelo</w:t>
      </w:r>
      <w:r w:rsidR="00A56C99">
        <w:rPr>
          <w:rFonts w:cs="Arial"/>
          <w:szCs w:val="24"/>
        </w:rPr>
        <w:t xml:space="preserve"> al ámbito económico y mediante u</w:t>
      </w:r>
      <w:r w:rsidR="001D1188">
        <w:rPr>
          <w:rFonts w:cs="Arial"/>
          <w:szCs w:val="24"/>
        </w:rPr>
        <w:t>n enfoque</w:t>
      </w:r>
      <w:r w:rsidR="00A56C99">
        <w:rPr>
          <w:rFonts w:cs="Arial"/>
          <w:szCs w:val="24"/>
        </w:rPr>
        <w:t xml:space="preserve"> simulac</w:t>
      </w:r>
      <w:r w:rsidR="001D1188">
        <w:rPr>
          <w:rFonts w:cs="Arial"/>
          <w:szCs w:val="24"/>
        </w:rPr>
        <w:t>ión basada en agentes se ha representado</w:t>
      </w:r>
      <w:r w:rsidR="00325C53">
        <w:rPr>
          <w:rFonts w:cs="Arial"/>
          <w:szCs w:val="24"/>
        </w:rPr>
        <w:t xml:space="preserve"> </w:t>
      </w:r>
      <w:r w:rsidR="001D1188">
        <w:rPr>
          <w:rFonts w:cs="Arial"/>
          <w:szCs w:val="24"/>
        </w:rPr>
        <w:t xml:space="preserve">el comportamiento </w:t>
      </w:r>
      <w:r w:rsidR="003D7AA7">
        <w:rPr>
          <w:rFonts w:cs="Arial"/>
          <w:szCs w:val="24"/>
        </w:rPr>
        <w:t>el comportamiento de contribuyentes influenciados por su entorno y por factores institucionales.</w:t>
      </w:r>
    </w:p>
    <w:p w14:paraId="72F1E5D2" w14:textId="499206B3" w:rsidR="00FE371E" w:rsidRDefault="00FE371E" w:rsidP="00A91FB3">
      <w:pPr>
        <w:autoSpaceDE w:val="0"/>
        <w:autoSpaceDN w:val="0"/>
        <w:adjustRightInd w:val="0"/>
        <w:spacing w:after="0" w:line="240" w:lineRule="auto"/>
        <w:rPr>
          <w:rFonts w:cs="Arial"/>
          <w:szCs w:val="24"/>
        </w:rPr>
      </w:pPr>
      <w:r>
        <w:rPr>
          <w:rFonts w:cs="Arial"/>
          <w:szCs w:val="24"/>
        </w:rPr>
        <w:t>Empleando el de Metropolis y el método de Montecarlo se simulan diferentes escenarios y se analiza la evolución de la evasión fiscal bajo distintas configuraciones de presión fiscal y cohesión social. Asimismo, se comparan los resultados obtenidos mediante la simulación con datos reales del Reino Unido y de la Unión Europea con el fin de evaluar la capacidad explicativa del modelo frente a fenómenos observados</w:t>
      </w:r>
      <w:r w:rsidR="0056616C">
        <w:rPr>
          <w:rFonts w:cs="Arial"/>
          <w:szCs w:val="24"/>
        </w:rPr>
        <w:t>.</w:t>
      </w:r>
    </w:p>
    <w:p w14:paraId="1347CA35" w14:textId="334DFBDB" w:rsidR="0056616C" w:rsidRDefault="0056616C" w:rsidP="00A91FB3">
      <w:pPr>
        <w:autoSpaceDE w:val="0"/>
        <w:autoSpaceDN w:val="0"/>
        <w:adjustRightInd w:val="0"/>
        <w:spacing w:after="0" w:line="240" w:lineRule="auto"/>
        <w:rPr>
          <w:rFonts w:cs="Arial"/>
          <w:szCs w:val="24"/>
        </w:rPr>
      </w:pPr>
      <w:r>
        <w:rPr>
          <w:rFonts w:cs="Arial"/>
          <w:szCs w:val="24"/>
        </w:rPr>
        <w:t>Esta herramienta pretende ser capaz de identificar dinámicas sociales y evaluar políticas públicas</w:t>
      </w:r>
      <w:r w:rsidR="00020A4B">
        <w:rPr>
          <w:rFonts w:cs="Arial"/>
          <w:szCs w:val="24"/>
        </w:rPr>
        <w:t xml:space="preserve"> </w:t>
      </w:r>
      <w:r w:rsidR="00C05B12">
        <w:rPr>
          <w:rFonts w:cs="Arial"/>
          <w:szCs w:val="24"/>
        </w:rPr>
        <w:t>desde una perspectiva dinámica y basada en la interacción de múltiples factores.</w:t>
      </w:r>
    </w:p>
    <w:p w14:paraId="7FD5293D" w14:textId="5D7C7C51" w:rsidR="00BC13A5" w:rsidRDefault="00BC13A5" w:rsidP="00A91FB3">
      <w:pPr>
        <w:autoSpaceDE w:val="0"/>
        <w:autoSpaceDN w:val="0"/>
        <w:adjustRightInd w:val="0"/>
        <w:spacing w:after="0" w:line="240" w:lineRule="auto"/>
        <w:rPr>
          <w:rFonts w:cs="Arial"/>
          <w:szCs w:val="24"/>
        </w:rPr>
      </w:pPr>
    </w:p>
    <w:p w14:paraId="11425966" w14:textId="396C56DA" w:rsidR="00BC13A5" w:rsidRDefault="00BC13A5" w:rsidP="00A91FB3">
      <w:pPr>
        <w:autoSpaceDE w:val="0"/>
        <w:autoSpaceDN w:val="0"/>
        <w:adjustRightInd w:val="0"/>
        <w:spacing w:after="0" w:line="240" w:lineRule="auto"/>
        <w:rPr>
          <w:rFonts w:cs="Arial"/>
          <w:szCs w:val="24"/>
        </w:rPr>
      </w:pPr>
    </w:p>
    <w:p w14:paraId="1952BE24" w14:textId="36874336" w:rsidR="00BC13A5" w:rsidRDefault="00BC13A5" w:rsidP="00A91FB3">
      <w:pPr>
        <w:autoSpaceDE w:val="0"/>
        <w:autoSpaceDN w:val="0"/>
        <w:adjustRightInd w:val="0"/>
        <w:spacing w:after="0" w:line="240" w:lineRule="auto"/>
        <w:rPr>
          <w:rFonts w:cs="Arial"/>
          <w:szCs w:val="24"/>
        </w:rPr>
      </w:pPr>
    </w:p>
    <w:p w14:paraId="7E2A2E74" w14:textId="33450F0E" w:rsidR="00BC13A5" w:rsidRDefault="00BC13A5" w:rsidP="00A91FB3">
      <w:pPr>
        <w:autoSpaceDE w:val="0"/>
        <w:autoSpaceDN w:val="0"/>
        <w:adjustRightInd w:val="0"/>
        <w:spacing w:after="0" w:line="240" w:lineRule="auto"/>
        <w:rPr>
          <w:rFonts w:cs="Arial"/>
          <w:szCs w:val="24"/>
        </w:rPr>
      </w:pPr>
    </w:p>
    <w:p w14:paraId="7B5F49C0" w14:textId="4C87B89E" w:rsidR="00BC13A5" w:rsidRDefault="00BC13A5" w:rsidP="00A91FB3">
      <w:pPr>
        <w:autoSpaceDE w:val="0"/>
        <w:autoSpaceDN w:val="0"/>
        <w:adjustRightInd w:val="0"/>
        <w:spacing w:after="0" w:line="240" w:lineRule="auto"/>
        <w:rPr>
          <w:rFonts w:cs="Arial"/>
          <w:szCs w:val="24"/>
        </w:rPr>
      </w:pPr>
    </w:p>
    <w:p w14:paraId="1B6ED6AD" w14:textId="062E79AD" w:rsidR="00941A4D" w:rsidRDefault="00941A4D" w:rsidP="00A91FB3">
      <w:pPr>
        <w:autoSpaceDE w:val="0"/>
        <w:autoSpaceDN w:val="0"/>
        <w:adjustRightInd w:val="0"/>
        <w:spacing w:after="0" w:line="240" w:lineRule="auto"/>
        <w:rPr>
          <w:rFonts w:cs="Arial"/>
          <w:szCs w:val="24"/>
        </w:rPr>
      </w:pPr>
    </w:p>
    <w:p w14:paraId="2838AF88" w14:textId="77777777" w:rsidR="0056616C" w:rsidRDefault="0056616C" w:rsidP="00A91FB3">
      <w:pPr>
        <w:autoSpaceDE w:val="0"/>
        <w:autoSpaceDN w:val="0"/>
        <w:adjustRightInd w:val="0"/>
        <w:spacing w:after="0" w:line="240" w:lineRule="auto"/>
        <w:rPr>
          <w:rFonts w:cs="Arial"/>
          <w:szCs w:val="24"/>
        </w:rPr>
      </w:pPr>
    </w:p>
    <w:p w14:paraId="0CC5A0B3" w14:textId="14B2A6BB" w:rsidR="00941A4D" w:rsidRDefault="00941A4D" w:rsidP="00A91FB3">
      <w:pPr>
        <w:autoSpaceDE w:val="0"/>
        <w:autoSpaceDN w:val="0"/>
        <w:adjustRightInd w:val="0"/>
        <w:spacing w:after="0" w:line="240" w:lineRule="auto"/>
        <w:rPr>
          <w:rFonts w:cs="Arial"/>
          <w:szCs w:val="24"/>
        </w:rPr>
      </w:pPr>
    </w:p>
    <w:p w14:paraId="24B31426" w14:textId="77777777" w:rsidR="00941A4D" w:rsidRPr="002C6510" w:rsidRDefault="00941A4D" w:rsidP="00A91FB3">
      <w:pPr>
        <w:autoSpaceDE w:val="0"/>
        <w:autoSpaceDN w:val="0"/>
        <w:adjustRightInd w:val="0"/>
        <w:spacing w:after="0" w:line="240" w:lineRule="auto"/>
        <w:rPr>
          <w:rFonts w:cs="Arial"/>
          <w:szCs w:val="24"/>
        </w:rPr>
      </w:pPr>
    </w:p>
    <w:p w14:paraId="1730ECA2" w14:textId="77777777" w:rsidR="00A91FB3" w:rsidRPr="00B612E8" w:rsidRDefault="00A91FB3" w:rsidP="00A91FB3">
      <w:pPr>
        <w:autoSpaceDE w:val="0"/>
        <w:autoSpaceDN w:val="0"/>
        <w:adjustRightInd w:val="0"/>
        <w:spacing w:after="0" w:line="240" w:lineRule="auto"/>
        <w:rPr>
          <w:rFonts w:cs="Arial"/>
        </w:rPr>
      </w:pPr>
    </w:p>
    <w:p w14:paraId="4AF2B08F" w14:textId="77777777" w:rsidR="00A91FB3" w:rsidRPr="00A43872" w:rsidRDefault="00A91FB3" w:rsidP="00630A81">
      <w:pPr>
        <w:pStyle w:val="Ttulo"/>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B612E8">
        <w:t>Palabras Clave</w:t>
      </w:r>
      <w:bookmarkEnd w:id="7"/>
      <w:bookmarkEnd w:id="8"/>
      <w:bookmarkEnd w:id="9"/>
      <w:bookmarkEnd w:id="10"/>
      <w:bookmarkEnd w:id="11"/>
      <w:bookmarkEnd w:id="12"/>
      <w:bookmarkEnd w:id="13"/>
    </w:p>
    <w:p w14:paraId="5B6C3025" w14:textId="2A91EC40" w:rsidR="00A91FB3" w:rsidRDefault="0049578A" w:rsidP="00A43872">
      <w:pPr>
        <w:spacing w:line="276" w:lineRule="auto"/>
      </w:pPr>
      <w:r>
        <w:t>Evasión Fiscal, Modelo de Ising, Simulación.</w:t>
      </w:r>
    </w:p>
    <w:p w14:paraId="030085D9" w14:textId="461B8B1B" w:rsidR="00C73DFD" w:rsidRDefault="00C73DFD" w:rsidP="00A43872">
      <w:pPr>
        <w:spacing w:line="276" w:lineRule="auto"/>
      </w:pPr>
    </w:p>
    <w:p w14:paraId="607FDF3F" w14:textId="77777777" w:rsidR="00A91FB3" w:rsidRDefault="00A91FB3"/>
    <w:p w14:paraId="24A44BA1" w14:textId="77777777" w:rsidR="00337FBF" w:rsidRDefault="00337FBF"/>
    <w:p w14:paraId="4DF62DDD" w14:textId="77777777" w:rsidR="00337FBF" w:rsidRDefault="00337FBF"/>
    <w:p w14:paraId="1371D87E" w14:textId="77777777" w:rsidR="00BC13A5" w:rsidRDefault="00BC13A5">
      <w:pPr>
        <w:sectPr w:rsidR="00BC13A5" w:rsidSect="006351D8">
          <w:headerReference w:type="even" r:id="rId14"/>
          <w:footerReference w:type="even" r:id="rId15"/>
          <w:headerReference w:type="first" r:id="rId16"/>
          <w:footerReference w:type="first" r:id="rId17"/>
          <w:type w:val="oddPage"/>
          <w:pgSz w:w="11900" w:h="16840" w:code="9"/>
          <w:pgMar w:top="1985" w:right="1701" w:bottom="1417" w:left="1701" w:header="851" w:footer="851" w:gutter="567"/>
          <w:pgNumType w:fmt="upperRoman" w:start="1"/>
          <w:cols w:space="708"/>
          <w:titlePg/>
          <w:docGrid w:linePitch="360"/>
        </w:sectPr>
      </w:pPr>
    </w:p>
    <w:p w14:paraId="67AA6D83" w14:textId="0EE43452" w:rsidR="00BC13A5" w:rsidRPr="00767F00" w:rsidRDefault="00BC13A5" w:rsidP="00767F00">
      <w:pPr>
        <w:pStyle w:val="Ttulo"/>
      </w:pPr>
      <w:r w:rsidRPr="00767F00">
        <w:lastRenderedPageBreak/>
        <w:t>Abstract</w:t>
      </w:r>
      <w:r w:rsidRPr="00767F00">
        <w:tab/>
      </w:r>
    </w:p>
    <w:p w14:paraId="10382464" w14:textId="04419E32" w:rsidR="00BC13A5" w:rsidRDefault="00BC13A5" w:rsidP="00BC13A5">
      <w:pPr>
        <w:autoSpaceDE w:val="0"/>
        <w:autoSpaceDN w:val="0"/>
        <w:adjustRightInd w:val="0"/>
        <w:spacing w:after="0" w:line="240" w:lineRule="auto"/>
        <w:rPr>
          <w:rFonts w:cs="Arial"/>
          <w:szCs w:val="24"/>
        </w:rPr>
      </w:pPr>
      <w:r>
        <w:rPr>
          <w:rFonts w:cs="Arial"/>
          <w:szCs w:val="24"/>
        </w:rPr>
        <w:t>Resumen anterior, en inglés.</w:t>
      </w:r>
    </w:p>
    <w:p w14:paraId="32B717FC" w14:textId="77777777" w:rsidR="00941A4D" w:rsidRPr="002C6510" w:rsidRDefault="00941A4D" w:rsidP="00941A4D">
      <w:pPr>
        <w:autoSpaceDE w:val="0"/>
        <w:autoSpaceDN w:val="0"/>
        <w:adjustRightInd w:val="0"/>
        <w:spacing w:after="0" w:line="240" w:lineRule="auto"/>
        <w:rPr>
          <w:rFonts w:cs="Arial"/>
          <w:szCs w:val="24"/>
        </w:rPr>
      </w:pPr>
    </w:p>
    <w:p w14:paraId="351FF564" w14:textId="77777777" w:rsidR="00941A4D" w:rsidRDefault="00941A4D" w:rsidP="00941A4D">
      <w:pPr>
        <w:autoSpaceDE w:val="0"/>
        <w:autoSpaceDN w:val="0"/>
        <w:adjustRightInd w:val="0"/>
        <w:spacing w:after="0" w:line="240" w:lineRule="auto"/>
        <w:rPr>
          <w:rFonts w:cs="Arial"/>
          <w:szCs w:val="24"/>
        </w:rPr>
      </w:pPr>
    </w:p>
    <w:p w14:paraId="2615C4D0" w14:textId="77777777" w:rsidR="00941A4D" w:rsidRDefault="00941A4D" w:rsidP="00941A4D">
      <w:pPr>
        <w:autoSpaceDE w:val="0"/>
        <w:autoSpaceDN w:val="0"/>
        <w:adjustRightInd w:val="0"/>
        <w:spacing w:after="0" w:line="240" w:lineRule="auto"/>
        <w:rPr>
          <w:rFonts w:cs="Arial"/>
          <w:szCs w:val="24"/>
        </w:rPr>
      </w:pPr>
    </w:p>
    <w:p w14:paraId="2C2C1DFB" w14:textId="77777777" w:rsidR="00941A4D" w:rsidRDefault="00941A4D" w:rsidP="00941A4D">
      <w:pPr>
        <w:autoSpaceDE w:val="0"/>
        <w:autoSpaceDN w:val="0"/>
        <w:adjustRightInd w:val="0"/>
        <w:spacing w:after="0" w:line="240" w:lineRule="auto"/>
        <w:rPr>
          <w:rFonts w:cs="Arial"/>
          <w:szCs w:val="24"/>
        </w:rPr>
      </w:pPr>
    </w:p>
    <w:p w14:paraId="3386E56D" w14:textId="77777777" w:rsidR="00941A4D" w:rsidRDefault="00941A4D" w:rsidP="00941A4D">
      <w:pPr>
        <w:autoSpaceDE w:val="0"/>
        <w:autoSpaceDN w:val="0"/>
        <w:adjustRightInd w:val="0"/>
        <w:spacing w:after="0" w:line="240" w:lineRule="auto"/>
        <w:rPr>
          <w:rFonts w:cs="Arial"/>
          <w:szCs w:val="24"/>
        </w:rPr>
      </w:pPr>
    </w:p>
    <w:p w14:paraId="591C45C3" w14:textId="77777777" w:rsidR="00941A4D" w:rsidRDefault="00941A4D" w:rsidP="00941A4D">
      <w:pPr>
        <w:autoSpaceDE w:val="0"/>
        <w:autoSpaceDN w:val="0"/>
        <w:adjustRightInd w:val="0"/>
        <w:spacing w:after="0" w:line="240" w:lineRule="auto"/>
        <w:rPr>
          <w:rFonts w:cs="Arial"/>
          <w:szCs w:val="24"/>
        </w:rPr>
      </w:pPr>
    </w:p>
    <w:p w14:paraId="2CAD2867" w14:textId="77777777" w:rsidR="00941A4D" w:rsidRDefault="00941A4D" w:rsidP="00941A4D">
      <w:pPr>
        <w:autoSpaceDE w:val="0"/>
        <w:autoSpaceDN w:val="0"/>
        <w:adjustRightInd w:val="0"/>
        <w:spacing w:after="0" w:line="240" w:lineRule="auto"/>
        <w:rPr>
          <w:rFonts w:cs="Arial"/>
          <w:szCs w:val="24"/>
        </w:rPr>
      </w:pPr>
    </w:p>
    <w:p w14:paraId="09F3B3BD" w14:textId="77777777" w:rsidR="00941A4D" w:rsidRDefault="00941A4D" w:rsidP="00941A4D">
      <w:pPr>
        <w:autoSpaceDE w:val="0"/>
        <w:autoSpaceDN w:val="0"/>
        <w:adjustRightInd w:val="0"/>
        <w:spacing w:after="0" w:line="240" w:lineRule="auto"/>
        <w:rPr>
          <w:rFonts w:cs="Arial"/>
          <w:szCs w:val="24"/>
        </w:rPr>
      </w:pPr>
    </w:p>
    <w:p w14:paraId="6543159A" w14:textId="77777777" w:rsidR="00941A4D" w:rsidRDefault="00941A4D" w:rsidP="00941A4D">
      <w:pPr>
        <w:autoSpaceDE w:val="0"/>
        <w:autoSpaceDN w:val="0"/>
        <w:adjustRightInd w:val="0"/>
        <w:spacing w:after="0" w:line="240" w:lineRule="auto"/>
        <w:rPr>
          <w:rFonts w:cs="Arial"/>
          <w:szCs w:val="24"/>
        </w:rPr>
      </w:pPr>
    </w:p>
    <w:p w14:paraId="59A09AC6" w14:textId="116B0ED9" w:rsidR="00941A4D" w:rsidRDefault="00EF1449" w:rsidP="00EF1449">
      <w:pPr>
        <w:tabs>
          <w:tab w:val="left" w:pos="6381"/>
        </w:tabs>
        <w:autoSpaceDE w:val="0"/>
        <w:autoSpaceDN w:val="0"/>
        <w:adjustRightInd w:val="0"/>
        <w:spacing w:after="0" w:line="240" w:lineRule="auto"/>
        <w:rPr>
          <w:rFonts w:cs="Arial"/>
          <w:szCs w:val="24"/>
        </w:rPr>
      </w:pPr>
      <w:r>
        <w:rPr>
          <w:rFonts w:cs="Arial"/>
          <w:szCs w:val="24"/>
        </w:rPr>
        <w:tab/>
      </w:r>
    </w:p>
    <w:p w14:paraId="015E7201" w14:textId="13444A1A" w:rsidR="00941A4D" w:rsidRDefault="00941A4D" w:rsidP="00941A4D">
      <w:pPr>
        <w:autoSpaceDE w:val="0"/>
        <w:autoSpaceDN w:val="0"/>
        <w:adjustRightInd w:val="0"/>
        <w:spacing w:after="0" w:line="240" w:lineRule="auto"/>
        <w:rPr>
          <w:rFonts w:cs="Arial"/>
          <w:szCs w:val="24"/>
        </w:rPr>
      </w:pPr>
    </w:p>
    <w:p w14:paraId="3DDB8BA1" w14:textId="2A888491" w:rsidR="00941A4D" w:rsidRDefault="00941A4D" w:rsidP="00941A4D">
      <w:pPr>
        <w:autoSpaceDE w:val="0"/>
        <w:autoSpaceDN w:val="0"/>
        <w:adjustRightInd w:val="0"/>
        <w:spacing w:after="0" w:line="240" w:lineRule="auto"/>
        <w:rPr>
          <w:rFonts w:cs="Arial"/>
          <w:szCs w:val="24"/>
        </w:rPr>
      </w:pPr>
    </w:p>
    <w:p w14:paraId="525289CA" w14:textId="437CDF6D" w:rsidR="00941A4D" w:rsidRDefault="00941A4D" w:rsidP="00941A4D">
      <w:pPr>
        <w:autoSpaceDE w:val="0"/>
        <w:autoSpaceDN w:val="0"/>
        <w:adjustRightInd w:val="0"/>
        <w:spacing w:after="0" w:line="240" w:lineRule="auto"/>
        <w:rPr>
          <w:rFonts w:cs="Arial"/>
          <w:szCs w:val="24"/>
        </w:rPr>
      </w:pPr>
    </w:p>
    <w:p w14:paraId="289438A8" w14:textId="594E59A0" w:rsidR="00941A4D" w:rsidRDefault="00941A4D" w:rsidP="00941A4D">
      <w:pPr>
        <w:autoSpaceDE w:val="0"/>
        <w:autoSpaceDN w:val="0"/>
        <w:adjustRightInd w:val="0"/>
        <w:spacing w:after="0" w:line="240" w:lineRule="auto"/>
        <w:rPr>
          <w:rFonts w:cs="Arial"/>
          <w:szCs w:val="24"/>
        </w:rPr>
      </w:pPr>
    </w:p>
    <w:p w14:paraId="2DD12BBD" w14:textId="77777777" w:rsidR="00941A4D" w:rsidRDefault="00941A4D" w:rsidP="00941A4D">
      <w:pPr>
        <w:autoSpaceDE w:val="0"/>
        <w:autoSpaceDN w:val="0"/>
        <w:adjustRightInd w:val="0"/>
        <w:spacing w:after="0" w:line="240" w:lineRule="auto"/>
        <w:rPr>
          <w:rFonts w:cs="Arial"/>
          <w:szCs w:val="24"/>
        </w:rPr>
      </w:pPr>
    </w:p>
    <w:p w14:paraId="1F483C33" w14:textId="77777777" w:rsidR="00941A4D" w:rsidRDefault="00941A4D" w:rsidP="00941A4D">
      <w:pPr>
        <w:autoSpaceDE w:val="0"/>
        <w:autoSpaceDN w:val="0"/>
        <w:adjustRightInd w:val="0"/>
        <w:spacing w:after="0" w:line="240" w:lineRule="auto"/>
        <w:rPr>
          <w:rFonts w:cs="Arial"/>
          <w:szCs w:val="24"/>
        </w:rPr>
      </w:pPr>
    </w:p>
    <w:p w14:paraId="313A2DF9" w14:textId="77777777" w:rsidR="00941A4D" w:rsidRDefault="00941A4D" w:rsidP="00941A4D">
      <w:pPr>
        <w:autoSpaceDE w:val="0"/>
        <w:autoSpaceDN w:val="0"/>
        <w:adjustRightInd w:val="0"/>
        <w:spacing w:after="0" w:line="240" w:lineRule="auto"/>
        <w:rPr>
          <w:rFonts w:cs="Arial"/>
          <w:szCs w:val="24"/>
        </w:rPr>
      </w:pPr>
    </w:p>
    <w:p w14:paraId="20026657" w14:textId="77777777" w:rsidR="00941A4D" w:rsidRDefault="00941A4D" w:rsidP="00941A4D">
      <w:pPr>
        <w:autoSpaceDE w:val="0"/>
        <w:autoSpaceDN w:val="0"/>
        <w:adjustRightInd w:val="0"/>
        <w:spacing w:after="0" w:line="240" w:lineRule="auto"/>
        <w:rPr>
          <w:rFonts w:cs="Arial"/>
          <w:szCs w:val="24"/>
        </w:rPr>
      </w:pPr>
    </w:p>
    <w:p w14:paraId="4721E0CE" w14:textId="77777777" w:rsidR="00941A4D" w:rsidRDefault="00941A4D" w:rsidP="00941A4D">
      <w:pPr>
        <w:autoSpaceDE w:val="0"/>
        <w:autoSpaceDN w:val="0"/>
        <w:adjustRightInd w:val="0"/>
        <w:spacing w:after="0" w:line="240" w:lineRule="auto"/>
        <w:rPr>
          <w:rFonts w:cs="Arial"/>
          <w:szCs w:val="24"/>
        </w:rPr>
      </w:pPr>
    </w:p>
    <w:p w14:paraId="79BA15B6" w14:textId="77777777" w:rsidR="00941A4D" w:rsidRDefault="00941A4D" w:rsidP="00941A4D">
      <w:pPr>
        <w:autoSpaceDE w:val="0"/>
        <w:autoSpaceDN w:val="0"/>
        <w:adjustRightInd w:val="0"/>
        <w:spacing w:after="0" w:line="240" w:lineRule="auto"/>
        <w:rPr>
          <w:rFonts w:cs="Arial"/>
          <w:szCs w:val="24"/>
        </w:rPr>
      </w:pPr>
    </w:p>
    <w:p w14:paraId="135DDF18" w14:textId="77777777" w:rsidR="00941A4D" w:rsidRPr="002C6510" w:rsidRDefault="00941A4D" w:rsidP="00941A4D">
      <w:pPr>
        <w:autoSpaceDE w:val="0"/>
        <w:autoSpaceDN w:val="0"/>
        <w:adjustRightInd w:val="0"/>
        <w:spacing w:after="0" w:line="240" w:lineRule="auto"/>
        <w:rPr>
          <w:rFonts w:cs="Arial"/>
          <w:szCs w:val="24"/>
        </w:rPr>
      </w:pPr>
    </w:p>
    <w:p w14:paraId="026474AB" w14:textId="746EA87C" w:rsidR="00BC13A5" w:rsidRPr="003F3E02" w:rsidRDefault="00941A4D" w:rsidP="00767F00">
      <w:pPr>
        <w:pStyle w:val="Ttulo"/>
      </w:pPr>
      <w:r w:rsidRPr="00767F00">
        <w:t>Keywords</w:t>
      </w:r>
    </w:p>
    <w:p w14:paraId="62DC683C" w14:textId="496F4B20" w:rsidR="00BC13A5" w:rsidRDefault="00BC13A5" w:rsidP="00BC13A5">
      <w:pPr>
        <w:spacing w:line="276" w:lineRule="auto"/>
      </w:pPr>
    </w:p>
    <w:p w14:paraId="4DA1D734" w14:textId="77777777" w:rsidR="00223142" w:rsidRDefault="00223142" w:rsidP="00BC13A5">
      <w:pPr>
        <w:spacing w:line="276" w:lineRule="auto"/>
      </w:pPr>
    </w:p>
    <w:p w14:paraId="45077062" w14:textId="77777777" w:rsidR="00223142" w:rsidRDefault="00223142" w:rsidP="00BC13A5">
      <w:pPr>
        <w:spacing w:line="276" w:lineRule="auto"/>
      </w:pPr>
    </w:p>
    <w:p w14:paraId="6262BB3C" w14:textId="77777777" w:rsidR="00337FBF" w:rsidRDefault="00337FBF"/>
    <w:p w14:paraId="6572265B" w14:textId="77777777" w:rsidR="00941A4D" w:rsidRDefault="00941A4D">
      <w:pPr>
        <w:sectPr w:rsidR="00941A4D" w:rsidSect="00941A4D">
          <w:type w:val="oddPage"/>
          <w:pgSz w:w="11900" w:h="16840" w:code="9"/>
          <w:pgMar w:top="1985" w:right="1701" w:bottom="1418" w:left="1701" w:header="851" w:footer="851" w:gutter="567"/>
          <w:pgNumType w:fmt="upperRoman"/>
          <w:cols w:space="708"/>
          <w:titlePg/>
          <w:docGrid w:linePitch="360"/>
        </w:sectPr>
      </w:pPr>
    </w:p>
    <w:p w14:paraId="39E2B828" w14:textId="32257001" w:rsidR="00337FBF" w:rsidRPr="00767F00" w:rsidRDefault="00D8720C" w:rsidP="00767F00">
      <w:pPr>
        <w:pStyle w:val="Ttulo"/>
      </w:pPr>
      <w:r w:rsidRPr="00767F00">
        <w:lastRenderedPageBreak/>
        <w:t xml:space="preserve">Índice de </w:t>
      </w:r>
      <w:r w:rsidR="0086471E" w:rsidRPr="00767F00">
        <w:t>c</w:t>
      </w:r>
      <w:r w:rsidRPr="00767F00">
        <w:t>ontenido</w:t>
      </w:r>
      <w:r w:rsidR="0086471E" w:rsidRPr="00767F00">
        <w:t>s</w:t>
      </w:r>
    </w:p>
    <w:sdt>
      <w:sdtPr>
        <w:rPr>
          <w:bCs/>
          <w:iCs/>
          <w:noProof/>
          <w:szCs w:val="24"/>
        </w:rPr>
        <w:id w:val="1227209458"/>
        <w:docPartObj>
          <w:docPartGallery w:val="Table of Contents"/>
          <w:docPartUnique/>
        </w:docPartObj>
      </w:sdtPr>
      <w:sdtContent>
        <w:p w14:paraId="59D949C8" w14:textId="18B26937" w:rsidR="00ED681F" w:rsidRDefault="00ED681F" w:rsidP="00223142">
          <w:pPr>
            <w:spacing w:before="0" w:after="0" w:line="240" w:lineRule="auto"/>
          </w:pPr>
        </w:p>
        <w:p w14:paraId="4569A86F" w14:textId="75E00D52" w:rsidR="0002273D" w:rsidRDefault="003C3F39">
          <w:pPr>
            <w:pStyle w:val="TDC1"/>
            <w:rPr>
              <w:rFonts w:eastAsiaTheme="minorEastAsia"/>
              <w:bCs w:val="0"/>
              <w:iCs w:val="0"/>
              <w:kern w:val="2"/>
              <w:lang w:eastAsia="es-ES"/>
              <w14:ligatures w14:val="standardContextual"/>
            </w:rPr>
          </w:pPr>
          <w:r>
            <w:fldChar w:fldCharType="begin"/>
          </w:r>
          <w:r w:rsidR="00ED681F">
            <w:instrText>TOC \o "1-3" \h \z \u</w:instrText>
          </w:r>
          <w:r>
            <w:fldChar w:fldCharType="separate"/>
          </w:r>
          <w:hyperlink w:anchor="_Toc199704557" w:history="1">
            <w:r w:rsidR="0002273D" w:rsidRPr="00A5502F">
              <w:rPr>
                <w:rStyle w:val="Hipervnculo"/>
              </w:rPr>
              <w:t>Capítulo 1 Introducción</w:t>
            </w:r>
            <w:r w:rsidR="0002273D">
              <w:rPr>
                <w:webHidden/>
              </w:rPr>
              <w:tab/>
            </w:r>
            <w:r w:rsidR="0002273D">
              <w:rPr>
                <w:webHidden/>
              </w:rPr>
              <w:fldChar w:fldCharType="begin"/>
            </w:r>
            <w:r w:rsidR="0002273D">
              <w:rPr>
                <w:webHidden/>
              </w:rPr>
              <w:instrText xml:space="preserve"> PAGEREF _Toc199704557 \h </w:instrText>
            </w:r>
            <w:r w:rsidR="0002273D">
              <w:rPr>
                <w:webHidden/>
              </w:rPr>
            </w:r>
            <w:r w:rsidR="0002273D">
              <w:rPr>
                <w:webHidden/>
              </w:rPr>
              <w:fldChar w:fldCharType="separate"/>
            </w:r>
            <w:r w:rsidR="0002273D">
              <w:rPr>
                <w:webHidden/>
              </w:rPr>
              <w:t>1</w:t>
            </w:r>
            <w:r w:rsidR="0002273D">
              <w:rPr>
                <w:webHidden/>
              </w:rPr>
              <w:fldChar w:fldCharType="end"/>
            </w:r>
          </w:hyperlink>
        </w:p>
        <w:p w14:paraId="016F8D29" w14:textId="5E653477" w:rsidR="0002273D" w:rsidRDefault="0002273D">
          <w:pPr>
            <w:pStyle w:val="TDC2"/>
            <w:rPr>
              <w:rFonts w:eastAsiaTheme="minorEastAsia"/>
              <w:bCs w:val="0"/>
              <w:noProof/>
              <w:kern w:val="2"/>
              <w:sz w:val="24"/>
              <w:szCs w:val="24"/>
              <w:lang w:eastAsia="es-ES"/>
              <w14:ligatures w14:val="standardContextual"/>
            </w:rPr>
          </w:pPr>
          <w:hyperlink w:anchor="_Toc199704558" w:history="1">
            <w:r w:rsidRPr="00A5502F">
              <w:rPr>
                <w:rStyle w:val="Hipervnculo"/>
                <w:noProof/>
              </w:rPr>
              <w:t>1.1</w:t>
            </w:r>
            <w:r>
              <w:rPr>
                <w:rFonts w:eastAsiaTheme="minorEastAsia"/>
                <w:bCs w:val="0"/>
                <w:noProof/>
                <w:kern w:val="2"/>
                <w:sz w:val="24"/>
                <w:szCs w:val="24"/>
                <w:lang w:eastAsia="es-ES"/>
                <w14:ligatures w14:val="standardContextual"/>
              </w:rPr>
              <w:tab/>
            </w:r>
            <w:r w:rsidRPr="00A5502F">
              <w:rPr>
                <w:rStyle w:val="Hipervnculo"/>
                <w:noProof/>
              </w:rPr>
              <w:t>Contexto del TFG</w:t>
            </w:r>
            <w:r>
              <w:rPr>
                <w:noProof/>
                <w:webHidden/>
              </w:rPr>
              <w:tab/>
            </w:r>
            <w:r>
              <w:rPr>
                <w:noProof/>
                <w:webHidden/>
              </w:rPr>
              <w:fldChar w:fldCharType="begin"/>
            </w:r>
            <w:r>
              <w:rPr>
                <w:noProof/>
                <w:webHidden/>
              </w:rPr>
              <w:instrText xml:space="preserve"> PAGEREF _Toc199704558 \h </w:instrText>
            </w:r>
            <w:r>
              <w:rPr>
                <w:noProof/>
                <w:webHidden/>
              </w:rPr>
            </w:r>
            <w:r>
              <w:rPr>
                <w:noProof/>
                <w:webHidden/>
              </w:rPr>
              <w:fldChar w:fldCharType="separate"/>
            </w:r>
            <w:r>
              <w:rPr>
                <w:noProof/>
                <w:webHidden/>
              </w:rPr>
              <w:t>1</w:t>
            </w:r>
            <w:r>
              <w:rPr>
                <w:noProof/>
                <w:webHidden/>
              </w:rPr>
              <w:fldChar w:fldCharType="end"/>
            </w:r>
          </w:hyperlink>
        </w:p>
        <w:p w14:paraId="2F870169" w14:textId="241D0A4F" w:rsidR="0002273D" w:rsidRDefault="0002273D">
          <w:pPr>
            <w:pStyle w:val="TDC2"/>
            <w:rPr>
              <w:rFonts w:eastAsiaTheme="minorEastAsia"/>
              <w:bCs w:val="0"/>
              <w:noProof/>
              <w:kern w:val="2"/>
              <w:sz w:val="24"/>
              <w:szCs w:val="24"/>
              <w:lang w:eastAsia="es-ES"/>
              <w14:ligatures w14:val="standardContextual"/>
            </w:rPr>
          </w:pPr>
          <w:hyperlink w:anchor="_Toc199704559" w:history="1">
            <w:r w:rsidRPr="00A5502F">
              <w:rPr>
                <w:rStyle w:val="Hipervnculo"/>
                <w:noProof/>
              </w:rPr>
              <w:t>1.2</w:t>
            </w:r>
            <w:r>
              <w:rPr>
                <w:rFonts w:eastAsiaTheme="minorEastAsia"/>
                <w:bCs w:val="0"/>
                <w:noProof/>
                <w:kern w:val="2"/>
                <w:sz w:val="24"/>
                <w:szCs w:val="24"/>
                <w:lang w:eastAsia="es-ES"/>
                <w14:ligatures w14:val="standardContextual"/>
              </w:rPr>
              <w:tab/>
            </w:r>
            <w:r w:rsidRPr="00A5502F">
              <w:rPr>
                <w:rStyle w:val="Hipervnculo"/>
                <w:noProof/>
              </w:rPr>
              <w:t>Objetivos</w:t>
            </w:r>
            <w:r>
              <w:rPr>
                <w:noProof/>
                <w:webHidden/>
              </w:rPr>
              <w:tab/>
            </w:r>
            <w:r>
              <w:rPr>
                <w:noProof/>
                <w:webHidden/>
              </w:rPr>
              <w:fldChar w:fldCharType="begin"/>
            </w:r>
            <w:r>
              <w:rPr>
                <w:noProof/>
                <w:webHidden/>
              </w:rPr>
              <w:instrText xml:space="preserve"> PAGEREF _Toc199704559 \h </w:instrText>
            </w:r>
            <w:r>
              <w:rPr>
                <w:noProof/>
                <w:webHidden/>
              </w:rPr>
            </w:r>
            <w:r>
              <w:rPr>
                <w:noProof/>
                <w:webHidden/>
              </w:rPr>
              <w:fldChar w:fldCharType="separate"/>
            </w:r>
            <w:r>
              <w:rPr>
                <w:noProof/>
                <w:webHidden/>
              </w:rPr>
              <w:t>1</w:t>
            </w:r>
            <w:r>
              <w:rPr>
                <w:noProof/>
                <w:webHidden/>
              </w:rPr>
              <w:fldChar w:fldCharType="end"/>
            </w:r>
          </w:hyperlink>
        </w:p>
        <w:p w14:paraId="694DF6BB" w14:textId="5A073C3E" w:rsidR="0002273D" w:rsidRDefault="0002273D">
          <w:pPr>
            <w:pStyle w:val="TDC1"/>
            <w:rPr>
              <w:rFonts w:eastAsiaTheme="minorEastAsia"/>
              <w:bCs w:val="0"/>
              <w:iCs w:val="0"/>
              <w:kern w:val="2"/>
              <w:lang w:eastAsia="es-ES"/>
              <w14:ligatures w14:val="standardContextual"/>
            </w:rPr>
          </w:pPr>
          <w:hyperlink w:anchor="_Toc199704560" w:history="1">
            <w:r w:rsidRPr="00A5502F">
              <w:rPr>
                <w:rStyle w:val="Hipervnculo"/>
              </w:rPr>
              <w:t>Capítulo 2 Marco Teórico</w:t>
            </w:r>
            <w:r>
              <w:rPr>
                <w:webHidden/>
              </w:rPr>
              <w:tab/>
            </w:r>
            <w:r>
              <w:rPr>
                <w:webHidden/>
              </w:rPr>
              <w:fldChar w:fldCharType="begin"/>
            </w:r>
            <w:r>
              <w:rPr>
                <w:webHidden/>
              </w:rPr>
              <w:instrText xml:space="preserve"> PAGEREF _Toc199704560 \h </w:instrText>
            </w:r>
            <w:r>
              <w:rPr>
                <w:webHidden/>
              </w:rPr>
            </w:r>
            <w:r>
              <w:rPr>
                <w:webHidden/>
              </w:rPr>
              <w:fldChar w:fldCharType="separate"/>
            </w:r>
            <w:r>
              <w:rPr>
                <w:webHidden/>
              </w:rPr>
              <w:t>3</w:t>
            </w:r>
            <w:r>
              <w:rPr>
                <w:webHidden/>
              </w:rPr>
              <w:fldChar w:fldCharType="end"/>
            </w:r>
          </w:hyperlink>
        </w:p>
        <w:p w14:paraId="6EFF4440" w14:textId="05CB7938" w:rsidR="0002273D" w:rsidRDefault="0002273D">
          <w:pPr>
            <w:pStyle w:val="TDC2"/>
            <w:rPr>
              <w:rFonts w:eastAsiaTheme="minorEastAsia"/>
              <w:bCs w:val="0"/>
              <w:noProof/>
              <w:kern w:val="2"/>
              <w:sz w:val="24"/>
              <w:szCs w:val="24"/>
              <w:lang w:eastAsia="es-ES"/>
              <w14:ligatures w14:val="standardContextual"/>
            </w:rPr>
          </w:pPr>
          <w:hyperlink w:anchor="_Toc199704561" w:history="1">
            <w:r w:rsidRPr="00A5502F">
              <w:rPr>
                <w:rStyle w:val="Hipervnculo"/>
                <w:noProof/>
              </w:rPr>
              <w:t>2.1</w:t>
            </w:r>
            <w:r>
              <w:rPr>
                <w:rFonts w:eastAsiaTheme="minorEastAsia"/>
                <w:bCs w:val="0"/>
                <w:noProof/>
                <w:kern w:val="2"/>
                <w:sz w:val="24"/>
                <w:szCs w:val="24"/>
                <w:lang w:eastAsia="es-ES"/>
                <w14:ligatures w14:val="standardContextual"/>
              </w:rPr>
              <w:tab/>
            </w:r>
            <w:r w:rsidRPr="00A5502F">
              <w:rPr>
                <w:rStyle w:val="Hipervnculo"/>
                <w:noProof/>
              </w:rPr>
              <w:t>Evasión Fiscal</w:t>
            </w:r>
            <w:r>
              <w:rPr>
                <w:noProof/>
                <w:webHidden/>
              </w:rPr>
              <w:tab/>
            </w:r>
            <w:r>
              <w:rPr>
                <w:noProof/>
                <w:webHidden/>
              </w:rPr>
              <w:fldChar w:fldCharType="begin"/>
            </w:r>
            <w:r>
              <w:rPr>
                <w:noProof/>
                <w:webHidden/>
              </w:rPr>
              <w:instrText xml:space="preserve"> PAGEREF _Toc199704561 \h </w:instrText>
            </w:r>
            <w:r>
              <w:rPr>
                <w:noProof/>
                <w:webHidden/>
              </w:rPr>
            </w:r>
            <w:r>
              <w:rPr>
                <w:noProof/>
                <w:webHidden/>
              </w:rPr>
              <w:fldChar w:fldCharType="separate"/>
            </w:r>
            <w:r>
              <w:rPr>
                <w:noProof/>
                <w:webHidden/>
              </w:rPr>
              <w:t>3</w:t>
            </w:r>
            <w:r>
              <w:rPr>
                <w:noProof/>
                <w:webHidden/>
              </w:rPr>
              <w:fldChar w:fldCharType="end"/>
            </w:r>
          </w:hyperlink>
        </w:p>
        <w:p w14:paraId="51EA4B60" w14:textId="21D4C941" w:rsidR="0002273D" w:rsidRDefault="0002273D">
          <w:pPr>
            <w:pStyle w:val="TDC2"/>
            <w:rPr>
              <w:rFonts w:eastAsiaTheme="minorEastAsia"/>
              <w:bCs w:val="0"/>
              <w:noProof/>
              <w:kern w:val="2"/>
              <w:sz w:val="24"/>
              <w:szCs w:val="24"/>
              <w:lang w:eastAsia="es-ES"/>
              <w14:ligatures w14:val="standardContextual"/>
            </w:rPr>
          </w:pPr>
          <w:hyperlink w:anchor="_Toc199704562" w:history="1">
            <w:r w:rsidRPr="00A5502F">
              <w:rPr>
                <w:rStyle w:val="Hipervnculo"/>
                <w:noProof/>
              </w:rPr>
              <w:t>2.2</w:t>
            </w:r>
            <w:r>
              <w:rPr>
                <w:rFonts w:eastAsiaTheme="minorEastAsia"/>
                <w:bCs w:val="0"/>
                <w:noProof/>
                <w:kern w:val="2"/>
                <w:sz w:val="24"/>
                <w:szCs w:val="24"/>
                <w:lang w:eastAsia="es-ES"/>
                <w14:ligatures w14:val="standardContextual"/>
              </w:rPr>
              <w:tab/>
            </w:r>
            <w:r w:rsidRPr="00A5502F">
              <w:rPr>
                <w:rStyle w:val="Hipervnculo"/>
                <w:noProof/>
              </w:rPr>
              <w:t>Modelo de Ising</w:t>
            </w:r>
            <w:r>
              <w:rPr>
                <w:noProof/>
                <w:webHidden/>
              </w:rPr>
              <w:tab/>
            </w:r>
            <w:r>
              <w:rPr>
                <w:noProof/>
                <w:webHidden/>
              </w:rPr>
              <w:fldChar w:fldCharType="begin"/>
            </w:r>
            <w:r>
              <w:rPr>
                <w:noProof/>
                <w:webHidden/>
              </w:rPr>
              <w:instrText xml:space="preserve"> PAGEREF _Toc199704562 \h </w:instrText>
            </w:r>
            <w:r>
              <w:rPr>
                <w:noProof/>
                <w:webHidden/>
              </w:rPr>
            </w:r>
            <w:r>
              <w:rPr>
                <w:noProof/>
                <w:webHidden/>
              </w:rPr>
              <w:fldChar w:fldCharType="separate"/>
            </w:r>
            <w:r>
              <w:rPr>
                <w:noProof/>
                <w:webHidden/>
              </w:rPr>
              <w:t>5</w:t>
            </w:r>
            <w:r>
              <w:rPr>
                <w:noProof/>
                <w:webHidden/>
              </w:rPr>
              <w:fldChar w:fldCharType="end"/>
            </w:r>
          </w:hyperlink>
        </w:p>
        <w:p w14:paraId="245A9318" w14:textId="674318B7"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63" w:history="1">
            <w:r w:rsidRPr="00A5502F">
              <w:rPr>
                <w:rStyle w:val="Hipervnculo"/>
                <w:noProof/>
              </w:rPr>
              <w:t>2.2.1</w:t>
            </w:r>
            <w:r>
              <w:rPr>
                <w:rFonts w:eastAsiaTheme="minorEastAsia"/>
                <w:noProof/>
                <w:kern w:val="2"/>
                <w:sz w:val="24"/>
                <w:szCs w:val="24"/>
                <w:lang w:eastAsia="es-ES"/>
                <w14:ligatures w14:val="standardContextual"/>
              </w:rPr>
              <w:tab/>
            </w:r>
            <w:r w:rsidRPr="00A5502F">
              <w:rPr>
                <w:rStyle w:val="Hipervnculo"/>
                <w:noProof/>
              </w:rPr>
              <w:t>Resolución por combinatoria 1D</w:t>
            </w:r>
            <w:r>
              <w:rPr>
                <w:noProof/>
                <w:webHidden/>
              </w:rPr>
              <w:tab/>
            </w:r>
            <w:r>
              <w:rPr>
                <w:noProof/>
                <w:webHidden/>
              </w:rPr>
              <w:fldChar w:fldCharType="begin"/>
            </w:r>
            <w:r>
              <w:rPr>
                <w:noProof/>
                <w:webHidden/>
              </w:rPr>
              <w:instrText xml:space="preserve"> PAGEREF _Toc199704563 \h </w:instrText>
            </w:r>
            <w:r>
              <w:rPr>
                <w:noProof/>
                <w:webHidden/>
              </w:rPr>
            </w:r>
            <w:r>
              <w:rPr>
                <w:noProof/>
                <w:webHidden/>
              </w:rPr>
              <w:fldChar w:fldCharType="separate"/>
            </w:r>
            <w:r>
              <w:rPr>
                <w:noProof/>
                <w:webHidden/>
              </w:rPr>
              <w:t>5</w:t>
            </w:r>
            <w:r>
              <w:rPr>
                <w:noProof/>
                <w:webHidden/>
              </w:rPr>
              <w:fldChar w:fldCharType="end"/>
            </w:r>
          </w:hyperlink>
        </w:p>
        <w:p w14:paraId="41C9C4CE" w14:textId="78FFD063"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64" w:history="1">
            <w:r w:rsidRPr="00A5502F">
              <w:rPr>
                <w:rStyle w:val="Hipervnculo"/>
                <w:noProof/>
              </w:rPr>
              <w:t>2.2.2</w:t>
            </w:r>
            <w:r>
              <w:rPr>
                <w:rFonts w:eastAsiaTheme="minorEastAsia"/>
                <w:noProof/>
                <w:kern w:val="2"/>
                <w:sz w:val="24"/>
                <w:szCs w:val="24"/>
                <w:lang w:eastAsia="es-ES"/>
                <w14:ligatures w14:val="standardContextual"/>
              </w:rPr>
              <w:tab/>
            </w:r>
            <w:r w:rsidRPr="00A5502F">
              <w:rPr>
                <w:rStyle w:val="Hipervnculo"/>
                <w:noProof/>
              </w:rPr>
              <w:t>Modelo de Ising en 2D</w:t>
            </w:r>
            <w:r>
              <w:rPr>
                <w:noProof/>
                <w:webHidden/>
              </w:rPr>
              <w:tab/>
            </w:r>
            <w:r>
              <w:rPr>
                <w:noProof/>
                <w:webHidden/>
              </w:rPr>
              <w:fldChar w:fldCharType="begin"/>
            </w:r>
            <w:r>
              <w:rPr>
                <w:noProof/>
                <w:webHidden/>
              </w:rPr>
              <w:instrText xml:space="preserve"> PAGEREF _Toc199704564 \h </w:instrText>
            </w:r>
            <w:r>
              <w:rPr>
                <w:noProof/>
                <w:webHidden/>
              </w:rPr>
            </w:r>
            <w:r>
              <w:rPr>
                <w:noProof/>
                <w:webHidden/>
              </w:rPr>
              <w:fldChar w:fldCharType="separate"/>
            </w:r>
            <w:r>
              <w:rPr>
                <w:noProof/>
                <w:webHidden/>
              </w:rPr>
              <w:t>8</w:t>
            </w:r>
            <w:r>
              <w:rPr>
                <w:noProof/>
                <w:webHidden/>
              </w:rPr>
              <w:fldChar w:fldCharType="end"/>
            </w:r>
          </w:hyperlink>
        </w:p>
        <w:p w14:paraId="748FD871" w14:textId="22449E0B" w:rsidR="0002273D" w:rsidRDefault="0002273D">
          <w:pPr>
            <w:pStyle w:val="TDC2"/>
            <w:rPr>
              <w:rFonts w:eastAsiaTheme="minorEastAsia"/>
              <w:bCs w:val="0"/>
              <w:noProof/>
              <w:kern w:val="2"/>
              <w:sz w:val="24"/>
              <w:szCs w:val="24"/>
              <w:lang w:eastAsia="es-ES"/>
              <w14:ligatures w14:val="standardContextual"/>
            </w:rPr>
          </w:pPr>
          <w:hyperlink w:anchor="_Toc199704565" w:history="1">
            <w:r w:rsidRPr="00A5502F">
              <w:rPr>
                <w:rStyle w:val="Hipervnculo"/>
                <w:noProof/>
              </w:rPr>
              <w:t>2.3</w:t>
            </w:r>
            <w:r>
              <w:rPr>
                <w:rFonts w:eastAsiaTheme="minorEastAsia"/>
                <w:bCs w:val="0"/>
                <w:noProof/>
                <w:kern w:val="2"/>
                <w:sz w:val="24"/>
                <w:szCs w:val="24"/>
                <w:lang w:eastAsia="es-ES"/>
                <w14:ligatures w14:val="standardContextual"/>
              </w:rPr>
              <w:tab/>
            </w:r>
            <w:r w:rsidRPr="00A5502F">
              <w:rPr>
                <w:rStyle w:val="Hipervnculo"/>
                <w:noProof/>
              </w:rPr>
              <w:t>Método de Montecarlo</w:t>
            </w:r>
            <w:r>
              <w:rPr>
                <w:noProof/>
                <w:webHidden/>
              </w:rPr>
              <w:tab/>
            </w:r>
            <w:r>
              <w:rPr>
                <w:noProof/>
                <w:webHidden/>
              </w:rPr>
              <w:fldChar w:fldCharType="begin"/>
            </w:r>
            <w:r>
              <w:rPr>
                <w:noProof/>
                <w:webHidden/>
              </w:rPr>
              <w:instrText xml:space="preserve"> PAGEREF _Toc199704565 \h </w:instrText>
            </w:r>
            <w:r>
              <w:rPr>
                <w:noProof/>
                <w:webHidden/>
              </w:rPr>
            </w:r>
            <w:r>
              <w:rPr>
                <w:noProof/>
                <w:webHidden/>
              </w:rPr>
              <w:fldChar w:fldCharType="separate"/>
            </w:r>
            <w:r>
              <w:rPr>
                <w:noProof/>
                <w:webHidden/>
              </w:rPr>
              <w:t>9</w:t>
            </w:r>
            <w:r>
              <w:rPr>
                <w:noProof/>
                <w:webHidden/>
              </w:rPr>
              <w:fldChar w:fldCharType="end"/>
            </w:r>
          </w:hyperlink>
        </w:p>
        <w:p w14:paraId="4D6F5D70" w14:textId="07138877"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66" w:history="1">
            <w:r w:rsidRPr="00A5502F">
              <w:rPr>
                <w:rStyle w:val="Hipervnculo"/>
                <w:noProof/>
              </w:rPr>
              <w:t>2.3.1</w:t>
            </w:r>
            <w:r>
              <w:rPr>
                <w:rFonts w:eastAsiaTheme="minorEastAsia"/>
                <w:noProof/>
                <w:kern w:val="2"/>
                <w:sz w:val="24"/>
                <w:szCs w:val="24"/>
                <w:lang w:eastAsia="es-ES"/>
                <w14:ligatures w14:val="standardContextual"/>
              </w:rPr>
              <w:tab/>
            </w:r>
            <w:r w:rsidRPr="00A5502F">
              <w:rPr>
                <w:rStyle w:val="Hipervnculo"/>
                <w:noProof/>
              </w:rPr>
              <w:t>Algoritmo de metropolis</w:t>
            </w:r>
            <w:r>
              <w:rPr>
                <w:noProof/>
                <w:webHidden/>
              </w:rPr>
              <w:tab/>
            </w:r>
            <w:r>
              <w:rPr>
                <w:noProof/>
                <w:webHidden/>
              </w:rPr>
              <w:fldChar w:fldCharType="begin"/>
            </w:r>
            <w:r>
              <w:rPr>
                <w:noProof/>
                <w:webHidden/>
              </w:rPr>
              <w:instrText xml:space="preserve"> PAGEREF _Toc199704566 \h </w:instrText>
            </w:r>
            <w:r>
              <w:rPr>
                <w:noProof/>
                <w:webHidden/>
              </w:rPr>
            </w:r>
            <w:r>
              <w:rPr>
                <w:noProof/>
                <w:webHidden/>
              </w:rPr>
              <w:fldChar w:fldCharType="separate"/>
            </w:r>
            <w:r>
              <w:rPr>
                <w:noProof/>
                <w:webHidden/>
              </w:rPr>
              <w:t>11</w:t>
            </w:r>
            <w:r>
              <w:rPr>
                <w:noProof/>
                <w:webHidden/>
              </w:rPr>
              <w:fldChar w:fldCharType="end"/>
            </w:r>
          </w:hyperlink>
        </w:p>
        <w:p w14:paraId="44606B3A" w14:textId="6D195959" w:rsidR="0002273D" w:rsidRDefault="0002273D">
          <w:pPr>
            <w:pStyle w:val="TDC1"/>
            <w:rPr>
              <w:rFonts w:eastAsiaTheme="minorEastAsia"/>
              <w:bCs w:val="0"/>
              <w:iCs w:val="0"/>
              <w:kern w:val="2"/>
              <w:lang w:eastAsia="es-ES"/>
              <w14:ligatures w14:val="standardContextual"/>
            </w:rPr>
          </w:pPr>
          <w:hyperlink w:anchor="_Toc199704567" w:history="1">
            <w:r w:rsidRPr="00A5502F">
              <w:rPr>
                <w:rStyle w:val="Hipervnculo"/>
              </w:rPr>
              <w:t>Capítulo 3 Análisis de datos obtenidos de la evasión fiscal</w:t>
            </w:r>
            <w:r>
              <w:rPr>
                <w:webHidden/>
              </w:rPr>
              <w:tab/>
            </w:r>
            <w:r>
              <w:rPr>
                <w:webHidden/>
              </w:rPr>
              <w:fldChar w:fldCharType="begin"/>
            </w:r>
            <w:r>
              <w:rPr>
                <w:webHidden/>
              </w:rPr>
              <w:instrText xml:space="preserve"> PAGEREF _Toc199704567 \h </w:instrText>
            </w:r>
            <w:r>
              <w:rPr>
                <w:webHidden/>
              </w:rPr>
            </w:r>
            <w:r>
              <w:rPr>
                <w:webHidden/>
              </w:rPr>
              <w:fldChar w:fldCharType="separate"/>
            </w:r>
            <w:r>
              <w:rPr>
                <w:webHidden/>
              </w:rPr>
              <w:t>13</w:t>
            </w:r>
            <w:r>
              <w:rPr>
                <w:webHidden/>
              </w:rPr>
              <w:fldChar w:fldCharType="end"/>
            </w:r>
          </w:hyperlink>
        </w:p>
        <w:p w14:paraId="41FE6C3B" w14:textId="224661A0" w:rsidR="0002273D" w:rsidRDefault="0002273D">
          <w:pPr>
            <w:pStyle w:val="TDC2"/>
            <w:rPr>
              <w:rFonts w:eastAsiaTheme="minorEastAsia"/>
              <w:bCs w:val="0"/>
              <w:noProof/>
              <w:kern w:val="2"/>
              <w:sz w:val="24"/>
              <w:szCs w:val="24"/>
              <w:lang w:eastAsia="es-ES"/>
              <w14:ligatures w14:val="standardContextual"/>
            </w:rPr>
          </w:pPr>
          <w:hyperlink w:anchor="_Toc199704568" w:history="1">
            <w:r w:rsidRPr="00A5502F">
              <w:rPr>
                <w:rStyle w:val="Hipervnculo"/>
                <w:noProof/>
              </w:rPr>
              <w:t>3.1</w:t>
            </w:r>
            <w:r>
              <w:rPr>
                <w:rFonts w:eastAsiaTheme="minorEastAsia"/>
                <w:bCs w:val="0"/>
                <w:noProof/>
                <w:kern w:val="2"/>
                <w:sz w:val="24"/>
                <w:szCs w:val="24"/>
                <w:lang w:eastAsia="es-ES"/>
                <w14:ligatures w14:val="standardContextual"/>
              </w:rPr>
              <w:tab/>
            </w:r>
            <w:r w:rsidRPr="00A5502F">
              <w:rPr>
                <w:rStyle w:val="Hipervnculo"/>
                <w:noProof/>
              </w:rPr>
              <w:t>Datos Reino Unido</w:t>
            </w:r>
            <w:r>
              <w:rPr>
                <w:noProof/>
                <w:webHidden/>
              </w:rPr>
              <w:tab/>
            </w:r>
            <w:r>
              <w:rPr>
                <w:noProof/>
                <w:webHidden/>
              </w:rPr>
              <w:fldChar w:fldCharType="begin"/>
            </w:r>
            <w:r>
              <w:rPr>
                <w:noProof/>
                <w:webHidden/>
              </w:rPr>
              <w:instrText xml:space="preserve"> PAGEREF _Toc199704568 \h </w:instrText>
            </w:r>
            <w:r>
              <w:rPr>
                <w:noProof/>
                <w:webHidden/>
              </w:rPr>
            </w:r>
            <w:r>
              <w:rPr>
                <w:noProof/>
                <w:webHidden/>
              </w:rPr>
              <w:fldChar w:fldCharType="separate"/>
            </w:r>
            <w:r>
              <w:rPr>
                <w:noProof/>
                <w:webHidden/>
              </w:rPr>
              <w:t>13</w:t>
            </w:r>
            <w:r>
              <w:rPr>
                <w:noProof/>
                <w:webHidden/>
              </w:rPr>
              <w:fldChar w:fldCharType="end"/>
            </w:r>
          </w:hyperlink>
        </w:p>
        <w:p w14:paraId="588AFD4E" w14:textId="2A8D6A62"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69" w:history="1">
            <w:r w:rsidRPr="00A5502F">
              <w:rPr>
                <w:rStyle w:val="Hipervnculo"/>
                <w:noProof/>
              </w:rPr>
              <w:t>3.1.1</w:t>
            </w:r>
            <w:r>
              <w:rPr>
                <w:rFonts w:eastAsiaTheme="minorEastAsia"/>
                <w:noProof/>
                <w:kern w:val="2"/>
                <w:sz w:val="24"/>
                <w:szCs w:val="24"/>
                <w:lang w:eastAsia="es-ES"/>
                <w14:ligatures w14:val="standardContextual"/>
              </w:rPr>
              <w:tab/>
            </w:r>
            <w:r w:rsidRPr="00A5502F">
              <w:rPr>
                <w:rStyle w:val="Hipervnculo"/>
                <w:noProof/>
              </w:rPr>
              <w:t>Datos España y Europa</w:t>
            </w:r>
            <w:r>
              <w:rPr>
                <w:noProof/>
                <w:webHidden/>
              </w:rPr>
              <w:tab/>
            </w:r>
            <w:r>
              <w:rPr>
                <w:noProof/>
                <w:webHidden/>
              </w:rPr>
              <w:fldChar w:fldCharType="begin"/>
            </w:r>
            <w:r>
              <w:rPr>
                <w:noProof/>
                <w:webHidden/>
              </w:rPr>
              <w:instrText xml:space="preserve"> PAGEREF _Toc199704569 \h </w:instrText>
            </w:r>
            <w:r>
              <w:rPr>
                <w:noProof/>
                <w:webHidden/>
              </w:rPr>
            </w:r>
            <w:r>
              <w:rPr>
                <w:noProof/>
                <w:webHidden/>
              </w:rPr>
              <w:fldChar w:fldCharType="separate"/>
            </w:r>
            <w:r>
              <w:rPr>
                <w:noProof/>
                <w:webHidden/>
              </w:rPr>
              <w:t>16</w:t>
            </w:r>
            <w:r>
              <w:rPr>
                <w:noProof/>
                <w:webHidden/>
              </w:rPr>
              <w:fldChar w:fldCharType="end"/>
            </w:r>
          </w:hyperlink>
        </w:p>
        <w:p w14:paraId="67248C6C" w14:textId="6E0E5A32" w:rsidR="0002273D" w:rsidRDefault="0002273D">
          <w:pPr>
            <w:pStyle w:val="TDC1"/>
            <w:rPr>
              <w:rFonts w:eastAsiaTheme="minorEastAsia"/>
              <w:bCs w:val="0"/>
              <w:iCs w:val="0"/>
              <w:kern w:val="2"/>
              <w:lang w:eastAsia="es-ES"/>
              <w14:ligatures w14:val="standardContextual"/>
            </w:rPr>
          </w:pPr>
          <w:hyperlink w:anchor="_Toc199704570" w:history="1">
            <w:r w:rsidRPr="00A5502F">
              <w:rPr>
                <w:rStyle w:val="Hipervnculo"/>
              </w:rPr>
              <w:t>Capítulo 4 Aplicación del Modelo de Ising a la Evasión Fiscal</w:t>
            </w:r>
            <w:r>
              <w:rPr>
                <w:webHidden/>
              </w:rPr>
              <w:tab/>
            </w:r>
            <w:r>
              <w:rPr>
                <w:webHidden/>
              </w:rPr>
              <w:fldChar w:fldCharType="begin"/>
            </w:r>
            <w:r>
              <w:rPr>
                <w:webHidden/>
              </w:rPr>
              <w:instrText xml:space="preserve"> PAGEREF _Toc199704570 \h </w:instrText>
            </w:r>
            <w:r>
              <w:rPr>
                <w:webHidden/>
              </w:rPr>
            </w:r>
            <w:r>
              <w:rPr>
                <w:webHidden/>
              </w:rPr>
              <w:fldChar w:fldCharType="separate"/>
            </w:r>
            <w:r>
              <w:rPr>
                <w:webHidden/>
              </w:rPr>
              <w:t>19</w:t>
            </w:r>
            <w:r>
              <w:rPr>
                <w:webHidden/>
              </w:rPr>
              <w:fldChar w:fldCharType="end"/>
            </w:r>
          </w:hyperlink>
        </w:p>
        <w:p w14:paraId="002C0B71" w14:textId="21A7328A" w:rsidR="0002273D" w:rsidRDefault="0002273D">
          <w:pPr>
            <w:pStyle w:val="TDC2"/>
            <w:rPr>
              <w:rFonts w:eastAsiaTheme="minorEastAsia"/>
              <w:bCs w:val="0"/>
              <w:noProof/>
              <w:kern w:val="2"/>
              <w:sz w:val="24"/>
              <w:szCs w:val="24"/>
              <w:lang w:eastAsia="es-ES"/>
              <w14:ligatures w14:val="standardContextual"/>
            </w:rPr>
          </w:pPr>
          <w:hyperlink w:anchor="_Toc199704571" w:history="1">
            <w:r w:rsidRPr="00A5502F">
              <w:rPr>
                <w:rStyle w:val="Hipervnculo"/>
                <w:noProof/>
              </w:rPr>
              <w:t>4.1</w:t>
            </w:r>
            <w:r>
              <w:rPr>
                <w:rFonts w:eastAsiaTheme="minorEastAsia"/>
                <w:bCs w:val="0"/>
                <w:noProof/>
                <w:kern w:val="2"/>
                <w:sz w:val="24"/>
                <w:szCs w:val="24"/>
                <w:lang w:eastAsia="es-ES"/>
                <w14:ligatures w14:val="standardContextual"/>
              </w:rPr>
              <w:tab/>
            </w:r>
            <w:r w:rsidRPr="00A5502F">
              <w:rPr>
                <w:rStyle w:val="Hipervnculo"/>
                <w:noProof/>
              </w:rPr>
              <w:t>Adaptación del Modelo de Ising al estudio de la evasión fiscal</w:t>
            </w:r>
            <w:r>
              <w:rPr>
                <w:noProof/>
                <w:webHidden/>
              </w:rPr>
              <w:tab/>
            </w:r>
            <w:r>
              <w:rPr>
                <w:noProof/>
                <w:webHidden/>
              </w:rPr>
              <w:fldChar w:fldCharType="begin"/>
            </w:r>
            <w:r>
              <w:rPr>
                <w:noProof/>
                <w:webHidden/>
              </w:rPr>
              <w:instrText xml:space="preserve"> PAGEREF _Toc199704571 \h </w:instrText>
            </w:r>
            <w:r>
              <w:rPr>
                <w:noProof/>
                <w:webHidden/>
              </w:rPr>
            </w:r>
            <w:r>
              <w:rPr>
                <w:noProof/>
                <w:webHidden/>
              </w:rPr>
              <w:fldChar w:fldCharType="separate"/>
            </w:r>
            <w:r>
              <w:rPr>
                <w:noProof/>
                <w:webHidden/>
              </w:rPr>
              <w:t>19</w:t>
            </w:r>
            <w:r>
              <w:rPr>
                <w:noProof/>
                <w:webHidden/>
              </w:rPr>
              <w:fldChar w:fldCharType="end"/>
            </w:r>
          </w:hyperlink>
        </w:p>
        <w:p w14:paraId="34BF995C" w14:textId="16927D8F" w:rsidR="0002273D" w:rsidRDefault="0002273D">
          <w:pPr>
            <w:pStyle w:val="TDC2"/>
            <w:rPr>
              <w:rFonts w:eastAsiaTheme="minorEastAsia"/>
              <w:bCs w:val="0"/>
              <w:noProof/>
              <w:kern w:val="2"/>
              <w:sz w:val="24"/>
              <w:szCs w:val="24"/>
              <w:lang w:eastAsia="es-ES"/>
              <w14:ligatures w14:val="standardContextual"/>
            </w:rPr>
          </w:pPr>
          <w:hyperlink w:anchor="_Toc199704572" w:history="1">
            <w:r w:rsidRPr="00A5502F">
              <w:rPr>
                <w:rStyle w:val="Hipervnculo"/>
                <w:noProof/>
              </w:rPr>
              <w:t>4.2</w:t>
            </w:r>
            <w:r>
              <w:rPr>
                <w:rFonts w:eastAsiaTheme="minorEastAsia"/>
                <w:bCs w:val="0"/>
                <w:noProof/>
                <w:kern w:val="2"/>
                <w:sz w:val="24"/>
                <w:szCs w:val="24"/>
                <w:lang w:eastAsia="es-ES"/>
                <w14:ligatures w14:val="standardContextual"/>
              </w:rPr>
              <w:tab/>
            </w:r>
            <w:r w:rsidRPr="00A5502F">
              <w:rPr>
                <w:rStyle w:val="Hipervnculo"/>
                <w:noProof/>
              </w:rPr>
              <w:t>Simulación y Análisis de resultados</w:t>
            </w:r>
            <w:r>
              <w:rPr>
                <w:noProof/>
                <w:webHidden/>
              </w:rPr>
              <w:tab/>
            </w:r>
            <w:r>
              <w:rPr>
                <w:noProof/>
                <w:webHidden/>
              </w:rPr>
              <w:fldChar w:fldCharType="begin"/>
            </w:r>
            <w:r>
              <w:rPr>
                <w:noProof/>
                <w:webHidden/>
              </w:rPr>
              <w:instrText xml:space="preserve"> PAGEREF _Toc199704572 \h </w:instrText>
            </w:r>
            <w:r>
              <w:rPr>
                <w:noProof/>
                <w:webHidden/>
              </w:rPr>
            </w:r>
            <w:r>
              <w:rPr>
                <w:noProof/>
                <w:webHidden/>
              </w:rPr>
              <w:fldChar w:fldCharType="separate"/>
            </w:r>
            <w:r>
              <w:rPr>
                <w:noProof/>
                <w:webHidden/>
              </w:rPr>
              <w:t>22</w:t>
            </w:r>
            <w:r>
              <w:rPr>
                <w:noProof/>
                <w:webHidden/>
              </w:rPr>
              <w:fldChar w:fldCharType="end"/>
            </w:r>
          </w:hyperlink>
        </w:p>
        <w:p w14:paraId="356B37D0" w14:textId="2CE3C4AC"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73" w:history="1">
            <w:r w:rsidRPr="00A5502F">
              <w:rPr>
                <w:rStyle w:val="Hipervnculo"/>
                <w:noProof/>
              </w:rPr>
              <w:t>4.2.1</w:t>
            </w:r>
            <w:r>
              <w:rPr>
                <w:rFonts w:eastAsiaTheme="minorEastAsia"/>
                <w:noProof/>
                <w:kern w:val="2"/>
                <w:sz w:val="24"/>
                <w:szCs w:val="24"/>
                <w:lang w:eastAsia="es-ES"/>
                <w14:ligatures w14:val="standardContextual"/>
              </w:rPr>
              <w:tab/>
            </w:r>
            <w:r w:rsidRPr="00A5502F">
              <w:rPr>
                <w:rStyle w:val="Hipervnculo"/>
                <w:noProof/>
              </w:rPr>
              <w:t>Simulación inicial estática</w:t>
            </w:r>
            <w:r>
              <w:rPr>
                <w:noProof/>
                <w:webHidden/>
              </w:rPr>
              <w:tab/>
            </w:r>
            <w:r>
              <w:rPr>
                <w:noProof/>
                <w:webHidden/>
              </w:rPr>
              <w:fldChar w:fldCharType="begin"/>
            </w:r>
            <w:r>
              <w:rPr>
                <w:noProof/>
                <w:webHidden/>
              </w:rPr>
              <w:instrText xml:space="preserve"> PAGEREF _Toc199704573 \h </w:instrText>
            </w:r>
            <w:r>
              <w:rPr>
                <w:noProof/>
                <w:webHidden/>
              </w:rPr>
            </w:r>
            <w:r>
              <w:rPr>
                <w:noProof/>
                <w:webHidden/>
              </w:rPr>
              <w:fldChar w:fldCharType="separate"/>
            </w:r>
            <w:r>
              <w:rPr>
                <w:noProof/>
                <w:webHidden/>
              </w:rPr>
              <w:t>23</w:t>
            </w:r>
            <w:r>
              <w:rPr>
                <w:noProof/>
                <w:webHidden/>
              </w:rPr>
              <w:fldChar w:fldCharType="end"/>
            </w:r>
          </w:hyperlink>
        </w:p>
        <w:p w14:paraId="6D49032C" w14:textId="540BC11C"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74" w:history="1">
            <w:r w:rsidRPr="00A5502F">
              <w:rPr>
                <w:rStyle w:val="Hipervnculo"/>
                <w:noProof/>
              </w:rPr>
              <w:t>4.2.2</w:t>
            </w:r>
            <w:r>
              <w:rPr>
                <w:rFonts w:eastAsiaTheme="minorEastAsia"/>
                <w:noProof/>
                <w:kern w:val="2"/>
                <w:sz w:val="24"/>
                <w:szCs w:val="24"/>
                <w:lang w:eastAsia="es-ES"/>
                <w14:ligatures w14:val="standardContextual"/>
              </w:rPr>
              <w:tab/>
            </w:r>
            <w:r w:rsidRPr="00A5502F">
              <w:rPr>
                <w:rStyle w:val="Hipervnculo"/>
                <w:noProof/>
              </w:rPr>
              <w:t>Simulación dinámica</w:t>
            </w:r>
            <w:r>
              <w:rPr>
                <w:noProof/>
                <w:webHidden/>
              </w:rPr>
              <w:tab/>
            </w:r>
            <w:r>
              <w:rPr>
                <w:noProof/>
                <w:webHidden/>
              </w:rPr>
              <w:fldChar w:fldCharType="begin"/>
            </w:r>
            <w:r>
              <w:rPr>
                <w:noProof/>
                <w:webHidden/>
              </w:rPr>
              <w:instrText xml:space="preserve"> PAGEREF _Toc199704574 \h </w:instrText>
            </w:r>
            <w:r>
              <w:rPr>
                <w:noProof/>
                <w:webHidden/>
              </w:rPr>
            </w:r>
            <w:r>
              <w:rPr>
                <w:noProof/>
                <w:webHidden/>
              </w:rPr>
              <w:fldChar w:fldCharType="separate"/>
            </w:r>
            <w:r>
              <w:rPr>
                <w:noProof/>
                <w:webHidden/>
              </w:rPr>
              <w:t>25</w:t>
            </w:r>
            <w:r>
              <w:rPr>
                <w:noProof/>
                <w:webHidden/>
              </w:rPr>
              <w:fldChar w:fldCharType="end"/>
            </w:r>
          </w:hyperlink>
        </w:p>
        <w:p w14:paraId="250B9C4F" w14:textId="25811E71"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75" w:history="1">
            <w:r w:rsidRPr="00A5502F">
              <w:rPr>
                <w:rStyle w:val="Hipervnculo"/>
                <w:noProof/>
              </w:rPr>
              <w:t>4.2.3</w:t>
            </w:r>
            <w:r>
              <w:rPr>
                <w:rFonts w:eastAsiaTheme="minorEastAsia"/>
                <w:noProof/>
                <w:kern w:val="2"/>
                <w:sz w:val="24"/>
                <w:szCs w:val="24"/>
                <w:lang w:eastAsia="es-ES"/>
                <w14:ligatures w14:val="standardContextual"/>
              </w:rPr>
              <w:tab/>
            </w:r>
            <w:r w:rsidRPr="00A5502F">
              <w:rPr>
                <w:rStyle w:val="Hipervnculo"/>
                <w:noProof/>
              </w:rPr>
              <w:t>Simulación basada en el VAT Gap</w:t>
            </w:r>
            <w:r>
              <w:rPr>
                <w:noProof/>
                <w:webHidden/>
              </w:rPr>
              <w:tab/>
            </w:r>
            <w:r>
              <w:rPr>
                <w:noProof/>
                <w:webHidden/>
              </w:rPr>
              <w:fldChar w:fldCharType="begin"/>
            </w:r>
            <w:r>
              <w:rPr>
                <w:noProof/>
                <w:webHidden/>
              </w:rPr>
              <w:instrText xml:space="preserve"> PAGEREF _Toc199704575 \h </w:instrText>
            </w:r>
            <w:r>
              <w:rPr>
                <w:noProof/>
                <w:webHidden/>
              </w:rPr>
            </w:r>
            <w:r>
              <w:rPr>
                <w:noProof/>
                <w:webHidden/>
              </w:rPr>
              <w:fldChar w:fldCharType="separate"/>
            </w:r>
            <w:r>
              <w:rPr>
                <w:noProof/>
                <w:webHidden/>
              </w:rPr>
              <w:t>27</w:t>
            </w:r>
            <w:r>
              <w:rPr>
                <w:noProof/>
                <w:webHidden/>
              </w:rPr>
              <w:fldChar w:fldCharType="end"/>
            </w:r>
          </w:hyperlink>
        </w:p>
        <w:p w14:paraId="497836C6" w14:textId="027A5497" w:rsidR="0002273D" w:rsidRDefault="0002273D">
          <w:pPr>
            <w:pStyle w:val="TDC3"/>
            <w:tabs>
              <w:tab w:val="left" w:pos="1440"/>
              <w:tab w:val="right" w:leader="dot" w:pos="7921"/>
            </w:tabs>
            <w:rPr>
              <w:rFonts w:eastAsiaTheme="minorEastAsia"/>
              <w:noProof/>
              <w:kern w:val="2"/>
              <w:sz w:val="24"/>
              <w:szCs w:val="24"/>
              <w:lang w:eastAsia="es-ES"/>
              <w14:ligatures w14:val="standardContextual"/>
            </w:rPr>
          </w:pPr>
          <w:hyperlink w:anchor="_Toc199704576" w:history="1">
            <w:r w:rsidRPr="00A5502F">
              <w:rPr>
                <w:rStyle w:val="Hipervnculo"/>
                <w:noProof/>
              </w:rPr>
              <w:t>4.2.4</w:t>
            </w:r>
            <w:r>
              <w:rPr>
                <w:rFonts w:eastAsiaTheme="minorEastAsia"/>
                <w:noProof/>
                <w:kern w:val="2"/>
                <w:sz w:val="24"/>
                <w:szCs w:val="24"/>
                <w:lang w:eastAsia="es-ES"/>
                <w14:ligatures w14:val="standardContextual"/>
              </w:rPr>
              <w:tab/>
            </w:r>
            <w:r w:rsidRPr="00A5502F">
              <w:rPr>
                <w:rStyle w:val="Hipervnculo"/>
                <w:noProof/>
              </w:rPr>
              <w:t>Simulación basada en el Tax Gap</w:t>
            </w:r>
            <w:r>
              <w:rPr>
                <w:noProof/>
                <w:webHidden/>
              </w:rPr>
              <w:tab/>
            </w:r>
            <w:r>
              <w:rPr>
                <w:noProof/>
                <w:webHidden/>
              </w:rPr>
              <w:fldChar w:fldCharType="begin"/>
            </w:r>
            <w:r>
              <w:rPr>
                <w:noProof/>
                <w:webHidden/>
              </w:rPr>
              <w:instrText xml:space="preserve"> PAGEREF _Toc199704576 \h </w:instrText>
            </w:r>
            <w:r>
              <w:rPr>
                <w:noProof/>
                <w:webHidden/>
              </w:rPr>
            </w:r>
            <w:r>
              <w:rPr>
                <w:noProof/>
                <w:webHidden/>
              </w:rPr>
              <w:fldChar w:fldCharType="separate"/>
            </w:r>
            <w:r>
              <w:rPr>
                <w:noProof/>
                <w:webHidden/>
              </w:rPr>
              <w:t>28</w:t>
            </w:r>
            <w:r>
              <w:rPr>
                <w:noProof/>
                <w:webHidden/>
              </w:rPr>
              <w:fldChar w:fldCharType="end"/>
            </w:r>
          </w:hyperlink>
        </w:p>
        <w:p w14:paraId="23DA2CFD" w14:textId="22C7AE72" w:rsidR="0002273D" w:rsidRDefault="0002273D">
          <w:pPr>
            <w:pStyle w:val="TDC1"/>
            <w:rPr>
              <w:rFonts w:eastAsiaTheme="minorEastAsia"/>
              <w:bCs w:val="0"/>
              <w:iCs w:val="0"/>
              <w:kern w:val="2"/>
              <w:lang w:eastAsia="es-ES"/>
              <w14:ligatures w14:val="standardContextual"/>
            </w:rPr>
          </w:pPr>
          <w:hyperlink w:anchor="_Toc199704577" w:history="1">
            <w:r w:rsidRPr="00A5502F">
              <w:rPr>
                <w:rStyle w:val="Hipervnculo"/>
              </w:rPr>
              <w:t>Capítulo 5 Conclusiones y líneas futuras</w:t>
            </w:r>
            <w:r>
              <w:rPr>
                <w:webHidden/>
              </w:rPr>
              <w:tab/>
            </w:r>
            <w:r>
              <w:rPr>
                <w:webHidden/>
              </w:rPr>
              <w:fldChar w:fldCharType="begin"/>
            </w:r>
            <w:r>
              <w:rPr>
                <w:webHidden/>
              </w:rPr>
              <w:instrText xml:space="preserve"> PAGEREF _Toc199704577 \h </w:instrText>
            </w:r>
            <w:r>
              <w:rPr>
                <w:webHidden/>
              </w:rPr>
            </w:r>
            <w:r>
              <w:rPr>
                <w:webHidden/>
              </w:rPr>
              <w:fldChar w:fldCharType="separate"/>
            </w:r>
            <w:r>
              <w:rPr>
                <w:webHidden/>
              </w:rPr>
              <w:t>29</w:t>
            </w:r>
            <w:r>
              <w:rPr>
                <w:webHidden/>
              </w:rPr>
              <w:fldChar w:fldCharType="end"/>
            </w:r>
          </w:hyperlink>
        </w:p>
        <w:p w14:paraId="03FC9E56" w14:textId="6DBD3930" w:rsidR="0002273D" w:rsidRDefault="0002273D">
          <w:pPr>
            <w:pStyle w:val="TDC2"/>
            <w:rPr>
              <w:rFonts w:eastAsiaTheme="minorEastAsia"/>
              <w:bCs w:val="0"/>
              <w:noProof/>
              <w:kern w:val="2"/>
              <w:sz w:val="24"/>
              <w:szCs w:val="24"/>
              <w:lang w:eastAsia="es-ES"/>
              <w14:ligatures w14:val="standardContextual"/>
            </w:rPr>
          </w:pPr>
          <w:hyperlink w:anchor="_Toc199704578" w:history="1">
            <w:r w:rsidRPr="00A5502F">
              <w:rPr>
                <w:rStyle w:val="Hipervnculo"/>
                <w:noProof/>
              </w:rPr>
              <w:t>5.1</w:t>
            </w:r>
            <w:r>
              <w:rPr>
                <w:rFonts w:eastAsiaTheme="minorEastAsia"/>
                <w:bCs w:val="0"/>
                <w:noProof/>
                <w:kern w:val="2"/>
                <w:sz w:val="24"/>
                <w:szCs w:val="24"/>
                <w:lang w:eastAsia="es-ES"/>
                <w14:ligatures w14:val="standardContextual"/>
              </w:rPr>
              <w:tab/>
            </w:r>
            <w:r w:rsidRPr="00A5502F">
              <w:rPr>
                <w:rStyle w:val="Hipervnculo"/>
                <w:noProof/>
              </w:rPr>
              <w:t>Conclusiones</w:t>
            </w:r>
            <w:r>
              <w:rPr>
                <w:noProof/>
                <w:webHidden/>
              </w:rPr>
              <w:tab/>
            </w:r>
            <w:r>
              <w:rPr>
                <w:noProof/>
                <w:webHidden/>
              </w:rPr>
              <w:fldChar w:fldCharType="begin"/>
            </w:r>
            <w:r>
              <w:rPr>
                <w:noProof/>
                <w:webHidden/>
              </w:rPr>
              <w:instrText xml:space="preserve"> PAGEREF _Toc199704578 \h </w:instrText>
            </w:r>
            <w:r>
              <w:rPr>
                <w:noProof/>
                <w:webHidden/>
              </w:rPr>
            </w:r>
            <w:r>
              <w:rPr>
                <w:noProof/>
                <w:webHidden/>
              </w:rPr>
              <w:fldChar w:fldCharType="separate"/>
            </w:r>
            <w:r>
              <w:rPr>
                <w:noProof/>
                <w:webHidden/>
              </w:rPr>
              <w:t>29</w:t>
            </w:r>
            <w:r>
              <w:rPr>
                <w:noProof/>
                <w:webHidden/>
              </w:rPr>
              <w:fldChar w:fldCharType="end"/>
            </w:r>
          </w:hyperlink>
        </w:p>
        <w:p w14:paraId="0D52F41B" w14:textId="501DE4BA" w:rsidR="0002273D" w:rsidRDefault="0002273D">
          <w:pPr>
            <w:pStyle w:val="TDC2"/>
            <w:rPr>
              <w:rFonts w:eastAsiaTheme="minorEastAsia"/>
              <w:bCs w:val="0"/>
              <w:noProof/>
              <w:kern w:val="2"/>
              <w:sz w:val="24"/>
              <w:szCs w:val="24"/>
              <w:lang w:eastAsia="es-ES"/>
              <w14:ligatures w14:val="standardContextual"/>
            </w:rPr>
          </w:pPr>
          <w:hyperlink w:anchor="_Toc199704579" w:history="1">
            <w:r w:rsidRPr="00A5502F">
              <w:rPr>
                <w:rStyle w:val="Hipervnculo"/>
                <w:noProof/>
              </w:rPr>
              <w:t>5.2</w:t>
            </w:r>
            <w:r>
              <w:rPr>
                <w:rFonts w:eastAsiaTheme="minorEastAsia"/>
                <w:bCs w:val="0"/>
                <w:noProof/>
                <w:kern w:val="2"/>
                <w:sz w:val="24"/>
                <w:szCs w:val="24"/>
                <w:lang w:eastAsia="es-ES"/>
                <w14:ligatures w14:val="standardContextual"/>
              </w:rPr>
              <w:tab/>
            </w:r>
            <w:r w:rsidRPr="00A5502F">
              <w:rPr>
                <w:rStyle w:val="Hipervnculo"/>
                <w:noProof/>
              </w:rPr>
              <w:t>Líneas futuras</w:t>
            </w:r>
            <w:r>
              <w:rPr>
                <w:noProof/>
                <w:webHidden/>
              </w:rPr>
              <w:tab/>
            </w:r>
            <w:r>
              <w:rPr>
                <w:noProof/>
                <w:webHidden/>
              </w:rPr>
              <w:fldChar w:fldCharType="begin"/>
            </w:r>
            <w:r>
              <w:rPr>
                <w:noProof/>
                <w:webHidden/>
              </w:rPr>
              <w:instrText xml:space="preserve"> PAGEREF _Toc199704579 \h </w:instrText>
            </w:r>
            <w:r>
              <w:rPr>
                <w:noProof/>
                <w:webHidden/>
              </w:rPr>
            </w:r>
            <w:r>
              <w:rPr>
                <w:noProof/>
                <w:webHidden/>
              </w:rPr>
              <w:fldChar w:fldCharType="separate"/>
            </w:r>
            <w:r>
              <w:rPr>
                <w:noProof/>
                <w:webHidden/>
              </w:rPr>
              <w:t>29</w:t>
            </w:r>
            <w:r>
              <w:rPr>
                <w:noProof/>
                <w:webHidden/>
              </w:rPr>
              <w:fldChar w:fldCharType="end"/>
            </w:r>
          </w:hyperlink>
        </w:p>
        <w:p w14:paraId="426B5F63" w14:textId="1A57993D" w:rsidR="0002273D" w:rsidRDefault="0002273D">
          <w:pPr>
            <w:pStyle w:val="TDC1"/>
            <w:rPr>
              <w:rFonts w:eastAsiaTheme="minorEastAsia"/>
              <w:bCs w:val="0"/>
              <w:iCs w:val="0"/>
              <w:kern w:val="2"/>
              <w:lang w:eastAsia="es-ES"/>
              <w14:ligatures w14:val="standardContextual"/>
            </w:rPr>
          </w:pPr>
          <w:hyperlink w:anchor="_Toc199704580" w:history="1">
            <w:r w:rsidRPr="00A5502F">
              <w:rPr>
                <w:rStyle w:val="Hipervnculo"/>
              </w:rPr>
              <w:t>Bibliografía</w:t>
            </w:r>
            <w:r>
              <w:rPr>
                <w:webHidden/>
              </w:rPr>
              <w:tab/>
            </w:r>
            <w:r>
              <w:rPr>
                <w:webHidden/>
              </w:rPr>
              <w:fldChar w:fldCharType="begin"/>
            </w:r>
            <w:r>
              <w:rPr>
                <w:webHidden/>
              </w:rPr>
              <w:instrText xml:space="preserve"> PAGEREF _Toc199704580 \h </w:instrText>
            </w:r>
            <w:r>
              <w:rPr>
                <w:webHidden/>
              </w:rPr>
            </w:r>
            <w:r>
              <w:rPr>
                <w:webHidden/>
              </w:rPr>
              <w:fldChar w:fldCharType="separate"/>
            </w:r>
            <w:r>
              <w:rPr>
                <w:webHidden/>
              </w:rPr>
              <w:t>31</w:t>
            </w:r>
            <w:r>
              <w:rPr>
                <w:webHidden/>
              </w:rPr>
              <w:fldChar w:fldCharType="end"/>
            </w:r>
          </w:hyperlink>
        </w:p>
        <w:p w14:paraId="2C373FEB" w14:textId="35CDEBF1" w:rsidR="0002273D" w:rsidRDefault="0002273D">
          <w:pPr>
            <w:pStyle w:val="TDC1"/>
            <w:rPr>
              <w:rFonts w:eastAsiaTheme="minorEastAsia"/>
              <w:bCs w:val="0"/>
              <w:iCs w:val="0"/>
              <w:kern w:val="2"/>
              <w:lang w:eastAsia="es-ES"/>
              <w14:ligatures w14:val="standardContextual"/>
            </w:rPr>
          </w:pPr>
          <w:hyperlink w:anchor="_Toc199704581" w:history="1">
            <w:r w:rsidRPr="00A5502F">
              <w:rPr>
                <w:rStyle w:val="Hipervnculo"/>
              </w:rPr>
              <w:t>Anexo I</w:t>
            </w:r>
            <w:r>
              <w:rPr>
                <w:webHidden/>
              </w:rPr>
              <w:tab/>
            </w:r>
            <w:r>
              <w:rPr>
                <w:webHidden/>
              </w:rPr>
              <w:fldChar w:fldCharType="begin"/>
            </w:r>
            <w:r>
              <w:rPr>
                <w:webHidden/>
              </w:rPr>
              <w:instrText xml:space="preserve"> PAGEREF _Toc199704581 \h </w:instrText>
            </w:r>
            <w:r>
              <w:rPr>
                <w:webHidden/>
              </w:rPr>
            </w:r>
            <w:r>
              <w:rPr>
                <w:webHidden/>
              </w:rPr>
              <w:fldChar w:fldCharType="separate"/>
            </w:r>
            <w:r>
              <w:rPr>
                <w:webHidden/>
              </w:rPr>
              <w:t>32</w:t>
            </w:r>
            <w:r>
              <w:rPr>
                <w:webHidden/>
              </w:rPr>
              <w:fldChar w:fldCharType="end"/>
            </w:r>
          </w:hyperlink>
        </w:p>
        <w:p w14:paraId="4C0392C1" w14:textId="5E9BE3E0" w:rsidR="00144295" w:rsidRDefault="003C3F39" w:rsidP="39E28D74">
          <w:pPr>
            <w:pStyle w:val="TDC1"/>
            <w:tabs>
              <w:tab w:val="clear" w:pos="8488"/>
              <w:tab w:val="right" w:leader="dot" w:pos="8490"/>
            </w:tabs>
            <w:rPr>
              <w:lang w:eastAsia="es-ES"/>
            </w:rPr>
          </w:pPr>
          <w:r>
            <w:fldChar w:fldCharType="end"/>
          </w:r>
        </w:p>
      </w:sdtContent>
    </w:sdt>
    <w:p w14:paraId="336B5692" w14:textId="77777777" w:rsidR="00D73855" w:rsidRDefault="00D73855" w:rsidP="00630A81">
      <w:pPr>
        <w:pStyle w:val="Ttulo"/>
        <w:sectPr w:rsidR="00D73855" w:rsidSect="00C804D3">
          <w:type w:val="oddPage"/>
          <w:pgSz w:w="11900" w:h="16840" w:code="9"/>
          <w:pgMar w:top="1985" w:right="1701" w:bottom="1417" w:left="1701" w:header="851" w:footer="851" w:gutter="567"/>
          <w:pgNumType w:fmt="upperRoman"/>
          <w:cols w:space="708"/>
          <w:titlePg/>
          <w:docGrid w:linePitch="360"/>
        </w:sectPr>
      </w:pPr>
    </w:p>
    <w:p w14:paraId="2BC38163" w14:textId="2B5693A8" w:rsidR="00D8720C" w:rsidRPr="00767F00" w:rsidRDefault="05D2736C" w:rsidP="00767F00">
      <w:pPr>
        <w:pStyle w:val="Ttulo"/>
      </w:pPr>
      <w:r>
        <w:lastRenderedPageBreak/>
        <w:t>Índice de ilustraciones</w:t>
      </w:r>
    </w:p>
    <w:p w14:paraId="478E9759" w14:textId="77777777" w:rsidR="00D8720C" w:rsidRDefault="00D8720C" w:rsidP="00337FBF"/>
    <w:p w14:paraId="1A0CFA52" w14:textId="208DF92D" w:rsidR="00991639" w:rsidRDefault="00991639">
      <w:pPr>
        <w:pStyle w:val="Tabladeilustraciones"/>
        <w:tabs>
          <w:tab w:val="right" w:leader="dot" w:pos="7921"/>
        </w:tabs>
        <w:rPr>
          <w:rFonts w:eastAsiaTheme="minorEastAsia"/>
          <w:noProof/>
          <w:kern w:val="2"/>
          <w:szCs w:val="24"/>
          <w:lang w:eastAsia="es-ES"/>
          <w14:ligatures w14:val="standardContextual"/>
        </w:rPr>
      </w:pPr>
      <w:r>
        <w:fldChar w:fldCharType="begin"/>
      </w:r>
      <w:r>
        <w:instrText xml:space="preserve"> TOC \h \z \c "Ilustración" </w:instrText>
      </w:r>
      <w:r>
        <w:fldChar w:fldCharType="separate"/>
      </w:r>
      <w:hyperlink w:anchor="_Toc201255652" w:history="1">
        <w:r w:rsidRPr="002A574F">
          <w:rPr>
            <w:rStyle w:val="Hipervnculo"/>
            <w:noProof/>
          </w:rPr>
          <w:t>Ilustración 1. Representación gráfica de los espines (elaboración propia utilizando Python)</w:t>
        </w:r>
        <w:r>
          <w:rPr>
            <w:noProof/>
            <w:webHidden/>
          </w:rPr>
          <w:tab/>
        </w:r>
        <w:r>
          <w:rPr>
            <w:noProof/>
            <w:webHidden/>
          </w:rPr>
          <w:fldChar w:fldCharType="begin"/>
        </w:r>
        <w:r>
          <w:rPr>
            <w:noProof/>
            <w:webHidden/>
          </w:rPr>
          <w:instrText xml:space="preserve"> PAGEREF _Toc201255652 \h </w:instrText>
        </w:r>
        <w:r>
          <w:rPr>
            <w:noProof/>
            <w:webHidden/>
          </w:rPr>
        </w:r>
        <w:r>
          <w:rPr>
            <w:noProof/>
            <w:webHidden/>
          </w:rPr>
          <w:fldChar w:fldCharType="separate"/>
        </w:r>
        <w:r>
          <w:rPr>
            <w:noProof/>
            <w:webHidden/>
          </w:rPr>
          <w:t>6</w:t>
        </w:r>
        <w:r>
          <w:rPr>
            <w:noProof/>
            <w:webHidden/>
          </w:rPr>
          <w:fldChar w:fldCharType="end"/>
        </w:r>
      </w:hyperlink>
    </w:p>
    <w:p w14:paraId="7EEBDFAC" w14:textId="7F85EDD3"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3" w:history="1">
        <w:r w:rsidRPr="002A574F">
          <w:rPr>
            <w:rStyle w:val="Hipervnculo"/>
            <w:noProof/>
          </w:rPr>
          <w:t>Ilustración 2. Cálculo del número pi por el método de Montecarlo (elaboración propia utilizando Python)</w:t>
        </w:r>
        <w:r>
          <w:rPr>
            <w:noProof/>
            <w:webHidden/>
          </w:rPr>
          <w:tab/>
        </w:r>
        <w:r>
          <w:rPr>
            <w:noProof/>
            <w:webHidden/>
          </w:rPr>
          <w:fldChar w:fldCharType="begin"/>
        </w:r>
        <w:r>
          <w:rPr>
            <w:noProof/>
            <w:webHidden/>
          </w:rPr>
          <w:instrText xml:space="preserve"> PAGEREF _Toc201255653 \h </w:instrText>
        </w:r>
        <w:r>
          <w:rPr>
            <w:noProof/>
            <w:webHidden/>
          </w:rPr>
        </w:r>
        <w:r>
          <w:rPr>
            <w:noProof/>
            <w:webHidden/>
          </w:rPr>
          <w:fldChar w:fldCharType="separate"/>
        </w:r>
        <w:r>
          <w:rPr>
            <w:noProof/>
            <w:webHidden/>
          </w:rPr>
          <w:t>10</w:t>
        </w:r>
        <w:r>
          <w:rPr>
            <w:noProof/>
            <w:webHidden/>
          </w:rPr>
          <w:fldChar w:fldCharType="end"/>
        </w:r>
      </w:hyperlink>
    </w:p>
    <w:p w14:paraId="39F0B90E" w14:textId="6B451D4C"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4" w:history="1">
        <w:r w:rsidRPr="002A574F">
          <w:rPr>
            <w:rStyle w:val="Hipervnculo"/>
            <w:noProof/>
          </w:rPr>
          <w:t>Ilustración 3. Evolución del "Tax Gap" de Reino Unido (fuente: https://www.gov.uk/government/statistics/measuring-tax-gaps/1-tax-gaps-summary)</w:t>
        </w:r>
        <w:r>
          <w:rPr>
            <w:noProof/>
            <w:webHidden/>
          </w:rPr>
          <w:tab/>
        </w:r>
        <w:r>
          <w:rPr>
            <w:noProof/>
            <w:webHidden/>
          </w:rPr>
          <w:fldChar w:fldCharType="begin"/>
        </w:r>
        <w:r>
          <w:rPr>
            <w:noProof/>
            <w:webHidden/>
          </w:rPr>
          <w:instrText xml:space="preserve"> PAGEREF _Toc201255654 \h </w:instrText>
        </w:r>
        <w:r>
          <w:rPr>
            <w:noProof/>
            <w:webHidden/>
          </w:rPr>
        </w:r>
        <w:r>
          <w:rPr>
            <w:noProof/>
            <w:webHidden/>
          </w:rPr>
          <w:fldChar w:fldCharType="separate"/>
        </w:r>
        <w:r>
          <w:rPr>
            <w:noProof/>
            <w:webHidden/>
          </w:rPr>
          <w:t>14</w:t>
        </w:r>
        <w:r>
          <w:rPr>
            <w:noProof/>
            <w:webHidden/>
          </w:rPr>
          <w:fldChar w:fldCharType="end"/>
        </w:r>
      </w:hyperlink>
    </w:p>
    <w:p w14:paraId="62F81365" w14:textId="6FB24F6B"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5" w:history="1">
        <w:r w:rsidRPr="002A574F">
          <w:rPr>
            <w:rStyle w:val="Hipervnculo"/>
            <w:noProof/>
          </w:rPr>
          <w:t>Ilustración 4. Evolución de la brecha de IVA en Europa (elaboración propia utilizando Excel)</w:t>
        </w:r>
        <w:r>
          <w:rPr>
            <w:noProof/>
            <w:webHidden/>
          </w:rPr>
          <w:tab/>
        </w:r>
        <w:r>
          <w:rPr>
            <w:noProof/>
            <w:webHidden/>
          </w:rPr>
          <w:fldChar w:fldCharType="begin"/>
        </w:r>
        <w:r>
          <w:rPr>
            <w:noProof/>
            <w:webHidden/>
          </w:rPr>
          <w:instrText xml:space="preserve"> PAGEREF _Toc201255655 \h </w:instrText>
        </w:r>
        <w:r>
          <w:rPr>
            <w:noProof/>
            <w:webHidden/>
          </w:rPr>
        </w:r>
        <w:r>
          <w:rPr>
            <w:noProof/>
            <w:webHidden/>
          </w:rPr>
          <w:fldChar w:fldCharType="separate"/>
        </w:r>
        <w:r>
          <w:rPr>
            <w:noProof/>
            <w:webHidden/>
          </w:rPr>
          <w:t>17</w:t>
        </w:r>
        <w:r>
          <w:rPr>
            <w:noProof/>
            <w:webHidden/>
          </w:rPr>
          <w:fldChar w:fldCharType="end"/>
        </w:r>
      </w:hyperlink>
    </w:p>
    <w:p w14:paraId="620CE434" w14:textId="0C4216DB"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6" w:history="1">
        <w:r w:rsidRPr="002A574F">
          <w:rPr>
            <w:rStyle w:val="Hipervnculo"/>
            <w:noProof/>
          </w:rPr>
          <w:t>Ilustración 5. Comparación de la brecha de IVA en España y Europa (elaboración propia utilizando Excel)</w:t>
        </w:r>
        <w:r>
          <w:rPr>
            <w:noProof/>
            <w:webHidden/>
          </w:rPr>
          <w:tab/>
        </w:r>
        <w:r>
          <w:rPr>
            <w:noProof/>
            <w:webHidden/>
          </w:rPr>
          <w:fldChar w:fldCharType="begin"/>
        </w:r>
        <w:r>
          <w:rPr>
            <w:noProof/>
            <w:webHidden/>
          </w:rPr>
          <w:instrText xml:space="preserve"> PAGEREF _Toc201255656 \h </w:instrText>
        </w:r>
        <w:r>
          <w:rPr>
            <w:noProof/>
            <w:webHidden/>
          </w:rPr>
        </w:r>
        <w:r>
          <w:rPr>
            <w:noProof/>
            <w:webHidden/>
          </w:rPr>
          <w:fldChar w:fldCharType="separate"/>
        </w:r>
        <w:r>
          <w:rPr>
            <w:noProof/>
            <w:webHidden/>
          </w:rPr>
          <w:t>18</w:t>
        </w:r>
        <w:r>
          <w:rPr>
            <w:noProof/>
            <w:webHidden/>
          </w:rPr>
          <w:fldChar w:fldCharType="end"/>
        </w:r>
      </w:hyperlink>
    </w:p>
    <w:p w14:paraId="239B88EB" w14:textId="131A438E"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7" w:history="1">
        <w:r w:rsidRPr="002A574F">
          <w:rPr>
            <w:rStyle w:val="Hipervnculo"/>
            <w:noProof/>
          </w:rPr>
          <w:t>Ilustración 6. Ejemplo de enrejado en dos dimensiones (fuente: https://www.researchgate.net/figure/Two-dimensional-Ising-model-shown-as-a-square-lattice-of-interacting-spins-Normally-one_fig4_335369511)</w:t>
        </w:r>
        <w:r>
          <w:rPr>
            <w:noProof/>
            <w:webHidden/>
          </w:rPr>
          <w:tab/>
        </w:r>
        <w:r>
          <w:rPr>
            <w:noProof/>
            <w:webHidden/>
          </w:rPr>
          <w:fldChar w:fldCharType="begin"/>
        </w:r>
        <w:r>
          <w:rPr>
            <w:noProof/>
            <w:webHidden/>
          </w:rPr>
          <w:instrText xml:space="preserve"> PAGEREF _Toc201255657 \h </w:instrText>
        </w:r>
        <w:r>
          <w:rPr>
            <w:noProof/>
            <w:webHidden/>
          </w:rPr>
        </w:r>
        <w:r>
          <w:rPr>
            <w:noProof/>
            <w:webHidden/>
          </w:rPr>
          <w:fldChar w:fldCharType="separate"/>
        </w:r>
        <w:r>
          <w:rPr>
            <w:noProof/>
            <w:webHidden/>
          </w:rPr>
          <w:t>21</w:t>
        </w:r>
        <w:r>
          <w:rPr>
            <w:noProof/>
            <w:webHidden/>
          </w:rPr>
          <w:fldChar w:fldCharType="end"/>
        </w:r>
      </w:hyperlink>
    </w:p>
    <w:p w14:paraId="20E053AC" w14:textId="6046726D"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8" w:history="1">
        <w:r w:rsidRPr="002A574F">
          <w:rPr>
            <w:rStyle w:val="Hipervnculo"/>
            <w:noProof/>
          </w:rPr>
          <w:t>Ilustración 7. Simulación mediante Python</w:t>
        </w:r>
        <w:r>
          <w:rPr>
            <w:noProof/>
            <w:webHidden/>
          </w:rPr>
          <w:tab/>
        </w:r>
        <w:r>
          <w:rPr>
            <w:noProof/>
            <w:webHidden/>
          </w:rPr>
          <w:fldChar w:fldCharType="begin"/>
        </w:r>
        <w:r>
          <w:rPr>
            <w:noProof/>
            <w:webHidden/>
          </w:rPr>
          <w:instrText xml:space="preserve"> PAGEREF _Toc201255658 \h </w:instrText>
        </w:r>
        <w:r>
          <w:rPr>
            <w:noProof/>
            <w:webHidden/>
          </w:rPr>
        </w:r>
        <w:r>
          <w:rPr>
            <w:noProof/>
            <w:webHidden/>
          </w:rPr>
          <w:fldChar w:fldCharType="separate"/>
        </w:r>
        <w:r>
          <w:rPr>
            <w:noProof/>
            <w:webHidden/>
          </w:rPr>
          <w:t>24</w:t>
        </w:r>
        <w:r>
          <w:rPr>
            <w:noProof/>
            <w:webHidden/>
          </w:rPr>
          <w:fldChar w:fldCharType="end"/>
        </w:r>
      </w:hyperlink>
    </w:p>
    <w:p w14:paraId="58F6BF15" w14:textId="71872B38"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59" w:history="1">
        <w:r w:rsidRPr="002A574F">
          <w:rPr>
            <w:rStyle w:val="Hipervnculo"/>
            <w:noProof/>
          </w:rPr>
          <w:t>Ilustración 8. Simulación mediante Python</w:t>
        </w:r>
        <w:r>
          <w:rPr>
            <w:noProof/>
            <w:webHidden/>
          </w:rPr>
          <w:tab/>
        </w:r>
        <w:r>
          <w:rPr>
            <w:noProof/>
            <w:webHidden/>
          </w:rPr>
          <w:fldChar w:fldCharType="begin"/>
        </w:r>
        <w:r>
          <w:rPr>
            <w:noProof/>
            <w:webHidden/>
          </w:rPr>
          <w:instrText xml:space="preserve"> PAGEREF _Toc201255659 \h </w:instrText>
        </w:r>
        <w:r>
          <w:rPr>
            <w:noProof/>
            <w:webHidden/>
          </w:rPr>
        </w:r>
        <w:r>
          <w:rPr>
            <w:noProof/>
            <w:webHidden/>
          </w:rPr>
          <w:fldChar w:fldCharType="separate"/>
        </w:r>
        <w:r>
          <w:rPr>
            <w:noProof/>
            <w:webHidden/>
          </w:rPr>
          <w:t>25</w:t>
        </w:r>
        <w:r>
          <w:rPr>
            <w:noProof/>
            <w:webHidden/>
          </w:rPr>
          <w:fldChar w:fldCharType="end"/>
        </w:r>
      </w:hyperlink>
    </w:p>
    <w:p w14:paraId="0D0D5B0E" w14:textId="1F09C15A"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60" w:history="1">
        <w:r w:rsidRPr="002A574F">
          <w:rPr>
            <w:rStyle w:val="Hipervnculo"/>
            <w:noProof/>
          </w:rPr>
          <w:t>Ilustración 9. Simulación mediante Python</w:t>
        </w:r>
        <w:r>
          <w:rPr>
            <w:noProof/>
            <w:webHidden/>
          </w:rPr>
          <w:tab/>
        </w:r>
        <w:r>
          <w:rPr>
            <w:noProof/>
            <w:webHidden/>
          </w:rPr>
          <w:fldChar w:fldCharType="begin"/>
        </w:r>
        <w:r>
          <w:rPr>
            <w:noProof/>
            <w:webHidden/>
          </w:rPr>
          <w:instrText xml:space="preserve"> PAGEREF _Toc201255660 \h </w:instrText>
        </w:r>
        <w:r>
          <w:rPr>
            <w:noProof/>
            <w:webHidden/>
          </w:rPr>
        </w:r>
        <w:r>
          <w:rPr>
            <w:noProof/>
            <w:webHidden/>
          </w:rPr>
          <w:fldChar w:fldCharType="separate"/>
        </w:r>
        <w:r>
          <w:rPr>
            <w:noProof/>
            <w:webHidden/>
          </w:rPr>
          <w:t>26</w:t>
        </w:r>
        <w:r>
          <w:rPr>
            <w:noProof/>
            <w:webHidden/>
          </w:rPr>
          <w:fldChar w:fldCharType="end"/>
        </w:r>
      </w:hyperlink>
    </w:p>
    <w:p w14:paraId="546AD411" w14:textId="6CE70896"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61" w:history="1">
        <w:r w:rsidRPr="002A574F">
          <w:rPr>
            <w:rStyle w:val="Hipervnculo"/>
            <w:noProof/>
          </w:rPr>
          <w:t>Ilustración 10. Simulación mediante Python</w:t>
        </w:r>
        <w:r>
          <w:rPr>
            <w:noProof/>
            <w:webHidden/>
          </w:rPr>
          <w:tab/>
        </w:r>
        <w:r>
          <w:rPr>
            <w:noProof/>
            <w:webHidden/>
          </w:rPr>
          <w:fldChar w:fldCharType="begin"/>
        </w:r>
        <w:r>
          <w:rPr>
            <w:noProof/>
            <w:webHidden/>
          </w:rPr>
          <w:instrText xml:space="preserve"> PAGEREF _Toc201255661 \h </w:instrText>
        </w:r>
        <w:r>
          <w:rPr>
            <w:noProof/>
            <w:webHidden/>
          </w:rPr>
        </w:r>
        <w:r>
          <w:rPr>
            <w:noProof/>
            <w:webHidden/>
          </w:rPr>
          <w:fldChar w:fldCharType="separate"/>
        </w:r>
        <w:r>
          <w:rPr>
            <w:noProof/>
            <w:webHidden/>
          </w:rPr>
          <w:t>26</w:t>
        </w:r>
        <w:r>
          <w:rPr>
            <w:noProof/>
            <w:webHidden/>
          </w:rPr>
          <w:fldChar w:fldCharType="end"/>
        </w:r>
      </w:hyperlink>
    </w:p>
    <w:p w14:paraId="215681EB" w14:textId="440CC8A7"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62" w:history="1">
        <w:r w:rsidRPr="002A574F">
          <w:rPr>
            <w:rStyle w:val="Hipervnculo"/>
            <w:noProof/>
          </w:rPr>
          <w:t>Ilustración 11. Simulación mediante Python</w:t>
        </w:r>
        <w:r>
          <w:rPr>
            <w:noProof/>
            <w:webHidden/>
          </w:rPr>
          <w:tab/>
        </w:r>
        <w:r>
          <w:rPr>
            <w:noProof/>
            <w:webHidden/>
          </w:rPr>
          <w:fldChar w:fldCharType="begin"/>
        </w:r>
        <w:r>
          <w:rPr>
            <w:noProof/>
            <w:webHidden/>
          </w:rPr>
          <w:instrText xml:space="preserve"> PAGEREF _Toc201255662 \h </w:instrText>
        </w:r>
        <w:r>
          <w:rPr>
            <w:noProof/>
            <w:webHidden/>
          </w:rPr>
        </w:r>
        <w:r>
          <w:rPr>
            <w:noProof/>
            <w:webHidden/>
          </w:rPr>
          <w:fldChar w:fldCharType="separate"/>
        </w:r>
        <w:r>
          <w:rPr>
            <w:noProof/>
            <w:webHidden/>
          </w:rPr>
          <w:t>28</w:t>
        </w:r>
        <w:r>
          <w:rPr>
            <w:noProof/>
            <w:webHidden/>
          </w:rPr>
          <w:fldChar w:fldCharType="end"/>
        </w:r>
      </w:hyperlink>
    </w:p>
    <w:p w14:paraId="0EC2E3E0" w14:textId="2B91C362"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63" w:history="1">
        <w:r w:rsidRPr="002A574F">
          <w:rPr>
            <w:rStyle w:val="Hipervnculo"/>
            <w:noProof/>
          </w:rPr>
          <w:t>Ilustración 12. Simulación mediante Python</w:t>
        </w:r>
        <w:r>
          <w:rPr>
            <w:noProof/>
            <w:webHidden/>
          </w:rPr>
          <w:tab/>
        </w:r>
        <w:r>
          <w:rPr>
            <w:noProof/>
            <w:webHidden/>
          </w:rPr>
          <w:fldChar w:fldCharType="begin"/>
        </w:r>
        <w:r>
          <w:rPr>
            <w:noProof/>
            <w:webHidden/>
          </w:rPr>
          <w:instrText xml:space="preserve"> PAGEREF _Toc201255663 \h </w:instrText>
        </w:r>
        <w:r>
          <w:rPr>
            <w:noProof/>
            <w:webHidden/>
          </w:rPr>
        </w:r>
        <w:r>
          <w:rPr>
            <w:noProof/>
            <w:webHidden/>
          </w:rPr>
          <w:fldChar w:fldCharType="separate"/>
        </w:r>
        <w:r>
          <w:rPr>
            <w:noProof/>
            <w:webHidden/>
          </w:rPr>
          <w:t>29</w:t>
        </w:r>
        <w:r>
          <w:rPr>
            <w:noProof/>
            <w:webHidden/>
          </w:rPr>
          <w:fldChar w:fldCharType="end"/>
        </w:r>
      </w:hyperlink>
    </w:p>
    <w:p w14:paraId="65ACB122" w14:textId="59FA5F6E" w:rsidR="00991639" w:rsidRDefault="00991639">
      <w:pPr>
        <w:pStyle w:val="Tabladeilustraciones"/>
        <w:tabs>
          <w:tab w:val="right" w:leader="dot" w:pos="7921"/>
        </w:tabs>
        <w:rPr>
          <w:rFonts w:eastAsiaTheme="minorEastAsia"/>
          <w:noProof/>
          <w:kern w:val="2"/>
          <w:szCs w:val="24"/>
          <w:lang w:eastAsia="es-ES"/>
          <w14:ligatures w14:val="standardContextual"/>
        </w:rPr>
      </w:pPr>
      <w:hyperlink w:anchor="_Toc201255664" w:history="1">
        <w:r w:rsidRPr="002A574F">
          <w:rPr>
            <w:rStyle w:val="Hipervnculo"/>
            <w:noProof/>
          </w:rPr>
          <w:t>Ilustración 13. Simulación mediante Python</w:t>
        </w:r>
        <w:r>
          <w:rPr>
            <w:noProof/>
            <w:webHidden/>
          </w:rPr>
          <w:tab/>
        </w:r>
        <w:r>
          <w:rPr>
            <w:noProof/>
            <w:webHidden/>
          </w:rPr>
          <w:fldChar w:fldCharType="begin"/>
        </w:r>
        <w:r>
          <w:rPr>
            <w:noProof/>
            <w:webHidden/>
          </w:rPr>
          <w:instrText xml:space="preserve"> PAGEREF _Toc201255664 \h </w:instrText>
        </w:r>
        <w:r>
          <w:rPr>
            <w:noProof/>
            <w:webHidden/>
          </w:rPr>
        </w:r>
        <w:r>
          <w:rPr>
            <w:noProof/>
            <w:webHidden/>
          </w:rPr>
          <w:fldChar w:fldCharType="separate"/>
        </w:r>
        <w:r>
          <w:rPr>
            <w:noProof/>
            <w:webHidden/>
          </w:rPr>
          <w:t>31</w:t>
        </w:r>
        <w:r>
          <w:rPr>
            <w:noProof/>
            <w:webHidden/>
          </w:rPr>
          <w:fldChar w:fldCharType="end"/>
        </w:r>
      </w:hyperlink>
    </w:p>
    <w:p w14:paraId="64DA71A1" w14:textId="4E7DB481" w:rsidR="00ED4B4F" w:rsidRDefault="00991639" w:rsidP="00337FBF">
      <w:pPr>
        <w:sectPr w:rsidR="00ED4B4F" w:rsidSect="006351D8">
          <w:type w:val="oddPage"/>
          <w:pgSz w:w="11900" w:h="16840" w:code="9"/>
          <w:pgMar w:top="1985" w:right="1701" w:bottom="1417" w:left="1701" w:header="851" w:footer="851" w:gutter="567"/>
          <w:pgNumType w:fmt="upperRoman"/>
          <w:cols w:space="708"/>
          <w:titlePg/>
          <w:docGrid w:linePitch="360"/>
        </w:sectPr>
      </w:pPr>
      <w:r>
        <w:fldChar w:fldCharType="end"/>
      </w:r>
    </w:p>
    <w:p w14:paraId="024683BC" w14:textId="7B8F813F" w:rsidR="00D8720C" w:rsidRPr="007B5EE1" w:rsidRDefault="009B3341" w:rsidP="009B3341">
      <w:pPr>
        <w:pStyle w:val="Ttulo1"/>
        <w:keepNext w:val="0"/>
        <w:framePr w:wrap="notBeside"/>
      </w:pPr>
      <w:r>
        <w:lastRenderedPageBreak/>
        <w:br/>
      </w:r>
      <w:bookmarkStart w:id="14" w:name="_Toc199704557"/>
      <w:r w:rsidR="2756277C">
        <w:t>Introducción</w:t>
      </w:r>
      <w:bookmarkEnd w:id="14"/>
    </w:p>
    <w:p w14:paraId="221A02A4" w14:textId="692953AC" w:rsidR="00E07190" w:rsidRDefault="00B4346C" w:rsidP="00B4346C">
      <w:pPr>
        <w:pStyle w:val="Ttulo2"/>
      </w:pPr>
      <w:bookmarkStart w:id="15" w:name="_Toc199704558"/>
      <w:r>
        <w:t>Contexto del TFG</w:t>
      </w:r>
      <w:bookmarkEnd w:id="15"/>
    </w:p>
    <w:p w14:paraId="717BD9FA" w14:textId="64F8BADE" w:rsidR="00B4346C" w:rsidRPr="00C97A64" w:rsidRDefault="0057715B" w:rsidP="00E07190">
      <w:pPr>
        <w:rPr>
          <w:color w:val="FF0000"/>
        </w:rPr>
      </w:pPr>
      <w:r>
        <w:t>Los modelos de evasión fiscal basados en agentes han ganado mucha popularidad en los últimos años</w:t>
      </w:r>
      <w:r w:rsidR="00F420F2">
        <w:t xml:space="preserve">. </w:t>
      </w:r>
      <w:r w:rsidR="0002273D">
        <w:t>Dichos</w:t>
      </w:r>
      <w:r w:rsidR="00F420F2">
        <w:t xml:space="preserve"> modelos pretenden</w:t>
      </w:r>
      <w:r w:rsidR="00FC664C">
        <w:t xml:space="preserve"> representar la complejidad del comportamiento de </w:t>
      </w:r>
      <w:r w:rsidR="0002273D">
        <w:t>un</w:t>
      </w:r>
      <w:r w:rsidR="00FC664C">
        <w:t xml:space="preserve"> individuo frente a la evasión de impuestos.</w:t>
      </w:r>
      <w:r w:rsidR="00FE43BD">
        <w:t xml:space="preserve"> </w:t>
      </w:r>
      <w:r w:rsidR="00CC64E3" w:rsidRPr="004A4D01">
        <w:t>Por ejemplo, i</w:t>
      </w:r>
      <w:r w:rsidR="00FE43BD" w:rsidRPr="004A4D01">
        <w:t>ncorporando parámetros de política del gobierno</w:t>
      </w:r>
      <w:r w:rsidR="00E07C02" w:rsidRPr="004A4D01">
        <w:t xml:space="preserve">, </w:t>
      </w:r>
      <w:r w:rsidR="00FE43BD" w:rsidRPr="004A4D01">
        <w:t xml:space="preserve">dotando a cada agente individual </w:t>
      </w:r>
      <w:r w:rsidR="00064FC1" w:rsidRPr="004A4D01">
        <w:t>de un nivel aversión al riesgo</w:t>
      </w:r>
      <w:r w:rsidR="00E07C02" w:rsidRPr="004A4D01">
        <w:t xml:space="preserve"> </w:t>
      </w:r>
      <w:r w:rsidR="00CC64E3" w:rsidRPr="004A4D01">
        <w:t>o</w:t>
      </w:r>
      <w:r w:rsidR="00E07C02" w:rsidRPr="004A4D01">
        <w:t xml:space="preserve"> estudiando su interacción con los demás agentes.</w:t>
      </w:r>
      <w:r w:rsidR="00C97A64" w:rsidRPr="004A4D01">
        <w:t xml:space="preserve"> </w:t>
      </w:r>
      <w:r w:rsidR="004A4D01" w:rsidRPr="004A4D01">
        <w:t xml:space="preserve">(Pickhardt </w:t>
      </w:r>
      <w:r w:rsidR="00E06293">
        <w:t>y</w:t>
      </w:r>
      <w:r w:rsidR="004A4D01" w:rsidRPr="004A4D01">
        <w:t xml:space="preserve"> Seibold, 2011</w:t>
      </w:r>
      <w:r w:rsidR="00AA7815">
        <w:t>)</w:t>
      </w:r>
      <w:r w:rsidR="004A4D01" w:rsidRPr="004A4D01">
        <w:t xml:space="preserve">; </w:t>
      </w:r>
      <w:r w:rsidR="00AA7815">
        <w:t>(</w:t>
      </w:r>
      <w:r w:rsidR="004A4D01" w:rsidRPr="004A4D01">
        <w:t xml:space="preserve">Zaklan, Westerhoff </w:t>
      </w:r>
      <w:r w:rsidR="00E06293">
        <w:t>y</w:t>
      </w:r>
      <w:r w:rsidR="004A4D01" w:rsidRPr="004A4D01">
        <w:t xml:space="preserve"> Stauffer, 2009).</w:t>
      </w:r>
    </w:p>
    <w:p w14:paraId="28C0676D" w14:textId="49849532" w:rsidR="00CC64E3" w:rsidRDefault="00B04EE3" w:rsidP="00E07190">
      <w:r>
        <w:t xml:space="preserve">Este proyecto presenta un modelo de evasión fiscal basado en agentes inspirado en el modelo de </w:t>
      </w:r>
      <w:r w:rsidR="0071558E">
        <w:t xml:space="preserve">Ising. El modelo </w:t>
      </w:r>
      <w:r w:rsidR="0002273D">
        <w:t xml:space="preserve">pretende </w:t>
      </w:r>
      <w:r w:rsidR="0071558E">
        <w:t>simula</w:t>
      </w:r>
      <w:r w:rsidR="0002273D">
        <w:t>r</w:t>
      </w:r>
      <w:r w:rsidR="0071558E">
        <w:t xml:space="preserve"> dinámicas de evasión fiscal en grandes poblaciones heterogéneas con </w:t>
      </w:r>
      <w:r w:rsidR="00A561D8">
        <w:t>comportamientos diversos.</w:t>
      </w:r>
    </w:p>
    <w:p w14:paraId="42CBAD2E" w14:textId="0A880628" w:rsidR="00B4346C" w:rsidRDefault="00B4346C" w:rsidP="00B4346C">
      <w:pPr>
        <w:pStyle w:val="Ttulo2"/>
      </w:pPr>
      <w:bookmarkStart w:id="16" w:name="_Toc199704559"/>
      <w:r>
        <w:t>Objetivos</w:t>
      </w:r>
      <w:bookmarkEnd w:id="16"/>
    </w:p>
    <w:p w14:paraId="63224000" w14:textId="3509C9E9" w:rsidR="00810D3F" w:rsidRDefault="00556521" w:rsidP="00556521">
      <w:r>
        <w:t xml:space="preserve">Este trabajo pretende explorar la aplicación de modelos físicos, en particular el Modelo de Ising como herramienta para analizar y comprender fenómenos sociales complejos, </w:t>
      </w:r>
      <w:r w:rsidR="0002273D">
        <w:t>concretamente</w:t>
      </w:r>
      <w:r>
        <w:t xml:space="preserve"> el comportamiento relacionado</w:t>
      </w:r>
      <w:r w:rsidRPr="00556521">
        <w:t xml:space="preserve"> con la evasión fiscal. Para </w:t>
      </w:r>
      <w:r w:rsidR="0002273D">
        <w:t>lograr esta tarea</w:t>
      </w:r>
      <w:r w:rsidRPr="00556521">
        <w:t xml:space="preserve">, se </w:t>
      </w:r>
      <w:r w:rsidR="0002273D">
        <w:t>analizará</w:t>
      </w:r>
      <w:r w:rsidRPr="00556521">
        <w:t xml:space="preserve"> la </w:t>
      </w:r>
      <w:r w:rsidR="0002273D">
        <w:t>resolución</w:t>
      </w:r>
      <w:r w:rsidRPr="00556521">
        <w:t xml:space="preserve"> matemática del modelo de Ising, </w:t>
      </w:r>
      <w:r w:rsidR="0002273D">
        <w:t>empleado</w:t>
      </w:r>
      <w:r w:rsidRPr="00556521">
        <w:t xml:space="preserve"> originalmente en física estadística para describir transiciones de fase en sistemas magnéticos</w:t>
      </w:r>
      <w:r w:rsidR="00AA7815">
        <w:t>;</w:t>
      </w:r>
      <w:r w:rsidRPr="00556521">
        <w:t xml:space="preserve"> y se explicará su implementación mediante métodos de simulación numérica como el algoritmo de Montecarlo. Posteriormente, se recopilarán datos reales sobre evasión fiscal en países como</w:t>
      </w:r>
      <w:r w:rsidR="00816D76">
        <w:t xml:space="preserve"> Reino Unido</w:t>
      </w:r>
      <w:r w:rsidRPr="00556521">
        <w:t xml:space="preserve"> y España, con el fin de analizar si</w:t>
      </w:r>
      <w:r w:rsidR="0002273D">
        <w:t xml:space="preserve"> los</w:t>
      </w:r>
      <w:r w:rsidRPr="00556521">
        <w:t xml:space="preserve"> patrones observados en estos contextos pueden ser replicados o interpretados mediante este modelo. Finalmente, se evaluará la capacidad del modelo de Ising para capturar dinámicas colectivas y se discutirán </w:t>
      </w:r>
      <w:r w:rsidRPr="00556521">
        <w:lastRenderedPageBreak/>
        <w:t>sus limitaciones y posibles aportes en el estudio de fenómenos socioeconómicos como la evasión fiscal.</w:t>
      </w:r>
      <w:r w:rsidR="00810D3F">
        <w:br w:type="page"/>
      </w:r>
    </w:p>
    <w:p w14:paraId="33AB59C7" w14:textId="71D6EAE6" w:rsidR="00EF1449" w:rsidRDefault="00EF1449" w:rsidP="00810D3F">
      <w:pPr>
        <w:spacing w:before="0" w:after="0" w:line="240" w:lineRule="auto"/>
        <w:jc w:val="left"/>
        <w:sectPr w:rsidR="00EF1449" w:rsidSect="00EF1449">
          <w:headerReference w:type="even" r:id="rId18"/>
          <w:headerReference w:type="default" r:id="rId19"/>
          <w:headerReference w:type="first" r:id="rId20"/>
          <w:pgSz w:w="11900" w:h="16840" w:code="9"/>
          <w:pgMar w:top="1985" w:right="1701" w:bottom="1418" w:left="1701" w:header="851" w:footer="851" w:gutter="567"/>
          <w:pgNumType w:start="1"/>
          <w:cols w:space="708"/>
          <w:titlePg/>
          <w:docGrid w:linePitch="360"/>
        </w:sectPr>
      </w:pPr>
    </w:p>
    <w:p w14:paraId="136B0A1F" w14:textId="51A2E8F0" w:rsidR="002154A7" w:rsidRPr="00747FD4" w:rsidRDefault="009B3341" w:rsidP="009B3341">
      <w:pPr>
        <w:pStyle w:val="Ttulo1"/>
        <w:framePr w:wrap="notBeside"/>
      </w:pPr>
      <w:r>
        <w:lastRenderedPageBreak/>
        <w:br/>
      </w:r>
      <w:bookmarkStart w:id="17" w:name="_Toc199704560"/>
      <w:r w:rsidR="00FF7170">
        <w:t>Marco Teórico</w:t>
      </w:r>
      <w:bookmarkEnd w:id="17"/>
    </w:p>
    <w:p w14:paraId="3EAB1A41" w14:textId="550B7674" w:rsidR="003B59BF" w:rsidRDefault="003A72ED" w:rsidP="39E28D74">
      <w:pPr>
        <w:pStyle w:val="Ttulo2"/>
      </w:pPr>
      <w:bookmarkStart w:id="18" w:name="_Toc199704561"/>
      <w:r>
        <w:t>Evasión Fiscal</w:t>
      </w:r>
      <w:bookmarkEnd w:id="18"/>
    </w:p>
    <w:p w14:paraId="1EB14868" w14:textId="47AFF55B" w:rsidR="003B59BF" w:rsidRPr="003B59BF" w:rsidRDefault="004A4D01" w:rsidP="003B59BF">
      <w:r w:rsidRPr="004A4D01">
        <w:t xml:space="preserve">Los impuestos constituyen una de las principales fuentes de financiación del Estado, destinados a cubrir gastos públicos como la sanidad, la educación, las prestaciones por desempleo </w:t>
      </w:r>
      <w:r w:rsidR="0002273D">
        <w:t>o</w:t>
      </w:r>
      <w:r w:rsidRPr="004A4D01">
        <w:t xml:space="preserve"> las pensiones (García, 2015). Según se expone en el artículo, los recursos obtenidos mediante la recaudación fiscal son esenciales para garantizar el funcionamiento de los servicios públicos, aunque la calidad de estos no depende exclusivamente del volumen recaudado, sino también de otros factores como la gestión y distribución de los recursos.</w:t>
      </w:r>
    </w:p>
    <w:p w14:paraId="59DD9EF0" w14:textId="34673013" w:rsidR="00E95833" w:rsidRPr="00AB5970" w:rsidRDefault="00EE2FF7" w:rsidP="39E28D74">
      <w:r w:rsidRPr="00EE2FF7">
        <w:t xml:space="preserve">La evasión fiscal </w:t>
      </w:r>
      <w:r w:rsidR="00686252">
        <w:t xml:space="preserve">o evasión de impuestos </w:t>
      </w:r>
      <w:r w:rsidRPr="00EE2FF7">
        <w:t xml:space="preserve">es </w:t>
      </w:r>
      <w:r w:rsidR="00D93D52">
        <w:t xml:space="preserve">la conducta ilícita que tiene lugar cuando el </w:t>
      </w:r>
      <w:r w:rsidR="00D93D52" w:rsidRPr="00AB5970">
        <w:t xml:space="preserve">contribuyente oculta u omite impuestos a las </w:t>
      </w:r>
      <w:r w:rsidR="00E86652" w:rsidRPr="00AB5970">
        <w:t>administraciones tributarias</w:t>
      </w:r>
      <w:r w:rsidR="003B59BF" w:rsidRPr="00AB5970">
        <w:t xml:space="preserve"> de manera deliberada</w:t>
      </w:r>
      <w:r w:rsidR="00C97A64" w:rsidRPr="00AB5970">
        <w:t xml:space="preserve"> </w:t>
      </w:r>
      <w:r w:rsidR="00816D76" w:rsidRPr="00AB5970">
        <w:t>(OCDE, 2017)</w:t>
      </w:r>
      <w:r w:rsidR="00C97A64" w:rsidRPr="00AB5970">
        <w:t>.</w:t>
      </w:r>
      <w:r w:rsidR="00E86652" w:rsidRPr="00AB5970">
        <w:t xml:space="preserve"> </w:t>
      </w:r>
      <w:r w:rsidR="00B613EE" w:rsidRPr="00AB5970">
        <w:t xml:space="preserve">En el supuesto de que además se proporcione información falsa con estos fines se hablaría de </w:t>
      </w:r>
      <w:r w:rsidR="003B59BF" w:rsidRPr="00AB5970">
        <w:t>fraude fiscal</w:t>
      </w:r>
      <w:r w:rsidR="00C97A64" w:rsidRPr="00AB5970">
        <w:t xml:space="preserve"> </w:t>
      </w:r>
      <w:r w:rsidR="00816D76" w:rsidRPr="00AB5970">
        <w:t>(OCDE, 2008)</w:t>
      </w:r>
      <w:r w:rsidR="00B613EE" w:rsidRPr="00AB5970">
        <w:t xml:space="preserve">. </w:t>
      </w:r>
      <w:r w:rsidR="004A4D01" w:rsidRPr="00AB5970">
        <w:t xml:space="preserve">La evasión fiscal disminuye la recaudación estatal, lo que afecta directamente a la equidad social. Entre las consecuencias más destacadas de este fenómeno se encuentran el aumento de la desigualdad y la reducción del bienestar social </w:t>
      </w:r>
      <w:r w:rsidR="00816D76" w:rsidRPr="00AB5970">
        <w:t xml:space="preserve">(Alm </w:t>
      </w:r>
      <w:r w:rsidR="00365591" w:rsidRPr="00AB5970">
        <w:t>y</w:t>
      </w:r>
      <w:r w:rsidR="00816D76" w:rsidRPr="00AB5970">
        <w:t xml:space="preserve"> Martinez-</w:t>
      </w:r>
      <w:r w:rsidR="00F81CF3" w:rsidRPr="00AB5970">
        <w:t>Vázquez</w:t>
      </w:r>
      <w:r w:rsidR="00816D76" w:rsidRPr="00AB5970">
        <w:t>, 2007)</w:t>
      </w:r>
      <w:r w:rsidR="004A4D01" w:rsidRPr="00AB5970">
        <w:t xml:space="preserve">. Si bien es cierto que la calidad de los servicios públicos no depende exclusivamente del volumen de recursos recaudados, la evasión fiscal agrava aún más la capacidad del Estado para garantizar servicios de calidad y cumplir con sus compromisos sociales </w:t>
      </w:r>
      <w:r w:rsidR="00816D76" w:rsidRPr="00AB5970">
        <w:t>(Bird, 2015)</w:t>
      </w:r>
      <w:r w:rsidR="004A4D01" w:rsidRPr="00AB5970">
        <w:t>.</w:t>
      </w:r>
    </w:p>
    <w:p w14:paraId="7F070692" w14:textId="2E987AF3" w:rsidR="00125474" w:rsidRPr="00C97A64" w:rsidRDefault="00816D76" w:rsidP="39E28D74">
      <w:pPr>
        <w:rPr>
          <w:b/>
          <w:bCs/>
          <w:color w:val="FF0000"/>
        </w:rPr>
      </w:pPr>
      <w:r w:rsidRPr="00AB5970">
        <w:t xml:space="preserve">Ejemplos de ello son el sistema fiscal español, que aplica un impuesto sobre la renta progresivo mediante el IRPF (Agencia Tributaria, 2023), y el del Reino Unido, </w:t>
      </w:r>
      <w:r w:rsidRPr="00816D76">
        <w:lastRenderedPageBreak/>
        <w:t xml:space="preserve">que establece tramos impositivos crecientes a través del </w:t>
      </w:r>
      <w:r w:rsidRPr="00816D76">
        <w:rPr>
          <w:i/>
          <w:iCs/>
        </w:rPr>
        <w:t>Income Tax</w:t>
      </w:r>
      <w:r w:rsidRPr="00816D76">
        <w:t xml:space="preserve"> </w:t>
      </w:r>
      <w:r w:rsidRPr="00AB5970">
        <w:t xml:space="preserve">(HM Revenue </w:t>
      </w:r>
      <w:r w:rsidR="00365591" w:rsidRPr="00AB5970">
        <w:t>y</w:t>
      </w:r>
      <w:r w:rsidRPr="00AB5970">
        <w:t xml:space="preserve"> Customs, 2023)</w:t>
      </w:r>
      <w:r w:rsidR="000C4D34" w:rsidRPr="00AB5970">
        <w:t xml:space="preserve">, </w:t>
      </w:r>
      <w:r w:rsidR="000C4D34">
        <w:t xml:space="preserve">siendo las personas con mayores ingresos las que deban contribuir más. </w:t>
      </w:r>
      <w:r w:rsidR="000C4D34" w:rsidRPr="004A4D01">
        <w:t>Sin embargo</w:t>
      </w:r>
      <w:r w:rsidR="00425F56" w:rsidRPr="004A4D01">
        <w:t>,</w:t>
      </w:r>
      <w:r w:rsidR="000C4D34" w:rsidRPr="004A4D01">
        <w:t xml:space="preserve"> las prácticas de fraude fiscal </w:t>
      </w:r>
      <w:r w:rsidR="00C50E9A" w:rsidRPr="004A4D01">
        <w:t xml:space="preserve">suelen ser llevadas a cabo por </w:t>
      </w:r>
      <w:r w:rsidR="00425F56" w:rsidRPr="004A4D01">
        <w:t>colectivos</w:t>
      </w:r>
      <w:r w:rsidR="00B613EE" w:rsidRPr="004A4D01">
        <w:t xml:space="preserve"> de renta elevada</w:t>
      </w:r>
      <w:r w:rsidR="004A4D01" w:rsidRPr="004A4D01">
        <w:t xml:space="preserve"> </w:t>
      </w:r>
      <w:r w:rsidR="004A4D01" w:rsidRPr="00AB5970">
        <w:t xml:space="preserve">(Alstadsæter, Johannesen </w:t>
      </w:r>
      <w:r w:rsidR="00365591" w:rsidRPr="00AB5970">
        <w:t>y</w:t>
      </w:r>
      <w:r w:rsidR="004A4D01" w:rsidRPr="00AB5970">
        <w:t xml:space="preserve"> Zucman, 2017)</w:t>
      </w:r>
      <w:r w:rsidR="00B613EE" w:rsidRPr="00AB5970">
        <w:t xml:space="preserve">, </w:t>
      </w:r>
      <w:r w:rsidR="005038A3" w:rsidRPr="004A4D01">
        <w:t xml:space="preserve">dando lugar a ineficiencia económica y a </w:t>
      </w:r>
      <w:r w:rsidR="00C50E9A" w:rsidRPr="004A4D01">
        <w:t>una redistribución inefectiva de la riqueza</w:t>
      </w:r>
      <w:r w:rsidR="005038A3" w:rsidRPr="004A4D01">
        <w:t>.</w:t>
      </w:r>
      <w:r w:rsidR="005038A3">
        <w:t xml:space="preserve"> Adicionalmente</w:t>
      </w:r>
      <w:r w:rsidR="00B613EE">
        <w:t>,</w:t>
      </w:r>
      <w:r w:rsidR="005038A3">
        <w:t xml:space="preserve"> la </w:t>
      </w:r>
      <w:r w:rsidR="00DA5D00">
        <w:t>falta de recaudación</w:t>
      </w:r>
      <w:r w:rsidR="00B613EE">
        <w:t xml:space="preserve"> </w:t>
      </w:r>
      <w:r w:rsidR="00DA5D00">
        <w:t xml:space="preserve">produce una reducción en el gasto público y en la confianza institucional, especialmente si </w:t>
      </w:r>
      <w:r w:rsidR="00810D3F">
        <w:t>la sociedad percibe que puede evadir sin consecuencias</w:t>
      </w:r>
      <w:r w:rsidR="004A4D01" w:rsidRPr="004A4D01">
        <w:t xml:space="preserve"> </w:t>
      </w:r>
      <w:r w:rsidR="004A4D01" w:rsidRPr="00AB5970">
        <w:t xml:space="preserve">(Gil Izquierdo </w:t>
      </w:r>
      <w:r w:rsidR="00AB5970" w:rsidRPr="00AB5970">
        <w:t>y</w:t>
      </w:r>
      <w:r w:rsidR="004A4D01" w:rsidRPr="00AB5970">
        <w:t xml:space="preserve"> Onrubia Fernández, 2006).</w:t>
      </w:r>
    </w:p>
    <w:p w14:paraId="6E1B4C90" w14:textId="4EFC79E3" w:rsidR="00771B94" w:rsidRDefault="00771B94" w:rsidP="00771B94">
      <w:r w:rsidRPr="00EE2FF7">
        <w:t>Según</w:t>
      </w:r>
      <w:r w:rsidR="003E757F">
        <w:t xml:space="preserve"> el modelo</w:t>
      </w:r>
      <w:r w:rsidR="00440DF6">
        <w:t xml:space="preserve"> neoclásico de evasión fiscal propuesto por</w:t>
      </w:r>
      <w:r w:rsidRPr="00EE2FF7">
        <w:t xml:space="preserve"> </w:t>
      </w:r>
      <w:r w:rsidRPr="00440DF6">
        <w:t>Allingham y Sandmo</w:t>
      </w:r>
      <w:r w:rsidR="00816D76">
        <w:t xml:space="preserve">, </w:t>
      </w:r>
      <w:r w:rsidRPr="00EE2FF7">
        <w:t>los contribuyentes deciden evadir impuestos comparando los beneficios de no pagar con el riesgo de ser detectados y sancionados</w:t>
      </w:r>
      <w:r>
        <w:t>.</w:t>
      </w:r>
      <w:r w:rsidR="0052588C">
        <w:t xml:space="preserve"> Dicho modelo parte de la idea de que los </w:t>
      </w:r>
      <w:r w:rsidR="00805EFA">
        <w:t>contribuyentes son individuos racionales que deciden sus ingresos a declarar a partir del balance entre riesgo y recompensa</w:t>
      </w:r>
      <w:r w:rsidR="00816D76">
        <w:t xml:space="preserve">. </w:t>
      </w:r>
      <w:r w:rsidR="00816D76" w:rsidRPr="00FE290C">
        <w:t>(Allingham, 1972).</w:t>
      </w:r>
    </w:p>
    <w:p w14:paraId="5F245AFC" w14:textId="77777777" w:rsidR="000E2011" w:rsidRDefault="008025DC" w:rsidP="00771B94">
      <w:pPr>
        <w:rPr>
          <w:rFonts w:eastAsiaTheme="minorEastAsia"/>
        </w:rPr>
      </w:pPr>
      <m:oMathPara>
        <m:oMath>
          <m:r>
            <w:rPr>
              <w:rFonts w:ascii="Cambria Math" w:hAnsi="Cambria Math"/>
            </w:rPr>
            <m:t>EU=</m:t>
          </m:r>
          <m:d>
            <m:dPr>
              <m:ctrlPr>
                <w:rPr>
                  <w:rFonts w:ascii="Cambria Math" w:hAnsi="Cambria Math"/>
                  <w:i/>
                </w:rPr>
              </m:ctrlPr>
            </m:dPr>
            <m:e>
              <m:r>
                <w:rPr>
                  <w:rFonts w:ascii="Cambria Math" w:hAnsi="Cambria Math"/>
                </w:rPr>
                <m:t>1-p</m:t>
              </m:r>
            </m:e>
          </m:d>
          <m:d>
            <m:dPr>
              <m:ctrlPr>
                <w:rPr>
                  <w:rFonts w:ascii="Cambria Math" w:hAnsi="Cambria Math"/>
                  <w:i/>
                </w:rPr>
              </m:ctrlPr>
            </m:dPr>
            <m:e>
              <m:r>
                <w:rPr>
                  <w:rFonts w:ascii="Cambria Math" w:hAnsi="Cambria Math"/>
                </w:rPr>
                <m:t>W-θX</m:t>
              </m:r>
            </m:e>
          </m:d>
          <m:r>
            <w:rPr>
              <w:rFonts w:ascii="Cambria Math" w:hAnsi="Cambria Math"/>
            </w:rPr>
            <m:t>+p</m:t>
          </m:r>
          <m:d>
            <m:dPr>
              <m:ctrlPr>
                <w:rPr>
                  <w:rFonts w:ascii="Cambria Math" w:hAnsi="Cambria Math"/>
                  <w:i/>
                </w:rPr>
              </m:ctrlPr>
            </m:dPr>
            <m:e>
              <m:r>
                <w:rPr>
                  <w:rFonts w:ascii="Cambria Math" w:hAnsi="Cambria Math"/>
                </w:rPr>
                <m:t>W-θX-</m:t>
              </m:r>
              <m:r>
                <m:rPr>
                  <m:sty m:val="p"/>
                </m:rPr>
                <w:rPr>
                  <w:rFonts w:ascii="Cambria Math" w:hAnsi="Cambria Math"/>
                </w:rPr>
                <m:t>π</m:t>
              </m:r>
              <m:d>
                <m:dPr>
                  <m:ctrlPr>
                    <w:rPr>
                      <w:rFonts w:ascii="Cambria Math" w:hAnsi="Cambria Math"/>
                      <w:i/>
                    </w:rPr>
                  </m:ctrlPr>
                </m:dPr>
                <m:e>
                  <m:r>
                    <w:rPr>
                      <w:rFonts w:ascii="Cambria Math" w:hAnsi="Cambria Math"/>
                    </w:rPr>
                    <m:t>W-X</m:t>
                  </m:r>
                </m:e>
              </m:d>
            </m:e>
          </m:d>
        </m:oMath>
      </m:oMathPara>
    </w:p>
    <w:p w14:paraId="65576D3A" w14:textId="3D180FD6" w:rsidR="00AB5A1D" w:rsidRDefault="00664A0E" w:rsidP="00771B94">
      <w:pPr>
        <w:rPr>
          <w:rFonts w:eastAsiaTheme="minorEastAsia"/>
        </w:rPr>
      </w:pPr>
      <w:r>
        <w:rPr>
          <w:rFonts w:eastAsiaTheme="minorEastAsia"/>
        </w:rPr>
        <w:t xml:space="preserve">Para comprender la </w:t>
      </w:r>
      <w:r w:rsidR="002835C9">
        <w:rPr>
          <w:rFonts w:eastAsiaTheme="minorEastAsia"/>
        </w:rPr>
        <w:t>rentabilidad</w:t>
      </w:r>
      <w:r>
        <w:rPr>
          <w:rFonts w:eastAsiaTheme="minorEastAsia"/>
        </w:rPr>
        <w:t xml:space="preserve"> esperada del contribuyente</w:t>
      </w:r>
      <w:r w:rsidR="00AA0279" w:rsidRPr="00AA0279">
        <w:rPr>
          <w:rFonts w:ascii="Cambria Math" w:hAnsi="Cambria Math"/>
          <w:i/>
        </w:rPr>
        <w:t xml:space="preserve"> </w:t>
      </w:r>
      <m:oMath>
        <m:r>
          <w:rPr>
            <w:rFonts w:ascii="Cambria Math" w:hAnsi="Cambria Math"/>
          </w:rPr>
          <m:t>(EU)</m:t>
        </m:r>
      </m:oMath>
      <w:r>
        <w:rPr>
          <w:rFonts w:eastAsiaTheme="minorEastAsia"/>
        </w:rPr>
        <w:t xml:space="preserve">, </w:t>
      </w:r>
      <w:r w:rsidR="00ED6496">
        <w:rPr>
          <w:rFonts w:eastAsiaTheme="minorEastAsia"/>
        </w:rPr>
        <w:t xml:space="preserve">a partir de sus ingresos </w:t>
      </w:r>
      <m:oMath>
        <m:d>
          <m:dPr>
            <m:ctrlPr>
              <w:rPr>
                <w:rFonts w:ascii="Cambria Math" w:hAnsi="Cambria Math"/>
                <w:i/>
              </w:rPr>
            </m:ctrlPr>
          </m:dPr>
          <m:e>
            <m:r>
              <w:rPr>
                <w:rFonts w:ascii="Cambria Math" w:hAnsi="Cambria Math"/>
              </w:rPr>
              <m:t>W</m:t>
            </m:r>
          </m:e>
        </m:d>
      </m:oMath>
      <w:r w:rsidR="00894C1E">
        <w:rPr>
          <w:rFonts w:eastAsiaTheme="minorEastAsia"/>
        </w:rPr>
        <w:t xml:space="preserve"> y la probabilida</w:t>
      </w:r>
      <w:r w:rsidR="00EF47B2">
        <w:rPr>
          <w:rFonts w:eastAsiaTheme="minorEastAsia"/>
        </w:rPr>
        <w:t xml:space="preserve">d de ser auditado </w:t>
      </w:r>
      <m:oMath>
        <m:d>
          <m:dPr>
            <m:ctrlPr>
              <w:rPr>
                <w:rFonts w:ascii="Cambria Math" w:hAnsi="Cambria Math"/>
                <w:i/>
              </w:rPr>
            </m:ctrlPr>
          </m:dPr>
          <m:e>
            <m:r>
              <w:rPr>
                <w:rFonts w:ascii="Cambria Math" w:hAnsi="Cambria Math"/>
              </w:rPr>
              <m:t>p</m:t>
            </m:r>
          </m:e>
        </m:d>
      </m:oMath>
      <w:r w:rsidR="00AB5A1D">
        <w:rPr>
          <w:rFonts w:eastAsiaTheme="minorEastAsia"/>
        </w:rPr>
        <w:t>.</w:t>
      </w:r>
      <w:r w:rsidR="00EF47B2">
        <w:rPr>
          <w:rFonts w:eastAsiaTheme="minorEastAsia"/>
        </w:rPr>
        <w:t xml:space="preserve"> La ecuación muestra dos posibles escenarios, si el contribuyente no es auditado </w:t>
      </w:r>
      <m:oMath>
        <m:d>
          <m:dPr>
            <m:ctrlPr>
              <w:rPr>
                <w:rFonts w:ascii="Cambria Math" w:hAnsi="Cambria Math"/>
                <w:i/>
              </w:rPr>
            </m:ctrlPr>
          </m:dPr>
          <m:e>
            <m:r>
              <w:rPr>
                <w:rFonts w:ascii="Cambria Math" w:hAnsi="Cambria Math"/>
              </w:rPr>
              <m:t>1-p</m:t>
            </m:r>
          </m:e>
        </m:d>
      </m:oMath>
      <w:r w:rsidR="00EF47B2">
        <w:rPr>
          <w:rFonts w:eastAsiaTheme="minorEastAsia"/>
        </w:rPr>
        <w:t xml:space="preserve"> la rentabilidad será su ingreso total menos </w:t>
      </w:r>
      <w:r w:rsidR="00AE3C2C">
        <w:rPr>
          <w:rFonts w:eastAsiaTheme="minorEastAsia"/>
        </w:rPr>
        <w:t xml:space="preserve">los impuestos pagados </w:t>
      </w:r>
      <m:oMath>
        <m:d>
          <m:dPr>
            <m:ctrlPr>
              <w:rPr>
                <w:rFonts w:ascii="Cambria Math" w:hAnsi="Cambria Math"/>
                <w:i/>
              </w:rPr>
            </m:ctrlPr>
          </m:dPr>
          <m:e>
            <m:r>
              <w:rPr>
                <w:rFonts w:ascii="Cambria Math" w:hAnsi="Cambria Math"/>
              </w:rPr>
              <m:t>W-θX</m:t>
            </m:r>
          </m:e>
        </m:d>
      </m:oMath>
      <w:r w:rsidR="00AE3C2C">
        <w:rPr>
          <w:rFonts w:eastAsiaTheme="minorEastAsia"/>
        </w:rPr>
        <w:t>, donde (X) es el</w:t>
      </w:r>
      <w:r w:rsidR="00AB5A1D">
        <w:rPr>
          <w:rFonts w:eastAsiaTheme="minorEastAsia"/>
        </w:rPr>
        <w:t xml:space="preserve"> dinero declarado</w:t>
      </w:r>
      <w:r w:rsidR="008B3F35">
        <w:rPr>
          <w:rFonts w:eastAsiaTheme="minorEastAsia"/>
        </w:rPr>
        <w:t xml:space="preserve"> y </w:t>
      </w:r>
      <m:oMath>
        <m:r>
          <w:rPr>
            <w:rFonts w:ascii="Cambria Math" w:eastAsiaTheme="minorEastAsia" w:hAnsi="Cambria Math"/>
          </w:rPr>
          <m:t>(</m:t>
        </m:r>
        <m:r>
          <m:rPr>
            <m:sty m:val="p"/>
          </m:rPr>
          <w:rPr>
            <w:rFonts w:ascii="Cambria Math" w:eastAsiaTheme="minorEastAsia" w:hAnsi="Cambria Math"/>
          </w:rPr>
          <m:t>θ)</m:t>
        </m:r>
      </m:oMath>
      <w:r w:rsidR="00C344F7">
        <w:rPr>
          <w:rFonts w:eastAsiaTheme="minorEastAsia"/>
        </w:rPr>
        <w:t xml:space="preserve"> el tipo impositivo.</w:t>
      </w:r>
      <w:r w:rsidR="00F96587">
        <w:rPr>
          <w:rFonts w:eastAsiaTheme="minorEastAsia"/>
        </w:rPr>
        <w:t xml:space="preserve"> Por otro lado, si es auditado </w:t>
      </w:r>
      <m:oMath>
        <m:d>
          <m:dPr>
            <m:ctrlPr>
              <w:rPr>
                <w:rFonts w:ascii="Cambria Math" w:hAnsi="Cambria Math"/>
                <w:i/>
              </w:rPr>
            </m:ctrlPr>
          </m:dPr>
          <m:e>
            <m:r>
              <w:rPr>
                <w:rFonts w:ascii="Cambria Math" w:hAnsi="Cambria Math"/>
              </w:rPr>
              <m:t>p</m:t>
            </m:r>
          </m:e>
        </m:d>
      </m:oMath>
      <w:r w:rsidR="00F96587">
        <w:rPr>
          <w:rFonts w:eastAsiaTheme="minorEastAsia"/>
        </w:rPr>
        <w:t xml:space="preserve"> </w:t>
      </w:r>
      <w:r w:rsidR="00AA0279">
        <w:rPr>
          <w:rFonts w:eastAsiaTheme="minorEastAsia"/>
        </w:rPr>
        <w:t xml:space="preserve">además de pagar los impuestos sobre el dinero declarado </w:t>
      </w:r>
      <m:oMath>
        <m:d>
          <m:dPr>
            <m:ctrlPr>
              <w:rPr>
                <w:rFonts w:ascii="Cambria Math" w:hAnsi="Cambria Math"/>
                <w:i/>
              </w:rPr>
            </m:ctrlPr>
          </m:dPr>
          <m:e>
            <m:r>
              <w:rPr>
                <w:rFonts w:ascii="Cambria Math" w:hAnsi="Cambria Math"/>
              </w:rPr>
              <m:t>θX</m:t>
            </m:r>
          </m:e>
        </m:d>
      </m:oMath>
      <w:r w:rsidR="00AA0279">
        <w:rPr>
          <w:rFonts w:eastAsiaTheme="minorEastAsia"/>
        </w:rPr>
        <w:t xml:space="preserve"> tendrá que hacer frente a una multa que</w:t>
      </w:r>
      <w:r w:rsidR="00AB5A1D">
        <w:rPr>
          <w:rFonts w:eastAsiaTheme="minorEastAsia"/>
        </w:rPr>
        <w:t xml:space="preserve"> vendrá definida por </w:t>
      </w:r>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W-X</m:t>
            </m:r>
          </m:e>
        </m:d>
      </m:oMath>
      <w:r w:rsidR="00CE4191">
        <w:rPr>
          <w:rFonts w:eastAsiaTheme="minorEastAsia"/>
        </w:rPr>
        <w:t xml:space="preserve">, es decir </w:t>
      </w:r>
      <w:r w:rsidR="00BE5C68">
        <w:rPr>
          <w:rFonts w:eastAsiaTheme="minorEastAsia"/>
        </w:rPr>
        <w:t>la proporción que será retenida del dinero no declarado.</w:t>
      </w:r>
    </w:p>
    <w:p w14:paraId="1234C714" w14:textId="5DBDBD5A" w:rsidR="00771B94" w:rsidRPr="00BF31C1" w:rsidRDefault="0092634C" w:rsidP="39E28D74">
      <w:pPr>
        <w:rPr>
          <w:rFonts w:eastAsiaTheme="minorEastAsia"/>
        </w:rPr>
      </w:pPr>
      <w:r>
        <w:rPr>
          <w:rFonts w:eastAsiaTheme="minorEastAsia"/>
        </w:rPr>
        <w:t xml:space="preserve">El contribuyente puede definir de esta manera la rentabilidad que obtendrá si evade </w:t>
      </w:r>
      <w:r w:rsidR="00C462B5">
        <w:rPr>
          <w:rFonts w:eastAsiaTheme="minorEastAsia"/>
        </w:rPr>
        <w:t>impuestos,</w:t>
      </w:r>
      <w:r>
        <w:rPr>
          <w:rFonts w:eastAsiaTheme="minorEastAsia"/>
        </w:rPr>
        <w:t xml:space="preserve"> </w:t>
      </w:r>
      <w:r w:rsidR="006128DB">
        <w:rPr>
          <w:rFonts w:eastAsiaTheme="minorEastAsia"/>
        </w:rPr>
        <w:t>aunque</w:t>
      </w:r>
      <w:r w:rsidR="00CC0754">
        <w:rPr>
          <w:rFonts w:eastAsiaTheme="minorEastAsia"/>
        </w:rPr>
        <w:t xml:space="preserve"> se le impusiera una sanción</w:t>
      </w:r>
      <w:r w:rsidR="00F67D45">
        <w:rPr>
          <w:rFonts w:eastAsiaTheme="minorEastAsia"/>
        </w:rPr>
        <w:t>,</w:t>
      </w:r>
      <w:r w:rsidR="0031583B">
        <w:rPr>
          <w:rFonts w:eastAsiaTheme="minorEastAsia"/>
        </w:rPr>
        <w:t xml:space="preserve"> basándose principalmente en</w:t>
      </w:r>
      <w:r w:rsidR="006128DB">
        <w:rPr>
          <w:rFonts w:eastAsiaTheme="minorEastAsia"/>
        </w:rPr>
        <w:t xml:space="preserve"> la probabilidad de ser detectado y la cuantía evadida</w:t>
      </w:r>
      <w:r w:rsidR="0031583B">
        <w:rPr>
          <w:rFonts w:eastAsiaTheme="minorEastAsia"/>
        </w:rPr>
        <w:t>.</w:t>
      </w:r>
    </w:p>
    <w:p w14:paraId="2380A4D7" w14:textId="12A15208" w:rsidR="006124A8" w:rsidRDefault="001E0E34" w:rsidP="39E28D74">
      <w:pPr>
        <w:pStyle w:val="Ttulo2"/>
      </w:pPr>
      <w:bookmarkStart w:id="19" w:name="_Toc199704562"/>
      <w:r>
        <w:lastRenderedPageBreak/>
        <w:t>Modelo de Ising</w:t>
      </w:r>
      <w:bookmarkEnd w:id="19"/>
    </w:p>
    <w:p w14:paraId="2B410A7E" w14:textId="11C5B9BB" w:rsidR="00687515" w:rsidRDefault="00AE5675" w:rsidP="00C3689F">
      <w:r>
        <w:t>El término transición de fase se utiliza comúnmente para describir las transiciones</w:t>
      </w:r>
      <w:r w:rsidR="006A1CE5">
        <w:t xml:space="preserve"> entre los estados sólido, líquido y gaseoso, sin </w:t>
      </w:r>
      <w:r w:rsidR="002C22BF">
        <w:t>embargo,</w:t>
      </w:r>
      <w:r w:rsidR="006A1CE5">
        <w:t xml:space="preserve"> estas no son las únicas transiciones de fases existentes </w:t>
      </w:r>
      <w:r w:rsidR="00FE4B55">
        <w:t>en la naturaleza</w:t>
      </w:r>
      <w:r w:rsidR="00C0647E">
        <w:t>.</w:t>
      </w:r>
    </w:p>
    <w:p w14:paraId="366E35F5" w14:textId="3947E8DE" w:rsidR="00C3689F" w:rsidRPr="00816D76" w:rsidRDefault="00C3689F" w:rsidP="00C3689F">
      <w:r w:rsidRPr="00816D76">
        <w:t>El modelo de Ising tiene como objetivo demostrar la transición ferromagnética</w:t>
      </w:r>
      <w:r w:rsidR="002265CC" w:rsidRPr="00816D76">
        <w:t>, el momento exacto en el que se produce la inducci</w:t>
      </w:r>
      <w:r w:rsidR="00B766AE" w:rsidRPr="00816D76">
        <w:t>ó</w:t>
      </w:r>
      <w:r w:rsidR="002265CC" w:rsidRPr="00816D76">
        <w:t>n magn</w:t>
      </w:r>
      <w:r w:rsidR="00B766AE" w:rsidRPr="00816D76">
        <w:t>é</w:t>
      </w:r>
      <w:r w:rsidR="002265CC" w:rsidRPr="00816D76">
        <w:t>tica de materiales teniendo en cuenta que no hay un campo magn</w:t>
      </w:r>
      <w:r w:rsidR="00B766AE" w:rsidRPr="00816D76">
        <w:t>é</w:t>
      </w:r>
      <w:r w:rsidR="002265CC" w:rsidRPr="00816D76">
        <w:t>tico externo. A</w:t>
      </w:r>
      <w:r w:rsidRPr="00816D76">
        <w:t>l bajar la temperatura</w:t>
      </w:r>
      <w:r w:rsidR="002D75EC" w:rsidRPr="00816D76">
        <w:t>, existen</w:t>
      </w:r>
      <w:r w:rsidRPr="00816D76">
        <w:t xml:space="preserve"> determinados materiales cuyos espines se reordenan y alinean obteniendo un momento magnético permanente.</w:t>
      </w:r>
    </w:p>
    <w:p w14:paraId="5302E573" w14:textId="5AEAAA63" w:rsidR="00687515" w:rsidRPr="00C97A64" w:rsidRDefault="00C3689F" w:rsidP="00C3689F">
      <w:pPr>
        <w:rPr>
          <w:color w:val="FF0000"/>
        </w:rPr>
      </w:pPr>
      <w:r w:rsidRPr="00816D76">
        <w:t xml:space="preserve">Esto ocurre de manera inversa en el caso de materiales </w:t>
      </w:r>
      <w:r w:rsidR="00CF0E90" w:rsidRPr="00816D76">
        <w:t>que,</w:t>
      </w:r>
      <w:r w:rsidRPr="00816D76">
        <w:t xml:space="preserve"> si son magnéticos a temperatura ambiente, se pueden calentar hasta que pierdan sus capacidades magnéticas.</w:t>
      </w:r>
      <w:r w:rsidR="00816D76" w:rsidRPr="00816D76">
        <w:t xml:space="preserve"> </w:t>
      </w:r>
      <w:r w:rsidR="00816D76" w:rsidRPr="00FE290C">
        <w:t xml:space="preserve">(Pickhardt </w:t>
      </w:r>
      <w:r w:rsidR="00FE290C">
        <w:t>y</w:t>
      </w:r>
      <w:r w:rsidR="00816D76" w:rsidRPr="00FE290C">
        <w:t xml:space="preserve"> Seibold, 2011).</w:t>
      </w:r>
    </w:p>
    <w:p w14:paraId="676B4415" w14:textId="1A472ADA" w:rsidR="001E4350" w:rsidRDefault="002C5DDA" w:rsidP="001E4350">
      <w:pPr>
        <w:pStyle w:val="Ttulo3"/>
      </w:pPr>
      <w:bookmarkStart w:id="20" w:name="_Toc199704563"/>
      <w:r>
        <w:t>R</w:t>
      </w:r>
      <w:r w:rsidR="001E4350">
        <w:t>esolución por combinatoria 1D</w:t>
      </w:r>
      <w:bookmarkEnd w:id="20"/>
    </w:p>
    <w:p w14:paraId="5E9F984D" w14:textId="15E7DDA3" w:rsidR="009D007A" w:rsidRPr="00616454" w:rsidRDefault="00E248AC" w:rsidP="00C0647E">
      <w:r w:rsidRPr="00616454">
        <w:t>En una dimensión</w:t>
      </w:r>
      <w:r w:rsidR="00690AC4" w:rsidRPr="00616454">
        <w:t xml:space="preserve"> demostraremos que no existe transición de fase, tal como lo demostró el propio Ising,</w:t>
      </w:r>
      <w:r w:rsidR="00C71E30" w:rsidRPr="00616454">
        <w:t xml:space="preserve"> motivo por </w:t>
      </w:r>
      <w:r w:rsidR="00A96F3D" w:rsidRPr="00616454">
        <w:t>el cual abandonó el campo de la investigación</w:t>
      </w:r>
      <w:r w:rsidR="00C71E30" w:rsidRPr="00616454">
        <w:t>.</w:t>
      </w:r>
      <w:r w:rsidR="009D007A" w:rsidRPr="00616454">
        <w:t xml:space="preserve"> </w:t>
      </w:r>
      <w:r w:rsidR="00E94474" w:rsidRPr="00616454">
        <w:t xml:space="preserve">Se va a seguir la solución mediante combinatoria propuesta originalmente por </w:t>
      </w:r>
      <w:r w:rsidR="00034EC0" w:rsidRPr="00616454">
        <w:t>Is</w:t>
      </w:r>
      <w:r w:rsidR="00E94474" w:rsidRPr="00616454">
        <w:t>ing al ser considerada más acorde</w:t>
      </w:r>
      <w:r w:rsidR="00034EC0" w:rsidRPr="00616454">
        <w:t xml:space="preserve"> al posterior modelado utilizando el método de Montecarlo.</w:t>
      </w:r>
    </w:p>
    <w:p w14:paraId="5CF0E635" w14:textId="613DD584" w:rsidR="00690AC4" w:rsidRPr="00C97A64" w:rsidRDefault="00E22524" w:rsidP="00C0647E">
      <w:pPr>
        <w:rPr>
          <w:color w:val="FF0000"/>
        </w:rPr>
      </w:pPr>
      <w:r w:rsidRPr="00616454">
        <w:t xml:space="preserve">El modelo de Ising se basa en la idea de que </w:t>
      </w:r>
      <w:r w:rsidR="00017DDA" w:rsidRPr="00616454">
        <w:t>el magnetismo no sol</w:t>
      </w:r>
      <w:r w:rsidR="006E4131" w:rsidRPr="00616454">
        <w:t>o</w:t>
      </w:r>
      <w:r w:rsidR="00017DDA" w:rsidRPr="00616454">
        <w:t xml:space="preserve"> depende de la temperatura sino también de si los espines vecinos de los átomos están alineados, esto puede apreciarse visualmente si se </w:t>
      </w:r>
      <w:r w:rsidR="006F3C58" w:rsidRPr="00616454">
        <w:t>representa</w:t>
      </w:r>
      <w:r w:rsidR="008E4061" w:rsidRPr="00616454">
        <w:t>n</w:t>
      </w:r>
      <w:r w:rsidR="006F3C58" w:rsidRPr="00616454">
        <w:t xml:space="preserve"> los </w:t>
      </w:r>
      <w:r w:rsidR="00AD1188" w:rsidRPr="00616454">
        <w:t>espines de los átomos como flechas apuntando</w:t>
      </w:r>
      <w:r w:rsidR="008E4061" w:rsidRPr="00616454">
        <w:t xml:space="preserve"> en direcciones opuestas</w:t>
      </w:r>
      <w:r w:rsidR="008E4061" w:rsidRPr="00164533">
        <w:t>.</w:t>
      </w:r>
      <w:r w:rsidR="00C97A64" w:rsidRPr="00164533">
        <w:t xml:space="preserve"> </w:t>
      </w:r>
      <w:r w:rsidR="00164533" w:rsidRPr="00164533">
        <w:t>(Ising, 1925).</w:t>
      </w:r>
    </w:p>
    <w:p w14:paraId="19BD2D8B" w14:textId="77777777" w:rsidR="001B4F71" w:rsidRDefault="000D7A51" w:rsidP="00B20507">
      <w:pPr>
        <w:keepNext/>
        <w:jc w:val="center"/>
      </w:pPr>
      <w:r w:rsidRPr="000D7A51">
        <w:rPr>
          <w:noProof/>
        </w:rPr>
        <w:lastRenderedPageBreak/>
        <w:drawing>
          <wp:inline distT="0" distB="0" distL="0" distR="0" wp14:anchorId="23779EED" wp14:editId="24B608B1">
            <wp:extent cx="5036185" cy="1607185"/>
            <wp:effectExtent l="0" t="0" r="0" b="0"/>
            <wp:docPr id="12265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893" name=""/>
                    <pic:cNvPicPr/>
                  </pic:nvPicPr>
                  <pic:blipFill>
                    <a:blip r:embed="rId21"/>
                    <a:stretch>
                      <a:fillRect/>
                    </a:stretch>
                  </pic:blipFill>
                  <pic:spPr>
                    <a:xfrm>
                      <a:off x="0" y="0"/>
                      <a:ext cx="5036185" cy="1607185"/>
                    </a:xfrm>
                    <a:prstGeom prst="rect">
                      <a:avLst/>
                    </a:prstGeom>
                  </pic:spPr>
                </pic:pic>
              </a:graphicData>
            </a:graphic>
          </wp:inline>
        </w:drawing>
      </w:r>
    </w:p>
    <w:p w14:paraId="4D20A8B5" w14:textId="193F8A21" w:rsidR="008E4061" w:rsidRDefault="001B4F71" w:rsidP="001B4F71">
      <w:pPr>
        <w:pStyle w:val="Descripcin"/>
        <w:jc w:val="center"/>
      </w:pPr>
      <w:bookmarkStart w:id="21" w:name="_Toc201255652"/>
      <w:r>
        <w:t xml:space="preserve">Ilustración </w:t>
      </w:r>
      <w:fldSimple w:instr=" SEQ Ilustración \* ARABIC ">
        <w:r w:rsidR="0064037F">
          <w:rPr>
            <w:noProof/>
          </w:rPr>
          <w:t>1</w:t>
        </w:r>
      </w:fldSimple>
      <w:r>
        <w:t xml:space="preserve">. </w:t>
      </w:r>
      <w:r w:rsidR="00B20507">
        <w:t>Representación gráfica</w:t>
      </w:r>
      <w:r w:rsidR="0064037F">
        <w:t xml:space="preserve"> de los espines </w:t>
      </w:r>
      <w:r w:rsidR="00B20507">
        <w:t>(e</w:t>
      </w:r>
      <w:r>
        <w:t xml:space="preserve">laboración propia utilizando </w:t>
      </w:r>
      <w:r w:rsidR="00B20507">
        <w:t>Python)</w:t>
      </w:r>
      <w:bookmarkEnd w:id="21"/>
    </w:p>
    <w:p w14:paraId="68662A52" w14:textId="0413FD3E" w:rsidR="00145BAA" w:rsidRPr="00F81CF3" w:rsidRDefault="00145BAA" w:rsidP="00C0647E">
      <w:pPr>
        <w:rPr>
          <w:color w:val="FF0000"/>
          <w:lang w:val="en-GB"/>
        </w:rPr>
      </w:pPr>
      <w:r w:rsidRPr="00616454">
        <w:t>Suponiendo que, n partículas están distribuidas linealmente, estas tendrán dos posibles estados: positivo o negativo. El problema que se formula es similar al de calcular el número de posibilidades de sentar a n−1 comensales teniendo en cuenta que 1 de ellos está sentado en la mesa</w:t>
      </w:r>
      <w:r w:rsidR="00C97A64">
        <w:rPr>
          <w:color w:val="FF0000"/>
        </w:rPr>
        <w:t xml:space="preserve"> </w:t>
      </w:r>
      <w:r w:rsidR="00164533" w:rsidRPr="00EC03E6">
        <w:t xml:space="preserve">. </w:t>
      </w:r>
      <w:r w:rsidR="00164533" w:rsidRPr="00F81CF3">
        <w:rPr>
          <w:lang w:val="en-GB"/>
        </w:rPr>
        <w:t>(Ising, 1925).</w:t>
      </w:r>
    </w:p>
    <w:p w14:paraId="4C7B0502" w14:textId="33DABC4A" w:rsidR="00CF2359" w:rsidRPr="00F81CF3" w:rsidRDefault="00921C55" w:rsidP="00C0647E">
      <w:pPr>
        <w:rPr>
          <w:rFonts w:eastAsiaTheme="minorEastAsia"/>
          <w:lang w:val="en-GB"/>
        </w:rPr>
      </w:pPr>
      <w:r w:rsidRPr="00F81CF3">
        <w:rPr>
          <w:lang w:val="en-GB"/>
        </w:rPr>
        <w:t>Considerando:</w:t>
      </w:r>
      <w:r w:rsidRPr="00F81CF3">
        <w:rPr>
          <w:lang w:val="en-GB"/>
        </w:rPr>
        <w:br/>
      </w: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lang w:val="en-GB"/>
                </w:rPr>
                <m:t>1</m:t>
              </m:r>
            </m:sub>
          </m:sSub>
          <m:r>
            <w:rPr>
              <w:rFonts w:ascii="Cambria Math" w:hAnsi="Cambria Math"/>
              <w:lang w:val="en-GB"/>
            </w:rPr>
            <m:t>+</m:t>
          </m:r>
          <m:sSub>
            <m:sSubPr>
              <m:ctrlPr>
                <w:rPr>
                  <w:rFonts w:ascii="Cambria Math" w:hAnsi="Cambria Math"/>
                  <w:i/>
                </w:rPr>
              </m:ctrlPr>
            </m:sSubPr>
            <m:e>
              <m:r>
                <w:rPr>
                  <w:rFonts w:ascii="Cambria Math" w:hAnsi="Cambria Math"/>
                </w:rPr>
                <m:t>n</m:t>
              </m:r>
            </m:e>
            <m:sub>
              <m:r>
                <w:rPr>
                  <w:rFonts w:ascii="Cambria Math" w:hAnsi="Cambria Math"/>
                  <w:lang w:val="en-GB"/>
                </w:rPr>
                <m:t>2</m:t>
              </m:r>
            </m:sub>
          </m:sSub>
          <m:r>
            <w:rPr>
              <w:rFonts w:ascii="Cambria Math" w:hAnsi="Cambria Math"/>
              <w:lang w:val="en-GB"/>
            </w:rPr>
            <m:t>=</m:t>
          </m:r>
          <m:r>
            <w:rPr>
              <w:rFonts w:ascii="Cambria Math" w:hAnsi="Cambria Math"/>
            </w:rPr>
            <m:t>n</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lang w:val="en-GB"/>
                        </w:rPr>
                        <m:t>1</m:t>
                      </m:r>
                    </m:sub>
                  </m:sSub>
                  <m:r>
                    <w:rPr>
                      <w:rFonts w:ascii="Cambria Math" w:hAnsi="Cambria Math"/>
                      <w:lang w:val="en-GB"/>
                    </w:rPr>
                    <m:t xml:space="preserve"> </m:t>
                  </m:r>
                  <m:r>
                    <w:rPr>
                      <w:rFonts w:ascii="Cambria Math" w:hAnsi="Cambria Math"/>
                    </w:rPr>
                    <m:t>el</m:t>
                  </m:r>
                  <m:r>
                    <w:rPr>
                      <w:rFonts w:ascii="Cambria Math" w:hAnsi="Cambria Math"/>
                      <w:lang w:val="en-GB"/>
                    </w:rPr>
                    <m:t xml:space="preserve"> </m:t>
                  </m:r>
                  <m:r>
                    <w:rPr>
                      <w:rFonts w:ascii="Cambria Math" w:hAnsi="Cambria Math"/>
                    </w:rPr>
                    <m:t>n</m:t>
                  </m:r>
                  <m:r>
                    <w:rPr>
                      <w:rFonts w:ascii="Cambria Math" w:hAnsi="Cambria Math"/>
                      <w:lang w:val="en-GB"/>
                    </w:rPr>
                    <m:t>ú</m:t>
                  </m:r>
                  <m:r>
                    <w:rPr>
                      <w:rFonts w:ascii="Cambria Math" w:hAnsi="Cambria Math"/>
                    </w:rPr>
                    <m:t>mero</m:t>
                  </m:r>
                  <m:r>
                    <w:rPr>
                      <w:rFonts w:ascii="Cambria Math" w:hAnsi="Cambria Math"/>
                      <w:lang w:val="en-GB"/>
                    </w:rPr>
                    <m:t xml:space="preserve"> </m:t>
                  </m:r>
                  <m:r>
                    <w:rPr>
                      <w:rFonts w:ascii="Cambria Math" w:hAnsi="Cambria Math"/>
                    </w:rPr>
                    <m:t>de</m:t>
                  </m:r>
                  <m:r>
                    <w:rPr>
                      <w:rFonts w:ascii="Cambria Math" w:hAnsi="Cambria Math"/>
                      <w:lang w:val="en-GB"/>
                    </w:rPr>
                    <m:t xml:space="preserve"> </m:t>
                  </m:r>
                  <m:r>
                    <w:rPr>
                      <w:rFonts w:ascii="Cambria Math" w:hAnsi="Cambria Math"/>
                    </w:rPr>
                    <m:t>elementos</m:t>
                  </m:r>
                  <m:r>
                    <w:rPr>
                      <w:rFonts w:ascii="Cambria Math" w:hAnsi="Cambria Math"/>
                      <w:lang w:val="en-GB"/>
                    </w:rPr>
                    <m:t xml:space="preserve"> </m:t>
                  </m:r>
                  <m:r>
                    <w:rPr>
                      <w:rFonts w:ascii="Cambria Math" w:hAnsi="Cambria Math"/>
                    </w:rPr>
                    <m:t>de</m:t>
                  </m:r>
                  <m:r>
                    <w:rPr>
                      <w:rFonts w:ascii="Cambria Math" w:hAnsi="Cambria Math"/>
                      <w:lang w:val="en-GB"/>
                    </w:rPr>
                    <m:t xml:space="preserve"> </m:t>
                  </m:r>
                  <m:r>
                    <w:rPr>
                      <w:rFonts w:ascii="Cambria Math" w:hAnsi="Cambria Math"/>
                    </w:rPr>
                    <m:t>polo</m:t>
                  </m:r>
                  <m:r>
                    <w:rPr>
                      <w:rFonts w:ascii="Cambria Math" w:hAnsi="Cambria Math"/>
                      <w:lang w:val="en-GB"/>
                    </w:rPr>
                    <m:t xml:space="preserve"> </m:t>
                  </m:r>
                  <m:r>
                    <w:rPr>
                      <w:rFonts w:ascii="Cambria Math" w:hAnsi="Cambria Math"/>
                    </w:rPr>
                    <m:t>positivo</m:t>
                  </m:r>
                </m:e>
                <m:e>
                  <m:sSub>
                    <m:sSubPr>
                      <m:ctrlPr>
                        <w:rPr>
                          <w:rFonts w:ascii="Cambria Math" w:hAnsi="Cambria Math"/>
                          <w:i/>
                        </w:rPr>
                      </m:ctrlPr>
                    </m:sSubPr>
                    <m:e>
                      <m:r>
                        <w:rPr>
                          <w:rFonts w:ascii="Cambria Math" w:hAnsi="Cambria Math"/>
                        </w:rPr>
                        <m:t>n</m:t>
                      </m:r>
                    </m:e>
                    <m:sub>
                      <m:r>
                        <w:rPr>
                          <w:rFonts w:ascii="Cambria Math" w:hAnsi="Cambria Math"/>
                          <w:lang w:val="en-GB"/>
                        </w:rPr>
                        <m:t>2</m:t>
                      </m:r>
                    </m:sub>
                  </m:sSub>
                  <m:r>
                    <w:rPr>
                      <w:rFonts w:ascii="Cambria Math" w:hAnsi="Cambria Math"/>
                      <w:lang w:val="en-GB"/>
                    </w:rPr>
                    <m:t xml:space="preserve"> </m:t>
                  </m:r>
                  <m:r>
                    <w:rPr>
                      <w:rFonts w:ascii="Cambria Math" w:hAnsi="Cambria Math"/>
                    </w:rPr>
                    <m:t>el</m:t>
                  </m:r>
                  <m:r>
                    <w:rPr>
                      <w:rFonts w:ascii="Cambria Math" w:hAnsi="Cambria Math"/>
                      <w:lang w:val="en-GB"/>
                    </w:rPr>
                    <m:t xml:space="preserve"> </m:t>
                  </m:r>
                  <m:r>
                    <w:rPr>
                      <w:rFonts w:ascii="Cambria Math" w:hAnsi="Cambria Math"/>
                    </w:rPr>
                    <m:t>n</m:t>
                  </m:r>
                  <m:r>
                    <w:rPr>
                      <w:rFonts w:ascii="Cambria Math" w:hAnsi="Cambria Math"/>
                      <w:lang w:val="en-GB"/>
                    </w:rPr>
                    <m:t>ú</m:t>
                  </m:r>
                  <m:r>
                    <w:rPr>
                      <w:rFonts w:ascii="Cambria Math" w:hAnsi="Cambria Math"/>
                    </w:rPr>
                    <m:t>mero</m:t>
                  </m:r>
                  <m:r>
                    <w:rPr>
                      <w:rFonts w:ascii="Cambria Math" w:hAnsi="Cambria Math"/>
                      <w:lang w:val="en-GB"/>
                    </w:rPr>
                    <m:t xml:space="preserve"> </m:t>
                  </m:r>
                  <m:r>
                    <w:rPr>
                      <w:rFonts w:ascii="Cambria Math" w:hAnsi="Cambria Math"/>
                    </w:rPr>
                    <m:t>de</m:t>
                  </m:r>
                  <m:r>
                    <w:rPr>
                      <w:rFonts w:ascii="Cambria Math" w:hAnsi="Cambria Math"/>
                      <w:lang w:val="en-GB"/>
                    </w:rPr>
                    <m:t xml:space="preserve"> </m:t>
                  </m:r>
                  <m:r>
                    <w:rPr>
                      <w:rFonts w:ascii="Cambria Math" w:hAnsi="Cambria Math"/>
                    </w:rPr>
                    <m:t>elementos</m:t>
                  </m:r>
                  <m:r>
                    <w:rPr>
                      <w:rFonts w:ascii="Cambria Math" w:hAnsi="Cambria Math"/>
                      <w:lang w:val="en-GB"/>
                    </w:rPr>
                    <m:t xml:space="preserve"> </m:t>
                  </m:r>
                  <m:r>
                    <w:rPr>
                      <w:rFonts w:ascii="Cambria Math" w:hAnsi="Cambria Math"/>
                    </w:rPr>
                    <m:t>de</m:t>
                  </m:r>
                  <m:r>
                    <w:rPr>
                      <w:rFonts w:ascii="Cambria Math" w:hAnsi="Cambria Math"/>
                      <w:lang w:val="en-GB"/>
                    </w:rPr>
                    <m:t xml:space="preserve"> </m:t>
                  </m:r>
                  <m:r>
                    <w:rPr>
                      <w:rFonts w:ascii="Cambria Math" w:hAnsi="Cambria Math"/>
                    </w:rPr>
                    <m:t>polo</m:t>
                  </m:r>
                  <m:r>
                    <w:rPr>
                      <w:rFonts w:ascii="Cambria Math" w:hAnsi="Cambria Math"/>
                      <w:lang w:val="en-GB"/>
                    </w:rPr>
                    <m:t xml:space="preserve"> </m:t>
                  </m:r>
                  <m:r>
                    <w:rPr>
                      <w:rFonts w:ascii="Cambria Math" w:hAnsi="Cambria Math"/>
                    </w:rPr>
                    <m:t>negativo</m:t>
                  </m:r>
                </m:e>
              </m:eqArr>
            </m:e>
          </m:d>
        </m:oMath>
      </m:oMathPara>
    </w:p>
    <w:p w14:paraId="44FB3D92" w14:textId="706F20B7" w:rsidR="008B5B52" w:rsidRPr="00921C55" w:rsidRDefault="008B5B52" w:rsidP="00EC1400">
      <w:pPr>
        <w:jc w:val="left"/>
      </w:pPr>
      <m:oMath>
        <m:r>
          <w:rPr>
            <w:rFonts w:ascii="Cambria Math" w:hAnsi="Cambria Math"/>
          </w:rPr>
          <m:t>δ</m:t>
        </m:r>
      </m:oMath>
      <w:r>
        <w:rPr>
          <w:rFonts w:eastAsiaTheme="minorEastAsia"/>
        </w:rPr>
        <w:t xml:space="preserve"> se define como</w:t>
      </w:r>
      <w:r w:rsidR="00EC1400">
        <w:rPr>
          <w:rFonts w:eastAsiaTheme="minorEastAsia"/>
        </w:rPr>
        <w:t>:</w:t>
      </w:r>
      <w:r w:rsidR="00EC1400">
        <w:rPr>
          <w:rFonts w:eastAsiaTheme="minorEastAsia"/>
        </w:rPr>
        <w:br/>
      </w: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δ=1 si el úlitmo elemento es positivo</m:t>
                  </m:r>
                </m:e>
                <m:e>
                  <m:r>
                    <w:rPr>
                      <w:rFonts w:ascii="Cambria Math" w:hAnsi="Cambria Math"/>
                    </w:rPr>
                    <m:t>δ=0 si el último el emento es negativo</m:t>
                  </m:r>
                </m:e>
              </m:eqArr>
            </m:e>
          </m:d>
        </m:oMath>
      </m:oMathPara>
    </w:p>
    <w:p w14:paraId="6390DDBD" w14:textId="7F033C0F" w:rsidR="001713D4" w:rsidRPr="00EC03E6" w:rsidRDefault="00EC1400" w:rsidP="00C0647E">
      <w:pPr>
        <w:rPr>
          <w:strike/>
        </w:rPr>
      </w:pPr>
      <w:r w:rsidRPr="00EC03E6">
        <w:rPr>
          <w:strike/>
        </w:rPr>
        <w:t xml:space="preserve">Partiendo de esta premisa, el modelo en una dimensión se traduce en la resolución de un problema combinatorio similar al de la tabla redonda, donde fijado un elemento se calcula como se posicionan el resto de </w:t>
      </w:r>
      <w:r w:rsidR="007A0FCB" w:rsidRPr="00EC03E6">
        <w:rPr>
          <w:strike/>
        </w:rPr>
        <w:t>los elementos</w:t>
      </w:r>
      <w:r w:rsidRPr="00EC03E6">
        <w:rPr>
          <w:strike/>
        </w:rPr>
        <w:t>. Con la diferencia en este caso de que deben considerarse los dos posibles estados.</w:t>
      </w:r>
    </w:p>
    <w:p w14:paraId="5F098E09" w14:textId="411F9B1C" w:rsidR="0054295A" w:rsidRPr="00616454" w:rsidRDefault="0054295A" w:rsidP="00C0647E">
      <w:r w:rsidRPr="00616454">
        <w:t>Se deben considerar de manera independiente dos situaciones</w:t>
      </w:r>
      <w:r w:rsidR="005C2A8F" w:rsidRPr="00616454">
        <w:t xml:space="preserve">, en </w:t>
      </w:r>
      <w:r w:rsidR="00137804" w:rsidRPr="00616454">
        <w:t xml:space="preserve">primer </w:t>
      </w:r>
      <w:r w:rsidR="00E22D5B" w:rsidRPr="00616454">
        <w:t>lugar,</w:t>
      </w:r>
      <w:r w:rsidR="00137804" w:rsidRPr="00616454">
        <w:t xml:space="preserve"> si se comienza con un elemento de polo positivo:</w:t>
      </w:r>
    </w:p>
    <w:p w14:paraId="2ACA7A93" w14:textId="459D517D" w:rsidR="00E22D5B" w:rsidRPr="00616454" w:rsidRDefault="00E22D5B" w:rsidP="00C0647E">
      <w:r w:rsidRPr="00616454">
        <w:t>Los saltos entre elementos positivos donde s es la posición de elementos positivos vienen dados por la siguiente combinación</w:t>
      </w:r>
      <w:r w:rsidR="00616454">
        <w:t>”</w:t>
      </w:r>
    </w:p>
    <w:p w14:paraId="62F34DE3" w14:textId="5332BAEA" w:rsidR="00A8531A" w:rsidRPr="00616454" w:rsidRDefault="00000000" w:rsidP="00C0647E">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oMath>
      </m:oMathPara>
    </w:p>
    <w:p w14:paraId="15D2F646" w14:textId="6B63FFE4" w:rsidR="00E22D5B" w:rsidRPr="00616454" w:rsidRDefault="00E22D5B" w:rsidP="00C0647E">
      <w:r w:rsidRPr="00616454">
        <w:lastRenderedPageBreak/>
        <w:t>Los saltos entre los elementos negativos cuando la cadena empieza por un elemento positivo vienen dados por</w:t>
      </w:r>
    </w:p>
    <w:p w14:paraId="775C3849" w14:textId="5679DFDF" w:rsidR="00926BB2" w:rsidRPr="00616454" w:rsidRDefault="00000000" w:rsidP="00C0647E">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oMath>
      </m:oMathPara>
    </w:p>
    <w:p w14:paraId="70C7CE13" w14:textId="49DE7783" w:rsidR="005C2A8F" w:rsidRPr="00E844F2" w:rsidRDefault="00E22D5B" w:rsidP="00C0647E">
      <w:pPr>
        <w:rPr>
          <w:color w:val="FF0000"/>
        </w:rPr>
      </w:pPr>
      <w:r w:rsidRPr="00616454">
        <w:t xml:space="preserve">En definitiva, las posibles posiciones de los elementos cuando empiezan por uno positivo </w:t>
      </w:r>
      <w:r w:rsidR="00D812DB" w:rsidRPr="00616454">
        <w:t>quedarían</w:t>
      </w:r>
      <w:r w:rsidRPr="00616454">
        <w:t xml:space="preserve"> de la siguiente forma</w:t>
      </w:r>
      <w:r w:rsidR="00164533" w:rsidRPr="00164533">
        <w:t xml:space="preserve"> (Ising, 1925).</w:t>
      </w:r>
    </w:p>
    <w:p w14:paraId="3DDCD76F" w14:textId="6904535B" w:rsidR="00D812DB" w:rsidRDefault="00000000" w:rsidP="00C0647E">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oMath>
      </m:oMathPara>
    </w:p>
    <w:p w14:paraId="67B80273" w14:textId="4475F3FA" w:rsidR="00E22D5B" w:rsidRDefault="00E22D5B" w:rsidP="00C0647E">
      <w:r>
        <w:t xml:space="preserve">En segundo lugar, si se comienza por un elemento de polo </w:t>
      </w:r>
      <w:r w:rsidR="00A8531A">
        <w:t>negativo, la distribución de los elementos quedaría:</w:t>
      </w:r>
    </w:p>
    <w:p w14:paraId="0C2234B7" w14:textId="0664DB95" w:rsidR="001E1174" w:rsidRDefault="00000000" w:rsidP="001E1174">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oMath>
      </m:oMathPara>
    </w:p>
    <w:p w14:paraId="2AC81E6D" w14:textId="27AF1AAD" w:rsidR="001E1174" w:rsidRDefault="001E1174" w:rsidP="00C0647E">
      <w:r>
        <w:t>La distribución de las n partículas queda determinada por la suma de ambas</w:t>
      </w:r>
    </w:p>
    <w:p w14:paraId="0F64C89A" w14:textId="1CA460B5" w:rsidR="00821051" w:rsidRPr="00741B5C" w:rsidRDefault="00000000" w:rsidP="00821051">
      <w:pPr>
        <w:rPr>
          <w:rFonts w:eastAsiaTheme="minorEastAsia"/>
        </w:rPr>
      </w:pPr>
      <m:oMathPara>
        <m:oMath>
          <m:nary>
            <m:naryPr>
              <m:chr m:val="∑"/>
              <m:limLoc m:val="undOvr"/>
              <m:subHide m:val="1"/>
              <m:supHide m:val="1"/>
              <m:ctrlPr>
                <w:rPr>
                  <w:rFonts w:ascii="Cambria Math" w:hAnsi="Cambria Math"/>
                  <w:i/>
                </w:rPr>
              </m:ctrlPr>
            </m:naryPr>
            <m:sub/>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e>
          </m:nary>
        </m:oMath>
      </m:oMathPara>
    </w:p>
    <w:p w14:paraId="3498E07F" w14:textId="5BE4E36C" w:rsidR="00741B5C" w:rsidRDefault="00FB41F6" w:rsidP="00821051">
      <w:r>
        <w:t>Cuando se produce una interacción entre partículas de diferentes polaridades en posiciones consecutivas el sistema produce energía interna expresada como:</w:t>
      </w:r>
    </w:p>
    <w:p w14:paraId="576E5166" w14:textId="0CCE7FEC" w:rsidR="00FB41F6" w:rsidRPr="00FB41F6" w:rsidRDefault="00FB41F6" w:rsidP="00821051">
      <w:pPr>
        <w:rPr>
          <w:rFonts w:eastAsiaTheme="minorEastAsia"/>
        </w:rPr>
      </w:pPr>
      <m:oMathPara>
        <m:oMath>
          <m:r>
            <w:rPr>
              <w:rFonts w:ascii="Cambria Math" w:hAnsi="Cambria Math"/>
            </w:rPr>
            <m:t>J=</m:t>
          </m:r>
          <m:d>
            <m:dPr>
              <m:ctrlPr>
                <w:rPr>
                  <w:rFonts w:ascii="Cambria Math" w:hAnsi="Cambria Math"/>
                  <w:i/>
                </w:rPr>
              </m:ctrlPr>
            </m:dPr>
            <m:e>
              <m:r>
                <w:rPr>
                  <w:rFonts w:ascii="Cambria Math" w:hAnsi="Cambria Math"/>
                </w:rPr>
                <m:t>2+δ</m:t>
              </m:r>
            </m:e>
          </m:d>
          <m:r>
            <w:rPr>
              <w:rFonts w:ascii="Cambria Math" w:hAnsi="Cambria Math"/>
            </w:rPr>
            <m:t>ϵ+</m:t>
          </m:r>
          <m:d>
            <m:dPr>
              <m:ctrlPr>
                <w:rPr>
                  <w:rFonts w:ascii="Cambria Math" w:hAnsi="Cambria Math"/>
                  <w:i/>
                </w:rPr>
              </m:ctrlPr>
            </m:dPr>
            <m:e>
              <m:sSub>
                <m:sSubPr>
                  <m:ctrlPr>
                    <w:rPr>
                      <w:rFonts w:ascii="Cambria Math" w:eastAsiaTheme="minorEastAsia" w:hAnsi="Cambria Math"/>
                      <w:i/>
                    </w:rPr>
                  </m:ctrlPr>
                </m:sSubPr>
                <m:e>
                  <m:r>
                    <w:rPr>
                      <w:rFonts w:ascii="Cambria Math" w:hAnsi="Cambria Math"/>
                    </w:rPr>
                    <m:t>η</m:t>
                  </m:r>
                  <m:ctrlPr>
                    <w:rPr>
                      <w:rFonts w:ascii="Cambria Math" w:hAnsi="Cambria Math"/>
                      <w:i/>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ctrlPr>
                <w:rPr>
                  <w:rFonts w:ascii="Cambria Math" w:eastAsiaTheme="minorEastAsia" w:hAnsi="Cambria Math"/>
                  <w:i/>
                </w:rPr>
              </m:ctrlPr>
            </m:e>
          </m:d>
          <m:r>
            <w:rPr>
              <w:rFonts w:ascii="Cambria Math" w:eastAsiaTheme="minorEastAsia" w:hAnsi="Cambria Math"/>
            </w:rPr>
            <m:t>mH</m:t>
          </m:r>
        </m:oMath>
      </m:oMathPara>
    </w:p>
    <w:p w14:paraId="73066876" w14:textId="0F70D18A" w:rsidR="00FB41F6" w:rsidRDefault="00FB41F6" w:rsidP="00821051">
      <w:pPr>
        <w:rPr>
          <w:rFonts w:eastAsiaTheme="minorEastAsia"/>
        </w:rPr>
      </w:pPr>
      <w:r>
        <w:rPr>
          <w:rFonts w:eastAsiaTheme="minorEastAsia"/>
        </w:rPr>
        <w:t xml:space="preserve">Donde </w:t>
      </w:r>
      <m:oMath>
        <m:r>
          <w:rPr>
            <w:rFonts w:ascii="Cambria Math" w:eastAsiaTheme="minorEastAsia" w:hAnsi="Cambria Math"/>
          </w:rPr>
          <m:t>e≥0</m:t>
        </m:r>
      </m:oMath>
      <w:r>
        <w:rPr>
          <w:rFonts w:eastAsiaTheme="minorEastAsia"/>
        </w:rPr>
        <w:t xml:space="preserve"> es la energía de interacción, </w:t>
      </w:r>
      <m:oMath>
        <m:r>
          <w:rPr>
            <w:rFonts w:ascii="Cambria Math" w:eastAsiaTheme="minorEastAsia" w:hAnsi="Cambria Math"/>
          </w:rPr>
          <m:t>δ</m:t>
        </m:r>
      </m:oMath>
      <w:r>
        <w:rPr>
          <w:rFonts w:eastAsiaTheme="minorEastAsia"/>
        </w:rPr>
        <w:t xml:space="preserve"> depende de la configuración del último espín,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oMath>
      <w:r>
        <w:rPr>
          <w:rFonts w:eastAsiaTheme="minorEastAsia"/>
        </w:rPr>
        <w:t xml:space="preserve">y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oMath>
      <w:r>
        <w:rPr>
          <w:rFonts w:eastAsiaTheme="minorEastAsia"/>
        </w:rPr>
        <w:t xml:space="preserve"> representan el número de espines positivos y negativos y </w:t>
      </w:r>
      <m:oMath>
        <m:r>
          <w:rPr>
            <w:rFonts w:ascii="Cambria Math" w:eastAsiaTheme="minorEastAsia" w:hAnsi="Cambria Math"/>
          </w:rPr>
          <m:t>mH</m:t>
        </m:r>
      </m:oMath>
      <w:r>
        <w:rPr>
          <w:rFonts w:eastAsiaTheme="minorEastAsia"/>
        </w:rPr>
        <w:t xml:space="preserve"> es la energía magnética.</w:t>
      </w:r>
    </w:p>
    <w:p w14:paraId="2C03CA3D" w14:textId="003D8770" w:rsidR="00FB41F6" w:rsidRDefault="00FB41F6" w:rsidP="00821051">
      <w:pPr>
        <w:rPr>
          <w:rFonts w:eastAsiaTheme="minorEastAsia"/>
        </w:rPr>
      </w:pPr>
      <w:r>
        <w:rPr>
          <w:rFonts w:eastAsiaTheme="minorEastAsia"/>
        </w:rPr>
        <w:t xml:space="preserve">Relacionando el sistema con la constante de Boltzman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m:t>
        </m:r>
      </m:oMath>
      <w:r>
        <w:rPr>
          <w:rFonts w:eastAsiaTheme="minorEastAsia"/>
        </w:rPr>
        <w:t xml:space="preserve"> y con la temperatura absoluta </w:t>
      </w:r>
      <m:oMath>
        <m:r>
          <w:rPr>
            <w:rFonts w:ascii="Cambria Math" w:eastAsiaTheme="minorEastAsia" w:hAnsi="Cambria Math"/>
          </w:rPr>
          <m:t>(T)</m:t>
        </m:r>
      </m:oMath>
    </w:p>
    <w:p w14:paraId="68724E33" w14:textId="1453E996" w:rsidR="00FB41F6" w:rsidRPr="00060141" w:rsidRDefault="00FB41F6" w:rsidP="00821051">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mH</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T</m:t>
              </m:r>
            </m:den>
          </m:f>
          <m:r>
            <w:rPr>
              <w:rFonts w:ascii="Cambria Math" w:eastAsiaTheme="minorEastAsia" w:hAnsi="Cambria Math"/>
            </w:rPr>
            <m:t>⟺mH=α</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 xml:space="preserve">T </m:t>
          </m:r>
        </m:oMath>
      </m:oMathPara>
    </w:p>
    <w:p w14:paraId="7A4B26B5" w14:textId="26EA032B" w:rsidR="00060141" w:rsidRDefault="00060141" w:rsidP="00821051">
      <w:pPr>
        <w:rPr>
          <w:rFonts w:eastAsiaTheme="minorEastAsia"/>
        </w:rPr>
      </w:pPr>
      <w:r>
        <w:rPr>
          <w:rFonts w:eastAsiaTheme="minorEastAsia"/>
        </w:rPr>
        <w:lastRenderedPageBreak/>
        <w:t>La función de partición del sistema queda expresada como:</w:t>
      </w:r>
    </w:p>
    <w:p w14:paraId="5E7B8157" w14:textId="0A49C49C" w:rsidR="00060141" w:rsidRPr="00060141" w:rsidRDefault="00060141" w:rsidP="00821051">
      <w:pPr>
        <w:rPr>
          <w:rFonts w:eastAsiaTheme="minorEastAsia"/>
        </w:rPr>
      </w:pPr>
      <m:oMathPara>
        <m:oMath>
          <m:r>
            <w:rPr>
              <w:rFonts w:ascii="Cambria Math" w:eastAsiaTheme="minorEastAsia" w:hAnsi="Cambria Math"/>
            </w:rPr>
            <m:t>Z=∑</m:t>
          </m:r>
          <m:d>
            <m:dPr>
              <m:begChr m:val="["/>
              <m:endChr m:val="]"/>
              <m:ctrlPr>
                <w:rPr>
                  <w:rFonts w:ascii="Cambria Math" w:eastAsiaTheme="minorEastAsia" w:hAnsi="Cambria Math"/>
                  <w:i/>
                </w:rPr>
              </m:ctrlPr>
            </m:dPr>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ctrlPr>
                <w:rPr>
                  <w:rFonts w:ascii="Cambria Math" w:hAnsi="Cambria Math"/>
                  <w:i/>
                </w:rPr>
              </m:ctrlP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2+δ</m:t>
                      </m:r>
                    </m:e>
                  </m:d>
                  <m:r>
                    <w:rPr>
                      <w:rFonts w:ascii="Cambria Math" w:eastAsiaTheme="minorEastAsia" w:hAnsi="Cambria Math"/>
                    </w:rPr>
                    <m:t>ϵ</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T</m:t>
                  </m:r>
                </m:den>
              </m:f>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r>
                <w:rPr>
                  <w:rFonts w:ascii="Cambria Math" w:eastAsiaTheme="minorEastAsia" w:hAnsi="Cambria Math"/>
                </w:rPr>
                <m:t>α</m:t>
              </m:r>
            </m:sup>
          </m:sSup>
        </m:oMath>
      </m:oMathPara>
    </w:p>
    <w:p w14:paraId="5B543672" w14:textId="6D9E7427" w:rsidR="00060141" w:rsidRDefault="00060141" w:rsidP="00821051">
      <w:pPr>
        <w:rPr>
          <w:rFonts w:eastAsiaTheme="minorEastAsia"/>
        </w:rPr>
      </w:pPr>
      <w:r>
        <w:rPr>
          <w:rFonts w:eastAsiaTheme="minorEastAsia"/>
        </w:rPr>
        <w:t>Aplicando el enfoque de series generadoras y el teorema del binomio:</w:t>
      </w:r>
    </w:p>
    <w:p w14:paraId="7AA6C986" w14:textId="7D2F22B2" w:rsidR="00060141" w:rsidRPr="00060141" w:rsidRDefault="00060141" w:rsidP="00821051">
      <w:pPr>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α</m:t>
                      </m:r>
                    </m:e>
                  </m:d>
                </m:e>
              </m:func>
              <m:r>
                <w:rPr>
                  <w:rFonts w:ascii="Cambria Math" w:eastAsiaTheme="minorEastAsia" w:hAnsi="Cambria Math"/>
                </w:rPr>
                <m:t>+</m:t>
              </m:r>
              <m:rad>
                <m:radPr>
                  <m:degHide m:val="1"/>
                  <m:ctrlPr>
                    <w:rPr>
                      <w:rFonts w:ascii="Cambria Math" w:eastAsiaTheme="minorEastAsia" w:hAnsi="Cambria Math"/>
                      <w:i/>
                    </w:rPr>
                  </m:ctrlPr>
                </m:radPr>
                <m:deg/>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2+δ</m:t>
                                  </m:r>
                                </m:e>
                              </m:d>
                              <m:r>
                                <w:rPr>
                                  <w:rFonts w:ascii="Cambria Math" w:eastAsiaTheme="minorEastAsia" w:hAnsi="Cambria Math"/>
                                </w:rPr>
                                <m:t>ϵ</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T</m:t>
                              </m:r>
                            </m:den>
                          </m:f>
                        </m:sup>
                      </m:sSup>
                    </m:e>
                  </m:func>
                </m:e>
              </m:rad>
            </m:e>
          </m:d>
        </m:oMath>
      </m:oMathPara>
    </w:p>
    <w:p w14:paraId="16881BAD" w14:textId="118BB812" w:rsidR="00060141" w:rsidRDefault="00060141" w:rsidP="00821051">
      <w:pPr>
        <w:rPr>
          <w:rFonts w:eastAsiaTheme="minorEastAsia"/>
        </w:rPr>
      </w:pPr>
      <w:r>
        <w:rPr>
          <w:rFonts w:eastAsiaTheme="minorEastAsia"/>
        </w:rPr>
        <w:t>La energía libre se obtiene como:</w:t>
      </w:r>
    </w:p>
    <w:p w14:paraId="3C666170" w14:textId="77BD67BF" w:rsidR="00060141" w:rsidRPr="00060141" w:rsidRDefault="00060141" w:rsidP="00821051">
      <w:pPr>
        <w:rPr>
          <w:rFonts w:eastAsiaTheme="minorEastAsia"/>
        </w:rPr>
      </w:pPr>
      <m:oMathPara>
        <m:oMath>
          <m:r>
            <w:rPr>
              <w:rFonts w:ascii="Cambria Math" w:eastAsiaTheme="minorEastAsia" w:hAnsi="Cambria Math"/>
            </w:rPr>
            <m:t>J=m</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Z</m:t>
                  </m:r>
                </m:e>
              </m:d>
            </m:e>
          </m:func>
          <m:r>
            <w:rPr>
              <w:rFonts w:ascii="Cambria Math" w:eastAsiaTheme="minorEastAsia" w:hAnsi="Cambria Math"/>
            </w:rPr>
            <m:t>=&gt;J=</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α</m:t>
                      </m:r>
                    </m:e>
                  </m:d>
                </m:e>
              </m:func>
            </m:num>
            <m:den>
              <m:rad>
                <m:radPr>
                  <m:degHide m:val="1"/>
                  <m:ctrlPr>
                    <w:rPr>
                      <w:rFonts w:ascii="Cambria Math" w:eastAsiaTheme="minorEastAsia" w:hAnsi="Cambria Math"/>
                      <w:i/>
                    </w:rPr>
                  </m:ctrlPr>
                </m:radPr>
                <m:deg/>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2+δ</m:t>
                                  </m:r>
                                </m:e>
                              </m:d>
                              <m:r>
                                <w:rPr>
                                  <w:rFonts w:ascii="Cambria Math" w:eastAsiaTheme="minorEastAsia" w:hAnsi="Cambria Math"/>
                                </w:rPr>
                                <m:t>ϵ</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β</m:t>
                                  </m:r>
                                </m:sub>
                              </m:sSub>
                              <m:r>
                                <w:rPr>
                                  <w:rFonts w:ascii="Cambria Math" w:eastAsiaTheme="minorEastAsia" w:hAnsi="Cambria Math"/>
                                </w:rPr>
                                <m:t>T</m:t>
                              </m:r>
                            </m:den>
                          </m:f>
                        </m:sup>
                      </m:sSup>
                    </m:e>
                  </m:func>
                </m:e>
              </m:rad>
            </m:den>
          </m:f>
        </m:oMath>
      </m:oMathPara>
    </w:p>
    <w:p w14:paraId="46E48F73" w14:textId="3397700F" w:rsidR="00060141" w:rsidRPr="00FB41F6" w:rsidRDefault="00060141" w:rsidP="00821051">
      <w:pPr>
        <w:rPr>
          <w:rFonts w:eastAsiaTheme="minorEastAsia"/>
        </w:rPr>
      </w:pPr>
      <w:r>
        <w:rPr>
          <w:rFonts w:eastAsiaTheme="minorEastAsia"/>
        </w:rPr>
        <w:t xml:space="preserve">Finalmente, tomando el límite </w:t>
      </w:r>
      <m:oMath>
        <m:r>
          <w:rPr>
            <w:rFonts w:ascii="Cambria Math" w:eastAsiaTheme="minorEastAsia" w:hAnsi="Cambria Math"/>
          </w:rPr>
          <m:t>α→0</m:t>
        </m:r>
      </m:oMath>
      <w:r>
        <w:rPr>
          <w:rFonts w:eastAsiaTheme="minorEastAsia"/>
        </w:rPr>
        <w:t xml:space="preserve"> se concluye que: </w:t>
      </w:r>
      <m:oMath>
        <m:r>
          <w:rPr>
            <w:rFonts w:ascii="Cambria Math" w:eastAsiaTheme="minorEastAsia" w:hAnsi="Cambria Math"/>
          </w:rPr>
          <m:t>J→0</m:t>
        </m:r>
      </m:oMath>
      <w:r>
        <w:rPr>
          <w:rFonts w:eastAsiaTheme="minorEastAsia"/>
        </w:rPr>
        <w:t xml:space="preserve"> lo que implica que en una dimensión no existe transición de fase, confirmando el resultado original obtenido por Ising en 1925.</w:t>
      </w:r>
    </w:p>
    <w:p w14:paraId="546C9A3F" w14:textId="4F0F5CEA" w:rsidR="001E4350" w:rsidRDefault="002C5DDA" w:rsidP="001E4350">
      <w:pPr>
        <w:pStyle w:val="Ttulo3"/>
      </w:pPr>
      <w:bookmarkStart w:id="22" w:name="_Toc199704564"/>
      <w:r>
        <w:t>Modelo de Ising en 2D</w:t>
      </w:r>
      <w:bookmarkEnd w:id="22"/>
    </w:p>
    <w:p w14:paraId="2D81C76F" w14:textId="2BE50568" w:rsidR="006F3DDE" w:rsidRDefault="00D60733" w:rsidP="001E4350">
      <w:r>
        <w:t xml:space="preserve">Contrariamente a la situación analizada </w:t>
      </w:r>
      <w:r w:rsidR="009D007A">
        <w:t xml:space="preserve">anteriormente si existe solución para el modelo en dos dimensiones. </w:t>
      </w:r>
      <w:r w:rsidR="00B156D6">
        <w:t>La solución original de Lars Onsager, muy celebrada entre los matemáticos y físic</w:t>
      </w:r>
      <w:r w:rsidR="006F3DDE">
        <w:t>o</w:t>
      </w:r>
      <w:r w:rsidR="00B156D6">
        <w:t>s, ha sido siempre polémica por su complejidad</w:t>
      </w:r>
      <w:r w:rsidR="006F3DDE">
        <w:t>.</w:t>
      </w:r>
      <w:r w:rsidR="00277C84" w:rsidRPr="00277C84">
        <w:t xml:space="preserve"> </w:t>
      </w:r>
      <w:r w:rsidR="00277C84" w:rsidRPr="00164533">
        <w:t>(Onsager, 1944).</w:t>
      </w:r>
    </w:p>
    <w:p w14:paraId="56A84F74" w14:textId="1C6C088A" w:rsidR="001E4350" w:rsidRDefault="00226197" w:rsidP="001E4350">
      <w:r>
        <w:t>La energía total del sistema viene descrita por el Hamiltoniano:</w:t>
      </w:r>
    </w:p>
    <w:p w14:paraId="16A1720D" w14:textId="77777777" w:rsidR="00BE3735" w:rsidRDefault="00A20415" w:rsidP="001E4350">
      <w:pPr>
        <w:rPr>
          <w:rFonts w:eastAsiaTheme="minorEastAsia"/>
        </w:rPr>
      </w:pPr>
      <m:oMathPara>
        <m:oMath>
          <m:r>
            <w:rPr>
              <w:rFonts w:ascii="Cambria Math" w:hAnsi="Cambria Math"/>
            </w:rPr>
            <m:t>H=-</m:t>
          </m:r>
          <m:nary>
            <m:naryPr>
              <m:chr m:val="∑"/>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J</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5F150D5A" w14:textId="117CEC72" w:rsidR="00B156D6" w:rsidRDefault="00BE3735" w:rsidP="001E4350">
      <w:r>
        <w:rPr>
          <w:rFonts w:eastAsiaTheme="minorEastAsia"/>
        </w:rPr>
        <w:t xml:space="preserve">Al estar trabajando con el modelo de Ising sin magnetización externa </w:t>
      </w:r>
      <m:oMath>
        <m:r>
          <w:rPr>
            <w:rFonts w:ascii="Cambria Math" w:eastAsiaTheme="minorEastAsia" w:hAnsi="Cambria Math"/>
          </w:rPr>
          <m:t>(B=0)</m:t>
        </m:r>
      </m:oMath>
      <w:r>
        <w:rPr>
          <w:rFonts w:eastAsiaTheme="minorEastAsia"/>
        </w:rPr>
        <w:t xml:space="preserve">, </w:t>
      </w:r>
      <w:r w:rsidR="00B124DB">
        <w:rPr>
          <w:rFonts w:eastAsiaTheme="minorEastAsia"/>
        </w:rPr>
        <w:t>únic</w:t>
      </w:r>
      <w:r w:rsidR="0031315C">
        <w:rPr>
          <w:rFonts w:eastAsiaTheme="minorEastAsia"/>
        </w:rPr>
        <w:t xml:space="preserve">amente se tendrá en consideración el primer componente de </w:t>
      </w:r>
      <w:r>
        <w:rPr>
          <w:rFonts w:eastAsiaTheme="minorEastAsia"/>
        </w:rPr>
        <w:t>la ecuación</w:t>
      </w:r>
      <w:r w:rsidR="00226197">
        <w:rPr>
          <w:rFonts w:eastAsiaTheme="minorEastAsia"/>
        </w:rPr>
        <w:t xml:space="preserve"> d</w:t>
      </w:r>
      <w:r w:rsidR="005533C7">
        <w:rPr>
          <w:rFonts w:eastAsiaTheme="minorEastAsia"/>
        </w:rPr>
        <w:t xml:space="preserve">ónde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5533C7">
        <w:rPr>
          <w:rFonts w:eastAsiaTheme="minorEastAsia"/>
        </w:rPr>
        <w:t xml:space="preserve"> es el valor del espin en el sitio </w:t>
      </w:r>
      <m:oMath>
        <m:r>
          <w:rPr>
            <w:rFonts w:ascii="Cambria Math" w:eastAsiaTheme="minorEastAsia" w:hAnsi="Cambria Math"/>
          </w:rPr>
          <m:t>i</m:t>
        </m:r>
      </m:oMath>
      <w:r w:rsidR="005533C7">
        <w:rPr>
          <w:rFonts w:eastAsiaTheme="minorEastAsia"/>
        </w:rPr>
        <w:t xml:space="preserve"> que puede tomar dos valores posibles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Por otro lado,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ij</m:t>
            </m:r>
          </m:sub>
        </m:sSub>
      </m:oMath>
      <w:r w:rsidR="0050015B">
        <w:rPr>
          <w:rFonts w:eastAsiaTheme="minorEastAsia"/>
        </w:rPr>
        <w:t xml:space="preserve"> s la constante de interacción entre los espines </w:t>
      </w:r>
      <w:r w:rsidR="0050015B">
        <w:rPr>
          <w:rFonts w:eastAsiaTheme="minorEastAsia"/>
        </w:rPr>
        <w:lastRenderedPageBreak/>
        <w:t>vecinos, si este valor es positivo favorecerá la alineación de espines paralelos.</w:t>
      </w:r>
      <w:r w:rsidR="00647A37">
        <w:rPr>
          <w:rFonts w:eastAsiaTheme="minorEastAsia"/>
        </w:rPr>
        <w:t xml:space="preserve"> </w:t>
      </w:r>
      <w:r w:rsidR="00647A37">
        <w:t>Adicionalmente</w:t>
      </w:r>
      <w:r w:rsidR="00171117">
        <w:t>,</w:t>
      </w:r>
      <w:r w:rsidR="00802C6B">
        <w:t xml:space="preserve"> la configuración de</w:t>
      </w:r>
      <w:r w:rsidR="00B071BF">
        <w:t xml:space="preserve"> los espines también depende</w:t>
      </w:r>
      <w:r w:rsidR="00647A37">
        <w:t>rá</w:t>
      </w:r>
      <w:r w:rsidR="00B071BF">
        <w:t xml:space="preserve"> de la temperatura, </w:t>
      </w:r>
      <w:r w:rsidR="00171117">
        <w:t>pues un aumento en esta tenderá a desordenar los espines</w:t>
      </w:r>
      <w:r w:rsidR="00647A37">
        <w:t>.</w:t>
      </w:r>
    </w:p>
    <w:p w14:paraId="25266316" w14:textId="253AAC80" w:rsidR="0029076F" w:rsidRDefault="0029076F" w:rsidP="0029076F">
      <w:r>
        <w:t>Hoy en día el modelo de Ising es uno</w:t>
      </w:r>
      <w:r w:rsidR="0057126E">
        <w:t xml:space="preserve"> de los modelos estándar en la física </w:t>
      </w:r>
      <w:r w:rsidR="00BC3ED6">
        <w:t>estadística</w:t>
      </w:r>
      <w:r w:rsidR="00E844F2">
        <w:t xml:space="preserve"> </w:t>
      </w:r>
      <w:r w:rsidR="00277C84" w:rsidRPr="00C917B4">
        <w:t>(Brush, 1967)</w:t>
      </w:r>
      <w:r w:rsidR="00BC3ED6" w:rsidRPr="00C917B4">
        <w:t xml:space="preserve">. </w:t>
      </w:r>
      <w:r w:rsidR="00BC3ED6">
        <w:t xml:space="preserve">Además, ha ganado popularidad en una amplia variedad de campos diferentes como biología, sociología, economía, etc., porque es uno de los modelos más simples que describe la interacción de entidades que intentan ajustar su comportamiento para alinearse </w:t>
      </w:r>
      <w:r w:rsidR="00E844F2" w:rsidRPr="00816D76">
        <w:t xml:space="preserve">entre ellos </w:t>
      </w:r>
      <w:r w:rsidR="00277C84" w:rsidRPr="00C917B4">
        <w:t>(Stauffer, 2008)</w:t>
      </w:r>
      <w:r w:rsidR="00BC3ED6" w:rsidRPr="00C917B4">
        <w:t xml:space="preserve">. </w:t>
      </w:r>
      <w:r w:rsidR="0057126E">
        <w:t xml:space="preserve">Este modelo </w:t>
      </w:r>
      <w:r>
        <w:t xml:space="preserve">ha sido ampliamente estudiado y </w:t>
      </w:r>
      <w:r w:rsidRPr="00277C84">
        <w:t>se conocen resultados exactos para los casos unidimensional</w:t>
      </w:r>
      <w:r w:rsidR="00E844F2" w:rsidRPr="00277C84">
        <w:t xml:space="preserve"> </w:t>
      </w:r>
      <w:r w:rsidR="00277C84" w:rsidRPr="00277C84">
        <w:t>resuelto originalmente por Ernst Ising en su tesis doctoral</w:t>
      </w:r>
      <w:r w:rsidR="00277C84" w:rsidRPr="00277C84">
        <w:rPr>
          <w:color w:val="FF0000"/>
        </w:rPr>
        <w:t xml:space="preserve"> </w:t>
      </w:r>
      <w:r w:rsidR="00277C84" w:rsidRPr="00164533">
        <w:t>(Ising, 1925</w:t>
      </w:r>
      <w:r w:rsidR="00E844F2" w:rsidRPr="00164533">
        <w:t>)</w:t>
      </w:r>
      <w:r w:rsidR="00277C84" w:rsidRPr="00164533">
        <w:t xml:space="preserve">. </w:t>
      </w:r>
      <w:r w:rsidR="00277C84" w:rsidRPr="00277C84">
        <w:t>En el caso bidimensional, en ausencia de campo magnético externo, la solución exacta fue presentada por Onsager (1944)</w:t>
      </w:r>
      <w:r>
        <w:t>. Sin embargo, es importante señalar que, hasta la fecha, el modelo en tres dimensiones no ha sido resuelto ni aún en ausencia de campo magnético externo</w:t>
      </w:r>
      <w:r w:rsidR="00E844F2" w:rsidRPr="00C917B4">
        <w:t xml:space="preserve"> </w:t>
      </w:r>
      <w:r w:rsidR="00277C84" w:rsidRPr="00C917B4">
        <w:t xml:space="preserve">(Pelissetto </w:t>
      </w:r>
      <w:r w:rsidR="00C917B4" w:rsidRPr="00C917B4">
        <w:t>y</w:t>
      </w:r>
      <w:r w:rsidR="00277C84" w:rsidRPr="00C917B4">
        <w:t xml:space="preserve"> Vicari, 2002).</w:t>
      </w:r>
    </w:p>
    <w:p w14:paraId="0E499235" w14:textId="0F591E02" w:rsidR="00B156D6" w:rsidRDefault="00B156D6">
      <w:pPr>
        <w:spacing w:before="0" w:after="0" w:line="240" w:lineRule="auto"/>
        <w:jc w:val="left"/>
      </w:pPr>
    </w:p>
    <w:p w14:paraId="00CC9D69" w14:textId="6D0770B6" w:rsidR="005A5FFE" w:rsidRPr="005A5FFE" w:rsidRDefault="008659B3" w:rsidP="005A5FFE">
      <w:pPr>
        <w:pStyle w:val="Ttulo2"/>
      </w:pPr>
      <w:bookmarkStart w:id="23" w:name="_Toc199704565"/>
      <w:r>
        <w:t>Método de Montecarlo</w:t>
      </w:r>
      <w:bookmarkEnd w:id="23"/>
    </w:p>
    <w:p w14:paraId="64DCC198" w14:textId="543F0655" w:rsidR="00074D1D" w:rsidRPr="00E844F2" w:rsidRDefault="0094128C" w:rsidP="39E28D74">
      <w:pPr>
        <w:rPr>
          <w:color w:val="FF0000"/>
        </w:rPr>
      </w:pPr>
      <w:r>
        <w:t>Ideado por John Von Neumann y Stanis</w:t>
      </w:r>
      <w:r w:rsidR="000C1417" w:rsidRPr="000C1417">
        <w:t>ł</w:t>
      </w:r>
      <w:r>
        <w:t>aw Ulam</w:t>
      </w:r>
      <w:r w:rsidR="00E844F2">
        <w:rPr>
          <w:color w:val="FF0000"/>
        </w:rPr>
        <w:t xml:space="preserve"> </w:t>
      </w:r>
      <w:r>
        <w:t xml:space="preserve"> </w:t>
      </w:r>
      <w:r w:rsidR="00332F25">
        <w:t xml:space="preserve">durante </w:t>
      </w:r>
      <w:r w:rsidR="00F42CDE">
        <w:t>la segunda guerra mundial</w:t>
      </w:r>
      <w:r w:rsidR="00332F25">
        <w:t>, el Método de Montecarlo es un m</w:t>
      </w:r>
      <w:r w:rsidR="003E404D">
        <w:t xml:space="preserve">étodo no determinista o estadístico numérico utilizado </w:t>
      </w:r>
      <w:r w:rsidR="009B459E">
        <w:t xml:space="preserve">en diversos </w:t>
      </w:r>
      <w:r w:rsidR="00452EBF">
        <w:t xml:space="preserve">ámbitos como ingeniería, estadística, física o finanzas </w:t>
      </w:r>
      <w:r w:rsidR="003E404D">
        <w:t>para aproximar expresiones matemáticas complejas y costosas de evaluar con exactitud</w:t>
      </w:r>
      <w:r w:rsidR="00E844F2">
        <w:t xml:space="preserve"> </w:t>
      </w:r>
      <w:r w:rsidR="00C84732" w:rsidRPr="003E7A69">
        <w:t xml:space="preserve">(Metropolis </w:t>
      </w:r>
      <w:r w:rsidR="003E7A69" w:rsidRPr="003E7A69">
        <w:t>y</w:t>
      </w:r>
      <w:r w:rsidR="00C84732" w:rsidRPr="003E7A69">
        <w:t xml:space="preserve"> Ulam, 1949)</w:t>
      </w:r>
      <w:r w:rsidR="00E844F2" w:rsidRPr="003E7A69">
        <w:t>.</w:t>
      </w:r>
    </w:p>
    <w:p w14:paraId="121F06B4" w14:textId="5EDF8D53" w:rsidR="006F35A8" w:rsidRDefault="006F35A8" w:rsidP="39E28D74">
      <w:r>
        <w:t xml:space="preserve">Tomando valores aleatorios de las condiciones de entrada puede estudiarse </w:t>
      </w:r>
      <w:r w:rsidR="00C672B6">
        <w:t>el promedio de</w:t>
      </w:r>
      <w:r w:rsidR="009B459E">
        <w:t xml:space="preserve"> </w:t>
      </w:r>
      <w:r>
        <w:t xml:space="preserve">los resultados obtenidos </w:t>
      </w:r>
      <w:r w:rsidR="00B90206">
        <w:t>con el fin</w:t>
      </w:r>
      <w:r>
        <w:t xml:space="preserve"> de</w:t>
      </w:r>
      <w:r w:rsidR="00B90206">
        <w:t xml:space="preserve"> discernir el comportamiento de los contribuyentes.</w:t>
      </w:r>
    </w:p>
    <w:p w14:paraId="39EB1B08" w14:textId="48F385AE" w:rsidR="00C84732" w:rsidRDefault="00C672B6" w:rsidP="00337FBF">
      <w:pPr>
        <w:rPr>
          <w:rFonts w:eastAsiaTheme="minorEastAsia"/>
        </w:rPr>
      </w:pPr>
      <w:r>
        <w:t xml:space="preserve">Una de las aplicaciones más habituales para explicar el funcionamiento del método es </w:t>
      </w:r>
      <w:r w:rsidR="0096010D">
        <w:t xml:space="preserve">la estimación del valor de </w:t>
      </w:r>
      <m:oMath>
        <m:r>
          <m:rPr>
            <m:sty m:val="p"/>
          </m:rPr>
          <w:rPr>
            <w:rFonts w:ascii="Cambria Math" w:hAnsi="Cambria Math"/>
          </w:rPr>
          <m:t>π</m:t>
        </m:r>
      </m:oMath>
      <w:r w:rsidR="0096010D">
        <w:rPr>
          <w:rFonts w:eastAsiaTheme="minorEastAsia"/>
        </w:rPr>
        <w:t>.</w:t>
      </w:r>
      <w:r w:rsidR="00C84732">
        <w:rPr>
          <w:rFonts w:eastAsiaTheme="minorEastAsia"/>
        </w:rPr>
        <w:t xml:space="preserve"> </w:t>
      </w:r>
      <w:r w:rsidR="00C84732" w:rsidRPr="00C84732">
        <w:rPr>
          <w:rFonts w:eastAsiaTheme="minorEastAsia"/>
        </w:rPr>
        <w:t xml:space="preserve">El procedimiento consiste en dibujar un cuadrado de lado 2 unidades y un círculo de radio 1 inscrito en su interior, de modo </w:t>
      </w:r>
      <w:r w:rsidR="00C84732" w:rsidRPr="00C84732">
        <w:rPr>
          <w:rFonts w:eastAsiaTheme="minorEastAsia"/>
        </w:rPr>
        <w:lastRenderedPageBreak/>
        <w:t xml:space="preserve">que el centro del círculo y del cuadrado coinciden. Se eligen estos valores porque el área del círculo se conoce exactamente como </w:t>
      </w:r>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=π</m:t>
        </m:r>
      </m:oMath>
      <w:r w:rsidR="00C84732" w:rsidRPr="00C84732">
        <w:rPr>
          <w:rFonts w:eastAsiaTheme="minorEastAsia"/>
        </w:rPr>
        <w:t xml:space="preserve">, mientras que el área del cuadrado es </w:t>
      </w:r>
      <m:oMath>
        <m:r>
          <w:rPr>
            <w:rFonts w:ascii="Cambria Math" w:eastAsiaTheme="minorEastAsia" w:hAnsi="Cambria Math"/>
          </w:rPr>
          <m:t>2·2=4</m:t>
        </m:r>
      </m:oMath>
      <w:r w:rsidR="00C84732">
        <w:rPr>
          <w:rFonts w:eastAsiaTheme="minorEastAsia"/>
        </w:rPr>
        <w:t>, suficientemente grande para que el círculo pueda estar inscrito dentro de la misma.</w:t>
      </w:r>
    </w:p>
    <w:p w14:paraId="00014C79" w14:textId="12A0B276" w:rsidR="00AD0BA6" w:rsidRDefault="00AD0BA6" w:rsidP="00337FBF">
      <w:pPr>
        <w:rPr>
          <w:rFonts w:eastAsiaTheme="minorEastAsia"/>
        </w:rPr>
      </w:pPr>
      <w:r>
        <w:rPr>
          <w:rFonts w:eastAsiaTheme="minorEastAsia"/>
        </w:rPr>
        <w:t xml:space="preserve">Si se generan los puntos dentro del cuadrado con coordenadas x e y entre -1 y 1 puede calcularse la distancia de cada punto al origen mediante la fórmula </w:t>
      </w:r>
      <m:oMath>
        <m:r>
          <w:rPr>
            <w:rFonts w:ascii="Cambria Math" w:eastAsiaTheme="minorEastAsia" w:hAnsi="Cambria Math"/>
          </w:rPr>
          <m:t>d=</m:t>
        </m:r>
        <m:rad>
          <m:radPr>
            <m:degHide m:val="1"/>
            <m:ctrlPr>
              <w:rPr>
                <w:rFonts w:ascii="Cambria Math" w:eastAsiaTheme="minorEastAsia" w:hAnsi="Cambria Math"/>
              </w:rPr>
            </m:ctrlPr>
          </m:radPr>
          <m:deg/>
          <m:e>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y</m:t>
                </m:r>
              </m:e>
              <m:sup>
                <m:r>
                  <m:rPr>
                    <m:sty m:val="p"/>
                  </m:rPr>
                  <w:rPr>
                    <w:rFonts w:ascii="Cambria Math" w:eastAsiaTheme="minorEastAsia" w:hAnsi="Cambria Math"/>
                  </w:rPr>
                  <m:t>2</m:t>
                </m:r>
              </m:sup>
            </m:sSup>
          </m:e>
        </m:rad>
      </m:oMath>
      <w:r>
        <w:rPr>
          <w:rFonts w:eastAsiaTheme="minorEastAsia"/>
        </w:rPr>
        <w:t xml:space="preserve"> en cuyo caso si </w:t>
      </w:r>
      <m:oMath>
        <m:r>
          <w:rPr>
            <w:rFonts w:ascii="Cambria Math" w:eastAsiaTheme="minorEastAsia" w:hAnsi="Cambria Math"/>
          </w:rPr>
          <m:t>d≤1</m:t>
        </m:r>
      </m:oMath>
      <w:r>
        <w:rPr>
          <w:rFonts w:eastAsiaTheme="minorEastAsia"/>
        </w:rPr>
        <w:t xml:space="preserve"> el punto está dentro del círculo.</w:t>
      </w:r>
    </w:p>
    <w:p w14:paraId="10B6F1D2" w14:textId="6D926986" w:rsidR="001216F9" w:rsidRDefault="00FA501D" w:rsidP="00337FBF">
      <w:pPr>
        <w:rPr>
          <w:rFonts w:eastAsiaTheme="minorEastAsia"/>
        </w:rPr>
      </w:pPr>
      <w:r>
        <w:rPr>
          <w:rFonts w:eastAsiaTheme="minorEastAsia"/>
        </w:rPr>
        <w:t xml:space="preserve">Si </w:t>
      </w:r>
      <w:r w:rsidR="00BA15D4">
        <w:rPr>
          <w:rFonts w:eastAsiaTheme="minorEastAsia"/>
        </w:rPr>
        <w:t>se divide</w:t>
      </w:r>
      <w:r>
        <w:rPr>
          <w:rFonts w:eastAsiaTheme="minorEastAsia"/>
        </w:rPr>
        <w:t xml:space="preserve"> el número de puntos dentro del círculo entre el total de puntos obtenemos el área del c</w:t>
      </w:r>
      <w:r w:rsidR="00130487">
        <w:rPr>
          <w:rFonts w:eastAsiaTheme="minorEastAsia"/>
        </w:rPr>
        <w:t xml:space="preserve">írculo. Teniendo en cuenta que el cuadrado tiene lado 2 su </w:t>
      </w:r>
      <w:r w:rsidR="006E3F00">
        <w:rPr>
          <w:rFonts w:eastAsiaTheme="minorEastAsia"/>
        </w:rPr>
        <w:t xml:space="preserve">área será de 4, por otro </w:t>
      </w:r>
      <w:r w:rsidR="00CF0E90">
        <w:rPr>
          <w:rFonts w:eastAsiaTheme="minorEastAsia"/>
        </w:rPr>
        <w:t>lado,</w:t>
      </w:r>
      <w:r w:rsidR="006E3F00">
        <w:rPr>
          <w:rFonts w:eastAsiaTheme="minorEastAsia"/>
        </w:rPr>
        <w:t xml:space="preserve"> como el círculo tiene radio 1, su área será </w:t>
      </w:r>
      <m:oMath>
        <m:r>
          <m:rPr>
            <m:sty m:val="p"/>
          </m:rP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4</m:t>
        </m:r>
      </m:oMath>
      <w:r w:rsidR="002E7994">
        <w:rPr>
          <w:rFonts w:eastAsiaTheme="minorEastAsia"/>
        </w:rPr>
        <w:t xml:space="preserve">. </w:t>
      </w:r>
      <w:r w:rsidR="00C84732" w:rsidRPr="003E7A69">
        <w:rPr>
          <w:rFonts w:eastAsiaTheme="minorEastAsia"/>
        </w:rPr>
        <w:t xml:space="preserve">(Kroese </w:t>
      </w:r>
      <w:r w:rsidR="00BE3314">
        <w:rPr>
          <w:rFonts w:eastAsiaTheme="minorEastAsia"/>
        </w:rPr>
        <w:t>y colaboradores</w:t>
      </w:r>
      <w:r w:rsidR="00C84732" w:rsidRPr="003E7A69">
        <w:rPr>
          <w:rFonts w:eastAsiaTheme="minorEastAsia"/>
        </w:rPr>
        <w:t>, 2014)</w:t>
      </w:r>
      <w:r w:rsidR="003E7A69">
        <w:rPr>
          <w:rFonts w:eastAsiaTheme="minorEastAsia"/>
        </w:rPr>
        <w:t>.</w:t>
      </w:r>
    </w:p>
    <w:p w14:paraId="759BE88E" w14:textId="0B62E145" w:rsidR="003D6870" w:rsidRPr="003D6870" w:rsidRDefault="00AD0BA6" w:rsidP="00337FBF">
      <w:pPr>
        <w:rPr>
          <w:rFonts w:eastAsiaTheme="minorEastAsia"/>
        </w:rPr>
      </w:pPr>
      <w:r>
        <w:rPr>
          <w:rFonts w:eastAsiaTheme="minorEastAsia"/>
        </w:rPr>
        <w:t xml:space="preserve">Finalmente puede definirse </w:t>
      </w:r>
      <m:oMath>
        <m:r>
          <m:rPr>
            <m:sty m:val="p"/>
          </m:rPr>
          <w:rPr>
            <w:rFonts w:ascii="Cambria Math" w:eastAsiaTheme="minorEastAsia" w:hAnsi="Cambria Math"/>
          </w:rPr>
          <m:t>π</m:t>
        </m:r>
      </m:oMath>
      <w:r w:rsidR="005D1550">
        <w:rPr>
          <w:rFonts w:eastAsiaTheme="minorEastAsia"/>
        </w:rPr>
        <w:t xml:space="preserve"> como:</w:t>
      </w:r>
    </w:p>
    <w:p w14:paraId="5255E10B" w14:textId="4DDE5A9C" w:rsidR="004B0D61" w:rsidRDefault="002E7994" w:rsidP="005D1550">
      <w:pPr>
        <w:rPr>
          <w:rFonts w:eastAsiaTheme="minorEastAsia"/>
        </w:rPr>
      </w:pPr>
      <m:oMathPara>
        <m:oMath>
          <m:r>
            <m:rPr>
              <m:sty m:val="p"/>
            </m:rPr>
            <w:rPr>
              <w:rFonts w:ascii="Cambria Math" w:eastAsiaTheme="minorEastAsia" w:hAnsi="Cambria Math"/>
            </w:rPr>
            <m:t>π</m:t>
          </m:r>
          <m:r>
            <w:rPr>
              <w:rFonts w:ascii="Cambria Math" w:eastAsiaTheme="minorEastAsia" w:hAnsi="Cambria Math"/>
            </w:rPr>
            <m:t>≈4·</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Puntos dentro del círculo</m:t>
                  </m:r>
                </m:num>
                <m:den>
                  <m:r>
                    <w:rPr>
                      <w:rFonts w:ascii="Cambria Math" w:eastAsiaTheme="minorEastAsia" w:hAnsi="Cambria Math"/>
                    </w:rPr>
                    <m:t>Total de puntos</m:t>
                  </m:r>
                </m:den>
              </m:f>
            </m:e>
          </m:d>
        </m:oMath>
      </m:oMathPara>
    </w:p>
    <w:p w14:paraId="58DCFDFC" w14:textId="77777777" w:rsidR="001B4F71" w:rsidRDefault="004B0D61" w:rsidP="001B4F71">
      <w:pPr>
        <w:keepNext/>
        <w:jc w:val="center"/>
      </w:pPr>
      <w:r w:rsidRPr="004B0D61">
        <w:rPr>
          <w:rFonts w:eastAsiaTheme="minorEastAsia"/>
          <w:noProof/>
        </w:rPr>
        <w:drawing>
          <wp:inline distT="0" distB="0" distL="0" distR="0" wp14:anchorId="444E2402" wp14:editId="357FC3E2">
            <wp:extent cx="2247900" cy="2430997"/>
            <wp:effectExtent l="0" t="0" r="0" b="7620"/>
            <wp:docPr id="70446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4404" name=""/>
                    <pic:cNvPicPr/>
                  </pic:nvPicPr>
                  <pic:blipFill>
                    <a:blip r:embed="rId22"/>
                    <a:stretch>
                      <a:fillRect/>
                    </a:stretch>
                  </pic:blipFill>
                  <pic:spPr>
                    <a:xfrm>
                      <a:off x="0" y="0"/>
                      <a:ext cx="2256597" cy="2440403"/>
                    </a:xfrm>
                    <a:prstGeom prst="rect">
                      <a:avLst/>
                    </a:prstGeom>
                  </pic:spPr>
                </pic:pic>
              </a:graphicData>
            </a:graphic>
          </wp:inline>
        </w:drawing>
      </w:r>
    </w:p>
    <w:p w14:paraId="100E8A0B" w14:textId="7B73A034" w:rsidR="00F67D45" w:rsidRDefault="001B4F71" w:rsidP="001B4F71">
      <w:pPr>
        <w:pStyle w:val="Descripcin"/>
        <w:jc w:val="center"/>
        <w:rPr>
          <w:rFonts w:eastAsiaTheme="minorEastAsia"/>
        </w:rPr>
      </w:pPr>
      <w:bookmarkStart w:id="24" w:name="_Toc201255653"/>
      <w:r>
        <w:t xml:space="preserve">Ilustración </w:t>
      </w:r>
      <w:fldSimple w:instr=" SEQ Ilustración \* ARABIC ">
        <w:r w:rsidR="0064037F">
          <w:rPr>
            <w:noProof/>
          </w:rPr>
          <w:t>2</w:t>
        </w:r>
      </w:fldSimple>
      <w:r>
        <w:t xml:space="preserve">. </w:t>
      </w:r>
      <w:r w:rsidR="0064037F">
        <w:t>Cálculo del número pi por el método de Montecarlo (e</w:t>
      </w:r>
      <w:r>
        <w:t xml:space="preserve">laboración propia utilizando </w:t>
      </w:r>
      <w:r w:rsidR="0064037F">
        <w:t>Python)</w:t>
      </w:r>
      <w:bookmarkEnd w:id="24"/>
    </w:p>
    <w:p w14:paraId="24B3D9FB" w14:textId="535BC6E9" w:rsidR="005A5FFE" w:rsidRDefault="005A5FFE" w:rsidP="005A5FFE">
      <w:pPr>
        <w:pStyle w:val="Ttulo3"/>
        <w:rPr>
          <w:rFonts w:eastAsiaTheme="minorEastAsia"/>
        </w:rPr>
      </w:pPr>
      <w:bookmarkStart w:id="25" w:name="_Toc199704566"/>
      <w:r>
        <w:rPr>
          <w:rFonts w:eastAsiaTheme="minorEastAsia"/>
        </w:rPr>
        <w:lastRenderedPageBreak/>
        <w:t xml:space="preserve">Algoritmo de </w:t>
      </w:r>
      <w:bookmarkEnd w:id="25"/>
      <w:r w:rsidR="00BE3314">
        <w:rPr>
          <w:rFonts w:eastAsiaTheme="minorEastAsia"/>
        </w:rPr>
        <w:t>Metr</w:t>
      </w:r>
      <w:r w:rsidR="004034BE">
        <w:rPr>
          <w:rFonts w:eastAsiaTheme="minorEastAsia"/>
        </w:rPr>
        <w:t>op</w:t>
      </w:r>
      <w:r w:rsidR="00BE3314">
        <w:rPr>
          <w:rFonts w:eastAsiaTheme="minorEastAsia"/>
        </w:rPr>
        <w:t>olis</w:t>
      </w:r>
    </w:p>
    <w:p w14:paraId="5DFDBEC9" w14:textId="38EA97E7" w:rsidR="00F67D45" w:rsidRPr="00E844F2" w:rsidRDefault="005A5FFE" w:rsidP="00F67D45">
      <w:pPr>
        <w:rPr>
          <w:rFonts w:eastAsiaTheme="minorEastAsia"/>
          <w:color w:val="FF0000"/>
        </w:rPr>
      </w:pPr>
      <w:r>
        <w:rPr>
          <w:rFonts w:eastAsiaTheme="minorEastAsia"/>
        </w:rPr>
        <w:t>El a</w:t>
      </w:r>
      <w:r w:rsidR="00F67D45">
        <w:rPr>
          <w:rFonts w:eastAsiaTheme="minorEastAsia"/>
        </w:rPr>
        <w:t xml:space="preserve">lgoritmo de metrópolis, desarrollado en 1953 por Nicholas Metropolis, es un método de Montecarlo </w:t>
      </w:r>
      <w:r w:rsidR="00AC33E8">
        <w:rPr>
          <w:rFonts w:eastAsiaTheme="minorEastAsia"/>
        </w:rPr>
        <w:t xml:space="preserve">en cadena de Markov </w:t>
      </w:r>
      <w:r w:rsidR="00F67D45">
        <w:rPr>
          <w:rFonts w:eastAsiaTheme="minorEastAsia"/>
        </w:rPr>
        <w:t>utilizado para simular sistemas físicos, particularmente termodinámicos y resolver problemas de optimización y muestreo</w:t>
      </w:r>
      <w:r w:rsidR="00F67D45" w:rsidRPr="00BE3314">
        <w:rPr>
          <w:rFonts w:eastAsiaTheme="minorEastAsia"/>
        </w:rPr>
        <w:t>.</w:t>
      </w:r>
      <w:r w:rsidR="00E844F2" w:rsidRPr="00BE3314">
        <w:rPr>
          <w:rFonts w:eastAsiaTheme="minorEastAsia"/>
        </w:rPr>
        <w:t xml:space="preserve"> </w:t>
      </w:r>
      <w:r w:rsidR="00C84732" w:rsidRPr="00BE3314">
        <w:rPr>
          <w:rFonts w:eastAsiaTheme="minorEastAsia"/>
        </w:rPr>
        <w:t xml:space="preserve">(Metropolis </w:t>
      </w:r>
      <w:r w:rsidR="00BE3314" w:rsidRPr="00BE3314">
        <w:rPr>
          <w:rFonts w:eastAsiaTheme="minorEastAsia"/>
        </w:rPr>
        <w:t>y colaboradores</w:t>
      </w:r>
      <w:r w:rsidR="00C84732" w:rsidRPr="00BE3314">
        <w:rPr>
          <w:rFonts w:eastAsiaTheme="minorEastAsia"/>
        </w:rPr>
        <w:t>, 1953)</w:t>
      </w:r>
    </w:p>
    <w:p w14:paraId="18FDD275" w14:textId="2335BCAF" w:rsidR="00AC33E8" w:rsidRDefault="00AC33E8" w:rsidP="00F67D45">
      <w:pPr>
        <w:rPr>
          <w:rFonts w:eastAsiaTheme="minorEastAsia"/>
        </w:rPr>
      </w:pPr>
      <w:r>
        <w:rPr>
          <w:rFonts w:eastAsiaTheme="minorEastAsia"/>
        </w:rPr>
        <w:t>Una cadena de Markov es un proceso estocástico en el que la probabilidad de que ocurra un evento depende únicamente del evento anterior.</w:t>
      </w:r>
    </w:p>
    <w:p w14:paraId="1ED21180" w14:textId="57CC716A" w:rsidR="00741B5C" w:rsidRPr="003500D9" w:rsidRDefault="00AC33E8" w:rsidP="00F67D45">
      <w:r w:rsidRPr="003500D9">
        <w:rPr>
          <w:rFonts w:eastAsiaTheme="minorEastAsia"/>
        </w:rPr>
        <w:t xml:space="preserve">Un proceso estocástico </w:t>
      </w:r>
      <w:r w:rsidRPr="003500D9">
        <w:t xml:space="preserve">es un </w:t>
      </w:r>
      <w:r w:rsidR="00741B5C" w:rsidRPr="003500D9">
        <w:t>conjunto de variables aleatorias organizadas en función de una variable, generalmente asociada al tiempo y que describe la evolución de un sistema sujeto a incertidumbre o aleatoriedad en su comportamiento respecto a dicha variable (Ross, 2014)</w:t>
      </w:r>
      <w:r w:rsidR="00DE40D0">
        <w:t>.</w:t>
      </w:r>
    </w:p>
    <w:p w14:paraId="5EDF4F43" w14:textId="20687E8E" w:rsidR="00AC33E8" w:rsidRPr="00075077" w:rsidRDefault="00AC33E8" w:rsidP="00F67D45">
      <w:r>
        <w:t>A partir de una configuración inicial del sistema y una nueva configuración cercana a la inicial. Generalmente creada mediante una perturbación aleatoria en el sistema. Se calcula la diferencia de energía entre ambos estados.</w:t>
      </w:r>
      <w:r w:rsidR="00075077">
        <w:t xml:space="preserve"> </w:t>
      </w:r>
      <w:r>
        <w:t>Si la nueva configuración tiene una energía más baja que la actual se acepta la nueva automáticamente</w:t>
      </w:r>
      <w:r w:rsidR="00075077">
        <w:t>, es decir:</w:t>
      </w:r>
    </w:p>
    <w:p w14:paraId="6E4AC7BD" w14:textId="5298745E" w:rsidR="00AC33E8" w:rsidRPr="00075077" w:rsidRDefault="00F67D45" w:rsidP="00F67D4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aceptar</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e>
              </m:d>
            </m:e>
          </m:func>
        </m:oMath>
      </m:oMathPara>
    </w:p>
    <w:p w14:paraId="710C9EB4" w14:textId="09FF69C4" w:rsidR="00F67D45" w:rsidRPr="002D1798" w:rsidRDefault="00F80806" w:rsidP="00BD2757">
      <w:pPr>
        <w:rPr>
          <w:rFonts w:eastAsiaTheme="minorEastAsia"/>
        </w:rPr>
        <w:sectPr w:rsidR="00F67D45" w:rsidRPr="002D1798" w:rsidSect="00EF1449">
          <w:footerReference w:type="first" r:id="rId23"/>
          <w:type w:val="oddPage"/>
          <w:pgSz w:w="11900" w:h="16840" w:code="9"/>
          <w:pgMar w:top="1985" w:right="1701" w:bottom="1418" w:left="1701" w:header="851" w:footer="851" w:gutter="567"/>
          <w:cols w:space="708"/>
          <w:titlePg/>
          <w:docGrid w:linePitch="360"/>
        </w:sectPr>
      </w:pPr>
      <w:r>
        <w:rPr>
          <w:rFonts w:eastAsiaTheme="minorEastAsia"/>
        </w:rPr>
        <w:t xml:space="preserve">Dónde </w:t>
      </w:r>
      <m:oMath>
        <m:r>
          <w:rPr>
            <w:rFonts w:ascii="Cambria Math" w:eastAsiaTheme="minorEastAsia" w:hAnsi="Cambria Math"/>
          </w:rPr>
          <m:t>dE</m:t>
        </m:r>
      </m:oMath>
      <w:r w:rsidR="00E83BCD">
        <w:rPr>
          <w:rFonts w:eastAsiaTheme="minorEastAsia"/>
        </w:rPr>
        <w:t xml:space="preserve"> representa el cambio de energía al pasar de una configuración del sistema a otra, si el cambio de energía es negativo</w:t>
      </w:r>
      <w:r w:rsidR="004E544F">
        <w:rPr>
          <w:rFonts w:eastAsiaTheme="minorEastAsia"/>
        </w:rPr>
        <w:t xml:space="preserve"> la nueva configuración tiene menos energía por lo debería ser inmediatamente a</w:t>
      </w:r>
      <w:r w:rsidR="00176096">
        <w:rPr>
          <w:rFonts w:eastAsiaTheme="minorEastAsia"/>
        </w:rPr>
        <w:t xml:space="preserve">ceptada. Por otro lado, </w:t>
      </w:r>
      <m:oMath>
        <m:r>
          <w:rPr>
            <w:rFonts w:ascii="Cambria Math" w:eastAsiaTheme="minorEastAsia" w:hAnsi="Cambria Math"/>
          </w:rPr>
          <m:t>β</m:t>
        </m:r>
      </m:oMath>
      <w:r w:rsidR="00176096">
        <w:rPr>
          <w:rFonts w:eastAsiaTheme="minorEastAsia"/>
        </w:rPr>
        <w:t xml:space="preserve"> representa el inverso de la temperatura </w:t>
      </w:r>
      <m:oMath>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den>
            </m:f>
          </m:e>
        </m:d>
      </m:oMath>
      <w:r w:rsidR="006559E9">
        <w:rPr>
          <w:rFonts w:eastAsiaTheme="minorEastAsia"/>
        </w:rPr>
        <w:t xml:space="preserve">, siendo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sidR="006559E9">
        <w:rPr>
          <w:rFonts w:eastAsiaTheme="minorEastAsia"/>
        </w:rPr>
        <w:t xml:space="preserve"> la constante</w:t>
      </w:r>
      <w:r w:rsidR="00097216">
        <w:rPr>
          <w:rFonts w:eastAsiaTheme="minorEastAsia"/>
        </w:rPr>
        <w:t xml:space="preserve"> de Boltzman y </w:t>
      </w:r>
      <m:oMath>
        <m:r>
          <w:rPr>
            <w:rFonts w:ascii="Cambria Math" w:eastAsiaTheme="minorEastAsia" w:hAnsi="Cambria Math"/>
          </w:rPr>
          <m:t>T</m:t>
        </m:r>
      </m:oMath>
      <w:r w:rsidR="00097216">
        <w:rPr>
          <w:rFonts w:eastAsiaTheme="minorEastAsia"/>
        </w:rPr>
        <w:t xml:space="preserve"> la temperatura en Kelvin</w:t>
      </w:r>
      <w:r w:rsidR="00FE63B7">
        <w:rPr>
          <w:rFonts w:eastAsiaTheme="minorEastAsia"/>
        </w:rPr>
        <w:t xml:space="preserve">. Teniendo en cuenta ambas variables,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oMath>
      <w:r w:rsidR="00BD2757">
        <w:rPr>
          <w:rFonts w:eastAsiaTheme="minorEastAsia"/>
        </w:rPr>
        <w:t xml:space="preserve"> </w:t>
      </w:r>
      <w:r w:rsidR="007F7778">
        <w:rPr>
          <w:rFonts w:eastAsiaTheme="minorEastAsia"/>
        </w:rPr>
        <w:t xml:space="preserve">es la probabilidad de aceptar una transición hacia un estado de mayor energía. </w:t>
      </w:r>
      <w:r w:rsidR="00BD2757">
        <w:t xml:space="preserve">Según la distribución de Boltzmann, las transiciones que aumentan la energía son menos probables a bajas temperaturas, ya que el factor exponencial decae </w:t>
      </w:r>
      <w:r w:rsidR="00BD2757">
        <w:lastRenderedPageBreak/>
        <w:t xml:space="preserve">rápidamente cuando </w:t>
      </w:r>
      <m:oMath>
        <m:r>
          <w:rPr>
            <w:rFonts w:ascii="Cambria Math" w:hAnsi="Cambria Math"/>
          </w:rPr>
          <m:t>dE&gt;0</m:t>
        </m:r>
      </m:oMath>
      <w:r w:rsidR="004D76FB">
        <w:rPr>
          <w:rFonts w:eastAsiaTheme="minorEastAsia"/>
        </w:rPr>
        <w:t xml:space="preserve"> </w:t>
      </w:r>
      <w:r w:rsidR="007F7778">
        <w:rPr>
          <w:rStyle w:val="katex-mathml"/>
        </w:rPr>
        <w:t xml:space="preserve">y </w:t>
      </w:r>
      <m:oMath>
        <m:r>
          <w:rPr>
            <w:rStyle w:val="katex-mathml"/>
            <w:rFonts w:ascii="Cambria Math" w:hAnsi="Cambria Math"/>
          </w:rPr>
          <m:t>β</m:t>
        </m:r>
      </m:oMath>
      <w:r w:rsidR="007F7778">
        <w:rPr>
          <w:rStyle w:val="katex-mathml"/>
          <w:rFonts w:eastAsiaTheme="minorEastAsia"/>
        </w:rPr>
        <w:t xml:space="preserve"> </w:t>
      </w:r>
      <w:r w:rsidR="00BD2757">
        <w:t>es grande.</w:t>
      </w:r>
      <w:r w:rsidR="007F7778">
        <w:t xml:space="preserve"> </w:t>
      </w:r>
      <w:r w:rsidR="00AC33E8">
        <w:rPr>
          <w:rFonts w:eastAsiaTheme="minorEastAsia"/>
        </w:rPr>
        <w:t xml:space="preserve">El proceso se repite durante n iteraciones de modo que la distribución se acercará cada vez más a la deseada. </w:t>
      </w:r>
    </w:p>
    <w:p w14:paraId="20FEB112" w14:textId="1CB1ACE6" w:rsidR="006124A8" w:rsidRPr="00EF1449" w:rsidRDefault="009B3341" w:rsidP="00EF1449">
      <w:pPr>
        <w:pStyle w:val="Ttulo1"/>
        <w:framePr w:wrap="notBeside"/>
      </w:pPr>
      <w:bookmarkStart w:id="26" w:name="_Toc492888187"/>
      <w:bookmarkStart w:id="27" w:name="_Toc492901275"/>
      <w:r>
        <w:lastRenderedPageBreak/>
        <w:br/>
      </w:r>
      <w:bookmarkStart w:id="28" w:name="_Toc199704567"/>
      <w:r w:rsidR="46F2DCDC">
        <w:t>Análisis</w:t>
      </w:r>
      <w:bookmarkEnd w:id="26"/>
      <w:bookmarkEnd w:id="27"/>
      <w:r w:rsidR="00C26F8B">
        <w:t xml:space="preserve"> de datos obtenidos de </w:t>
      </w:r>
      <w:r w:rsidR="008B1D65">
        <w:t>la evasión fiscal</w:t>
      </w:r>
      <w:bookmarkEnd w:id="28"/>
    </w:p>
    <w:p w14:paraId="10F7C7E4" w14:textId="5F46B3EC" w:rsidR="39E28D74" w:rsidRDefault="008B1D65" w:rsidP="39E28D74">
      <w:pPr>
        <w:pStyle w:val="Ttulo2"/>
      </w:pPr>
      <w:bookmarkStart w:id="29" w:name="_Toc199704568"/>
      <w:r>
        <w:t>Datos</w:t>
      </w:r>
      <w:r w:rsidR="0002273D">
        <w:t xml:space="preserve"> Reino Unido</w:t>
      </w:r>
      <w:bookmarkEnd w:id="29"/>
    </w:p>
    <w:p w14:paraId="1C8331BA" w14:textId="2DD7A69A" w:rsidR="00980910" w:rsidRDefault="006C1510" w:rsidP="00FE66FD">
      <w:r>
        <w:t>Con el fin de comprender adecuadamente el impacto de la evasión fiscal en la economía e</w:t>
      </w:r>
      <w:r w:rsidR="009D7B2E">
        <w:t>s</w:t>
      </w:r>
      <w:r>
        <w:t xml:space="preserve"> ineludible el análisis de datos relacionados con la misma. </w:t>
      </w:r>
      <w:r w:rsidRPr="006C1510">
        <w:t>El informe "Measuring Tax Gaps: Summary" del gobierno del Reino Unido ofrece una visión detallada de la diferencia entre la cantidad de impuestos que teóricamente deberían pagarse y lo que realmente se recauda</w:t>
      </w:r>
      <w:r w:rsidR="004C6BEF">
        <w:t>, i</w:t>
      </w:r>
      <w:r w:rsidR="004C6BEF" w:rsidRPr="004C6BEF">
        <w:t>ncluye</w:t>
      </w:r>
      <w:r w:rsidR="004C6BEF">
        <w:t>ndo</w:t>
      </w:r>
      <w:r w:rsidR="004C6BEF" w:rsidRPr="004C6BEF">
        <w:t xml:space="preserve"> pérdidas por evasión, elusión, errores, incumplimiento y otras causas</w:t>
      </w:r>
      <w:r w:rsidRPr="006C1510">
        <w:t>. Este desfase, conocido como "</w:t>
      </w:r>
      <w:r w:rsidR="004034BE">
        <w:t>T</w:t>
      </w:r>
      <w:r w:rsidRPr="006C1510">
        <w:t xml:space="preserve">ax </w:t>
      </w:r>
      <w:r w:rsidR="004034BE">
        <w:t>G</w:t>
      </w:r>
      <w:r w:rsidRPr="006C1510">
        <w:t>ap", es u</w:t>
      </w:r>
      <w:r>
        <w:t xml:space="preserve">n </w:t>
      </w:r>
      <w:r w:rsidRPr="006C1510">
        <w:t xml:space="preserve">indicador es clave para evaluar la eficiencia del sistema fiscal y detectar las áreas donde el fraude y la evasión fiscal tienen mayor incidencia. </w:t>
      </w:r>
      <w:r w:rsidR="0019504E">
        <w:t>(</w:t>
      </w:r>
      <w:r w:rsidR="0019504E" w:rsidRPr="0019504E">
        <w:t>HM Revenue &amp; Customs</w:t>
      </w:r>
      <w:r w:rsidR="0019504E">
        <w:t xml:space="preserve">, </w:t>
      </w:r>
      <w:r w:rsidR="0019504E" w:rsidRPr="0019504E">
        <w:t>2023).</w:t>
      </w:r>
    </w:p>
    <w:p w14:paraId="0AC99C03" w14:textId="206283E0" w:rsidR="00851E0F" w:rsidRDefault="00851E0F" w:rsidP="00FE66FD">
      <w:r>
        <w:t>Dicho</w:t>
      </w:r>
      <w:r w:rsidR="00506A0E">
        <w:t xml:space="preserve"> informe ofrece estimaciones anuales sobre la brecha fiscal durante el periodo comprendido desde 2005 hasta 2023</w:t>
      </w:r>
      <w:r>
        <w:t xml:space="preserve"> basadas en metodologías consolidadas que engloban análisis estadísticos y auditorías fiscales, garantizando así la fiabilidad de los resultados.</w:t>
      </w:r>
    </w:p>
    <w:p w14:paraId="03B8D7BF" w14:textId="77777777" w:rsidR="00B20507" w:rsidRDefault="00851E0F" w:rsidP="00B20507">
      <w:pPr>
        <w:keepNext/>
        <w:jc w:val="center"/>
      </w:pPr>
      <w:r>
        <w:rPr>
          <w:noProof/>
        </w:rPr>
        <w:lastRenderedPageBreak/>
        <w:drawing>
          <wp:inline distT="0" distB="0" distL="0" distR="0" wp14:anchorId="3C06E4E7" wp14:editId="6F884C94">
            <wp:extent cx="5036185" cy="3355975"/>
            <wp:effectExtent l="0" t="0" r="0" b="0"/>
            <wp:docPr id="1196450297"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0297" name="Gráfico 1196450297"/>
                    <pic:cNvPicPr/>
                  </pic:nvPicPr>
                  <pic:blipFill>
                    <a:blip r:embed="rId24">
                      <a:extLst>
                        <a:ext uri="{96DAC541-7B7A-43D3-8B79-37D633B846F1}">
                          <asvg:svgBlip xmlns:asvg="http://schemas.microsoft.com/office/drawing/2016/SVG/main" r:embed="rId25"/>
                        </a:ext>
                      </a:extLst>
                    </a:blip>
                    <a:stretch>
                      <a:fillRect/>
                    </a:stretch>
                  </pic:blipFill>
                  <pic:spPr>
                    <a:xfrm>
                      <a:off x="0" y="0"/>
                      <a:ext cx="5036185" cy="3355975"/>
                    </a:xfrm>
                    <a:prstGeom prst="rect">
                      <a:avLst/>
                    </a:prstGeom>
                  </pic:spPr>
                </pic:pic>
              </a:graphicData>
            </a:graphic>
          </wp:inline>
        </w:drawing>
      </w:r>
    </w:p>
    <w:p w14:paraId="3DE9DB64" w14:textId="2AB6377A" w:rsidR="00851E0F" w:rsidRDefault="00B20507" w:rsidP="00B20507">
      <w:pPr>
        <w:pStyle w:val="Descripcin"/>
        <w:jc w:val="center"/>
      </w:pPr>
      <w:bookmarkStart w:id="30" w:name="_Toc201255654"/>
      <w:r>
        <w:t xml:space="preserve">Ilustración </w:t>
      </w:r>
      <w:fldSimple w:instr=" SEQ Ilustración \* ARABIC ">
        <w:r w:rsidR="0064037F">
          <w:rPr>
            <w:noProof/>
          </w:rPr>
          <w:t>3</w:t>
        </w:r>
      </w:fldSimple>
      <w:r>
        <w:t>. Evolución del "Tax Gap" de Reino Unido</w:t>
      </w:r>
      <w:r w:rsidR="0064037F">
        <w:t xml:space="preserve"> (fuente: </w:t>
      </w:r>
      <w:hyperlink r:id="rId26" w:history="1">
        <w:r w:rsidR="0064037F" w:rsidRPr="00584642">
          <w:rPr>
            <w:rStyle w:val="Hipervnculo"/>
          </w:rPr>
          <w:t>https://www.gov.uk/government/statistics/measuring-tax-gaps/1-tax-gaps-summary</w:t>
        </w:r>
      </w:hyperlink>
      <w:r w:rsidR="0064037F">
        <w:t>)</w:t>
      </w:r>
      <w:bookmarkEnd w:id="30"/>
    </w:p>
    <w:p w14:paraId="6C407B0F" w14:textId="2299426F" w:rsidR="00506A0E" w:rsidRDefault="00851E0F" w:rsidP="00FE66FD">
      <w:r w:rsidRPr="00851E0F">
        <w:t>Desde el año fiscal 2005-2006, el "</w:t>
      </w:r>
      <w:r w:rsidR="004034BE">
        <w:t>T</w:t>
      </w:r>
      <w:r w:rsidRPr="00851E0F">
        <w:t xml:space="preserve">ax </w:t>
      </w:r>
      <w:r w:rsidR="004034BE">
        <w:t>G</w:t>
      </w:r>
      <w:r w:rsidRPr="00851E0F">
        <w:t>ap" ha disminuido del 7.4% al 4.8% en 2022-2023, reflejando una mejora en el cumplimiento fiscal.</w:t>
      </w:r>
      <w:r w:rsidR="004C6BEF">
        <w:t xml:space="preserve"> Aunque el porcentaje ha disminuido el valor absoluto ha oscilado entre los 28.8bn y 39.8bn de libras esterlinas, siendo el valor más reciente el más elevado en términos absolutos en todo el periodo observado.</w:t>
      </w:r>
    </w:p>
    <w:p w14:paraId="07D84529" w14:textId="7FFD1ACF" w:rsidR="004C6BEF" w:rsidRDefault="004C6BEF" w:rsidP="00FE66FD">
      <w:r w:rsidRPr="004C6BEF">
        <w:t>El informe destaca una mejora sostenida en la eficiencia recaudatoria del Reino Unido, con una disminución de la brecha fiscal en términos porcentuales. Sin embargo, el aumento en términos absolutos y la concentración de la brecha en ciertos grupos, como las pequeñas empresas, indican áreas donde se requieren esfuerzos adicionales para mejorar el cumplimiento tributario.</w:t>
      </w:r>
    </w:p>
    <w:p w14:paraId="2E1A09AB" w14:textId="25E52876" w:rsidR="00C4727D" w:rsidRDefault="004C6BEF" w:rsidP="00FE66FD">
      <w:r>
        <w:t xml:space="preserve">Podría ahondarse más en el análisis de estos datos especialmente realizando un desglose por tipo de impuesto, sin embargo resulta más interesante indagar </w:t>
      </w:r>
      <w:r w:rsidR="00C4727D">
        <w:t>sobre</w:t>
      </w:r>
      <w:r>
        <w:t xml:space="preserve"> los motivos </w:t>
      </w:r>
      <w:r w:rsidR="00C4727D">
        <w:t>de la disminución de la evasión fiscal durante este periodo lo cual puede atribuirse a varios factores interrelacionados.</w:t>
      </w:r>
    </w:p>
    <w:p w14:paraId="1EA5F52B" w14:textId="78A01709" w:rsidR="00C4727D" w:rsidRDefault="00C4727D" w:rsidP="00FE66FD">
      <w:r>
        <w:lastRenderedPageBreak/>
        <w:t xml:space="preserve">En términos sociales,  los </w:t>
      </w:r>
      <w:r w:rsidRPr="00F30C47">
        <w:rPr>
          <w:b/>
          <w:bCs/>
        </w:rPr>
        <w:t>programas de educación y concienciación fiscal</w:t>
      </w:r>
      <w:r>
        <w:t xml:space="preserve"> dirigidos a los contribuyentes</w:t>
      </w:r>
      <w:r w:rsidR="00F30C47">
        <w:t xml:space="preserve"> no solo han</w:t>
      </w:r>
      <w:r>
        <w:t xml:space="preserve"> mejorado la cultura de cumplimiento tributario </w:t>
      </w:r>
      <w:r w:rsidR="00F30C47">
        <w:t xml:space="preserve">sino también </w:t>
      </w:r>
      <w:r>
        <w:t>la transparencia.</w:t>
      </w:r>
      <w:r w:rsidR="00F30C47">
        <w:t xml:space="preserve"> </w:t>
      </w:r>
      <w:r w:rsidR="00F30C47" w:rsidRPr="00F30C47">
        <w:t>(Alm, 2019</w:t>
      </w:r>
      <w:r w:rsidR="00F30C47">
        <w:t xml:space="preserve">). Adicionalmente, la </w:t>
      </w:r>
      <w:r w:rsidR="00F30C47" w:rsidRPr="00F30C47">
        <w:rPr>
          <w:b/>
          <w:bCs/>
        </w:rPr>
        <w:t>colaboración internacional</w:t>
      </w:r>
      <w:r w:rsidR="00F30C47">
        <w:t xml:space="preserve"> en materia fiscal, es decir, el intercambio de información entre países impulsado por organismos como la OCDE y el G20 han dificultado prácticas como la evasión a través de paraísos fiscales o estructuras internacionales complejas </w:t>
      </w:r>
      <w:r w:rsidR="00F30C47" w:rsidRPr="00F30C47">
        <w:t>(O</w:t>
      </w:r>
      <w:r w:rsidR="00AA7815">
        <w:t>CDE</w:t>
      </w:r>
      <w:r w:rsidR="00F30C47" w:rsidRPr="00F30C47">
        <w:t>, 2022</w:t>
      </w:r>
      <w:r w:rsidR="00AA7815">
        <w:t>)</w:t>
      </w:r>
      <w:r w:rsidR="00F30C47" w:rsidRPr="00F30C47">
        <w:t xml:space="preserve">; </w:t>
      </w:r>
      <w:r w:rsidR="00AA7815">
        <w:t>(</w:t>
      </w:r>
      <w:r w:rsidR="00F30C47" w:rsidRPr="00F30C47">
        <w:t>Zucman, 2015).</w:t>
      </w:r>
    </w:p>
    <w:p w14:paraId="3BC734B8" w14:textId="5A1BFD67" w:rsidR="00F30C47" w:rsidRDefault="00F30C47" w:rsidP="00FE66FD">
      <w:r>
        <w:t xml:space="preserve">En cuanto a las medidas administrativas y regulatorias destacaría principalmente la </w:t>
      </w:r>
      <w:r>
        <w:rPr>
          <w:b/>
          <w:bCs/>
        </w:rPr>
        <w:t>mejora en los sistemas de control y fiscalización</w:t>
      </w:r>
      <w:r>
        <w:t xml:space="preserve">. </w:t>
      </w:r>
      <w:r w:rsidRPr="00F30C47">
        <w:t>La modernización tecnológica y la digitalización de la administración tributaria han permitido una detección más eficaz de conductas fraudulentas y evasoras.</w:t>
      </w:r>
      <w:r>
        <w:t xml:space="preserve"> Aumentando la capacidad de las autoridades fiscales para identificar irregularidades </w:t>
      </w:r>
      <w:r w:rsidRPr="00F30C47">
        <w:t>(OCD</w:t>
      </w:r>
      <w:r w:rsidR="00295EDD">
        <w:t>E</w:t>
      </w:r>
      <w:r w:rsidRPr="00F30C47">
        <w:t>, 2022</w:t>
      </w:r>
      <w:r w:rsidR="00055044">
        <w:t>)</w:t>
      </w:r>
      <w:r w:rsidRPr="00F30C47">
        <w:t xml:space="preserve">; </w:t>
      </w:r>
      <w:r w:rsidR="00055044">
        <w:t>(</w:t>
      </w:r>
      <w:r w:rsidRPr="00F30C47">
        <w:t xml:space="preserve">Slemrod </w:t>
      </w:r>
      <w:r w:rsidR="00055044">
        <w:t>y</w:t>
      </w:r>
      <w:r w:rsidRPr="00F30C47">
        <w:t xml:space="preserve"> Yitzhaki, 2002).</w:t>
      </w:r>
      <w:r>
        <w:t xml:space="preserve"> Adicionalmente, el </w:t>
      </w:r>
      <w:r>
        <w:rPr>
          <w:b/>
          <w:bCs/>
        </w:rPr>
        <w:t>refuerzo de la legislación y las sanciones</w:t>
      </w:r>
      <w:r>
        <w:t xml:space="preserve"> ha incrementado el coste y el riesgo </w:t>
      </w:r>
      <w:r w:rsidR="00566D08">
        <w:t xml:space="preserve"> para los contribuyentes que intentan eludir sus obligaciones tributarias (</w:t>
      </w:r>
      <w:r w:rsidR="00566D08" w:rsidRPr="00566D08">
        <w:t>Alm, 2019)</w:t>
      </w:r>
      <w:r w:rsidR="00566D08">
        <w:t>.</w:t>
      </w:r>
    </w:p>
    <w:p w14:paraId="772B5922" w14:textId="04466F23" w:rsidR="00566D08" w:rsidRPr="00566D08" w:rsidRDefault="00566D08" w:rsidP="00FE66FD">
      <w:r>
        <w:t xml:space="preserve">Estas medidas han llevado a un </w:t>
      </w:r>
      <w:r>
        <w:rPr>
          <w:b/>
          <w:bCs/>
        </w:rPr>
        <w:t>enfoque selectivo en sectores de alto riesgo</w:t>
      </w:r>
      <w:r>
        <w:t>, situación en la cual las autoridades dedican esfuerzos y recursos a los sectores que presentan mayores índices de fraude, optimizando la asignación de los esfuerzos y mejorando la efectividad de las acciones. Dando lugar en última instancia a una concentración del fraude en las pequeñas empresas como se mencionó anteriormente.</w:t>
      </w:r>
    </w:p>
    <w:p w14:paraId="4238B0C6" w14:textId="77777777" w:rsidR="008335BC" w:rsidRDefault="008335BC">
      <w:pPr>
        <w:spacing w:before="0" w:after="0" w:line="240" w:lineRule="auto"/>
        <w:jc w:val="left"/>
      </w:pPr>
      <w:r>
        <w:br w:type="page"/>
      </w:r>
    </w:p>
    <w:p w14:paraId="0AE9B55A" w14:textId="22527CBB" w:rsidR="0002273D" w:rsidRDefault="0002273D" w:rsidP="0002273D">
      <w:pPr>
        <w:pStyle w:val="Ttulo3"/>
      </w:pPr>
      <w:bookmarkStart w:id="31" w:name="_Toc199704569"/>
      <w:r>
        <w:lastRenderedPageBreak/>
        <w:t>Datos España y Europa</w:t>
      </w:r>
      <w:bookmarkEnd w:id="31"/>
    </w:p>
    <w:p w14:paraId="5FD01092" w14:textId="3BC52F08" w:rsidR="008335BC" w:rsidRPr="008335BC" w:rsidRDefault="008335BC" w:rsidP="00FE66FD">
      <w:r w:rsidRPr="008335BC">
        <w:t>Pese a tener como objetivo inicial analizar el fraude fiscal a partir de la brecha fiscal, para el resto de la Unión Europa y concretamente para España</w:t>
      </w:r>
      <w:r w:rsidR="00851E0F" w:rsidRPr="008335BC">
        <w:t xml:space="preserve"> no </w:t>
      </w:r>
      <w:r w:rsidRPr="008335BC">
        <w:t>existen</w:t>
      </w:r>
      <w:r w:rsidR="00851E0F" w:rsidRPr="008335BC">
        <w:t xml:space="preserve"> análisis tan exhaustivo</w:t>
      </w:r>
      <w:r w:rsidRPr="008335BC">
        <w:t>s</w:t>
      </w:r>
      <w:r w:rsidR="00851E0F" w:rsidRPr="008335BC">
        <w:t xml:space="preserve"> sobre la evolución de la evasión fiscal en las últimas décadas. </w:t>
      </w:r>
      <w:r w:rsidRPr="008335BC">
        <w:t xml:space="preserve">se dispone de estimaciones oficiales completas y sistemáticas del </w:t>
      </w:r>
      <w:r w:rsidR="0002273D">
        <w:t>T</w:t>
      </w:r>
      <w:r w:rsidRPr="008335BC">
        <w:t xml:space="preserve">ax </w:t>
      </w:r>
      <w:r w:rsidR="004034BE">
        <w:t>G</w:t>
      </w:r>
      <w:r w:rsidRPr="008335BC">
        <w:t>ap global para todos los impuestos.</w:t>
      </w:r>
    </w:p>
    <w:p w14:paraId="54E1F900" w14:textId="26C0FD51" w:rsidR="008335BC" w:rsidRDefault="008335BC" w:rsidP="00FE66FD">
      <w:r w:rsidRPr="008335BC">
        <w:t>Ante esta limitación, se ha optado por utilizar el VAT Gap (brecha del IVA) como indicador alternativo y representativo. Una métrica ampliamente utilizada por la Comisión Europea para medir las pér</w:t>
      </w:r>
      <w:r>
        <w:t>d</w:t>
      </w:r>
      <w:r w:rsidRPr="008335BC">
        <w:t xml:space="preserve">idas de recaudación en el impuesto sobre el valor añadido (IVA). Pese a no reflejar la totalidad de la evasión fiscal ni otros componentes del Tax </w:t>
      </w:r>
      <w:r w:rsidR="004034BE">
        <w:t>G</w:t>
      </w:r>
      <w:r w:rsidRPr="008335BC">
        <w:t>ap (como el impuesto de sociedades, la renta o contribuciones sociales), el análisis del VAT Gap permite observar tendencias y evaluar la efectividad de las políticas fiscales en un área crítica de la recaudación tributaria.</w:t>
      </w:r>
      <w:r>
        <w:t xml:space="preserve"> </w:t>
      </w:r>
    </w:p>
    <w:p w14:paraId="31783239" w14:textId="77777777" w:rsidR="003B233A" w:rsidRDefault="003B233A" w:rsidP="00FE66FD">
      <w:r>
        <w:t>En el caso de la UE, a lo largo del período 2018-2022 es posible observar una reducción sustancial del VAT Gap, pasando del 11.2% al 7.0%. Esta disminución no ha sido lineal pero refleja una mejora estructural en la recaudación del IVA.</w:t>
      </w:r>
    </w:p>
    <w:p w14:paraId="444E43CB" w14:textId="77777777" w:rsidR="00B20507" w:rsidRDefault="00E0521D" w:rsidP="00B20507">
      <w:pPr>
        <w:keepNext/>
        <w:jc w:val="center"/>
      </w:pPr>
      <w:r>
        <w:rPr>
          <w:noProof/>
        </w:rPr>
        <w:lastRenderedPageBreak/>
        <w:drawing>
          <wp:inline distT="0" distB="0" distL="0" distR="0" wp14:anchorId="38496B95" wp14:editId="73B10699">
            <wp:extent cx="4572000" cy="2743200"/>
            <wp:effectExtent l="0" t="0" r="0" b="0"/>
            <wp:docPr id="789371896" name="Gráfico 1">
              <a:extLst xmlns:a="http://schemas.openxmlformats.org/drawingml/2006/main">
                <a:ext uri="{FF2B5EF4-FFF2-40B4-BE49-F238E27FC236}">
                  <a16:creationId xmlns:a16="http://schemas.microsoft.com/office/drawing/2014/main" id="{07147B40-5F5A-415C-3E45-C821453052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326CDE1" w14:textId="2D2AF41D" w:rsidR="00E0521D" w:rsidRDefault="00B20507" w:rsidP="00B20507">
      <w:pPr>
        <w:pStyle w:val="Descripcin"/>
        <w:jc w:val="center"/>
      </w:pPr>
      <w:bookmarkStart w:id="32" w:name="_Toc201255655"/>
      <w:r>
        <w:t xml:space="preserve">Ilustración </w:t>
      </w:r>
      <w:fldSimple w:instr=" SEQ Ilustración \* ARABIC ">
        <w:r w:rsidR="0064037F">
          <w:rPr>
            <w:noProof/>
          </w:rPr>
          <w:t>4</w:t>
        </w:r>
      </w:fldSimple>
      <w:r>
        <w:t>. Evolución de la brecha de IVA en Europa (elaboración propia utilizando Excel)</w:t>
      </w:r>
      <w:bookmarkEnd w:id="32"/>
    </w:p>
    <w:p w14:paraId="1B9B0A87" w14:textId="3AF4B2C6" w:rsidR="003B233A" w:rsidRPr="008335BC" w:rsidRDefault="003B233A" w:rsidP="003B233A">
      <w:r w:rsidRPr="003B233A">
        <w:t>Esta mejora global ha sido atribuida por la Comisión Europea a la implementación de medidas de control más estrictas, a la digitalización del sistema de facturación electrónica, y a una mayor cooperación transfronteriza entre administraciones tributarias (</w:t>
      </w:r>
      <w:r w:rsidR="003E0553">
        <w:t>Comisión Europea</w:t>
      </w:r>
      <w:r w:rsidRPr="003B233A">
        <w:t>, 2023).</w:t>
      </w:r>
      <w:r>
        <w:t xml:space="preserve"> </w:t>
      </w:r>
    </w:p>
    <w:p w14:paraId="4B6FA0A4" w14:textId="4CBCA0E5" w:rsidR="00851E0F" w:rsidRDefault="003B233A" w:rsidP="00FE66FD">
      <w:r>
        <w:t xml:space="preserve">España ha mantenido tradicionalmente una brecha del IVA relativamente inferior a la media de la UE, indicando un desempeño relativamente eficiente en su sistema de recaudación. Asimismo, la evolución del VAT Gap en España presenta una evolución más volátil presentando un repunte preocupante en 2023. </w:t>
      </w:r>
    </w:p>
    <w:p w14:paraId="735756C1" w14:textId="77777777" w:rsidR="0064037F" w:rsidRDefault="003B233A" w:rsidP="0064037F">
      <w:pPr>
        <w:keepNext/>
        <w:jc w:val="center"/>
      </w:pPr>
      <w:r>
        <w:rPr>
          <w:noProof/>
        </w:rPr>
        <w:lastRenderedPageBreak/>
        <w:drawing>
          <wp:inline distT="0" distB="0" distL="0" distR="0" wp14:anchorId="3B4E9E19" wp14:editId="5213F45B">
            <wp:extent cx="4572000" cy="2743200"/>
            <wp:effectExtent l="0" t="0" r="0" b="0"/>
            <wp:docPr id="1165508748" name="Gráfico 1">
              <a:extLst xmlns:a="http://schemas.openxmlformats.org/drawingml/2006/main">
                <a:ext uri="{FF2B5EF4-FFF2-40B4-BE49-F238E27FC236}">
                  <a16:creationId xmlns:a16="http://schemas.microsoft.com/office/drawing/2014/main" id="{FC3B9B9C-64DD-654B-7226-31B871A343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D1ABE36" w14:textId="24D1B788" w:rsidR="008335BC" w:rsidRDefault="0064037F" w:rsidP="0064037F">
      <w:pPr>
        <w:pStyle w:val="Descripcin"/>
        <w:jc w:val="center"/>
      </w:pPr>
      <w:bookmarkStart w:id="33" w:name="_Toc201255656"/>
      <w:r>
        <w:t xml:space="preserve">Ilustración </w:t>
      </w:r>
      <w:fldSimple w:instr=" SEQ Ilustración \* ARABIC ">
        <w:r>
          <w:rPr>
            <w:noProof/>
          </w:rPr>
          <w:t>5</w:t>
        </w:r>
      </w:fldSimple>
      <w:r>
        <w:t>. Comparación de la brecha de IVA en España y Europa (elaboración propia utilizando Excel)</w:t>
      </w:r>
      <w:bookmarkEnd w:id="33"/>
    </w:p>
    <w:p w14:paraId="65B587E0" w14:textId="341DDB1C" w:rsidR="003B233A" w:rsidRDefault="003B233A" w:rsidP="00FE66FD">
      <w:r w:rsidRPr="003B233A">
        <w:t>El repunte de 2023 podría atribuirse a varios factores coyunturales, como la recuperación postpandemia, la inflación y cambios en el comportamiento del consumo, así como un posible relajamiento de la fiscalización tributaria (AIReF, 2024).</w:t>
      </w:r>
    </w:p>
    <w:p w14:paraId="06EE42AD" w14:textId="77777777" w:rsidR="00951F66" w:rsidRDefault="003B233A" w:rsidP="00FE66FD">
      <w:r>
        <w:t>El desce</w:t>
      </w:r>
      <w:r w:rsidR="009D7B2E">
        <w:t xml:space="preserve">nso más notable en el VAT Gap debido a causas principalmente sociales durante este periodo viene definido por la </w:t>
      </w:r>
      <w:r w:rsidR="009D7B2E">
        <w:rPr>
          <w:b/>
          <w:bCs/>
        </w:rPr>
        <w:t xml:space="preserve">reducción del consumo durante la </w:t>
      </w:r>
      <w:r w:rsidR="009D7B2E" w:rsidRPr="009D7B2E">
        <w:rPr>
          <w:b/>
          <w:bCs/>
        </w:rPr>
        <w:t>pandemia</w:t>
      </w:r>
      <w:r w:rsidR="009D7B2E">
        <w:t xml:space="preserve">. La crisis sanitaria </w:t>
      </w:r>
      <w:r>
        <w:t>no soló provocó la parálisis de la actividad empresarial sino también una contracción en la actividad económica y el consumo, reduciendo tanto las oportunidades de evasión como el volumen de IVA esperado.</w:t>
      </w:r>
      <w:r w:rsidR="00E27EA7">
        <w:t xml:space="preserve"> (</w:t>
      </w:r>
      <w:r w:rsidR="009D7B2E" w:rsidRPr="009D7B2E">
        <w:t>IMF, 2022</w:t>
      </w:r>
      <w:r w:rsidR="00E27EA7">
        <w:t>)</w:t>
      </w:r>
      <w:r w:rsidR="009D7B2E" w:rsidRPr="009D7B2E">
        <w:t>.</w:t>
      </w:r>
      <w:r w:rsidR="00E27EA7">
        <w:t xml:space="preserve"> </w:t>
      </w:r>
    </w:p>
    <w:p w14:paraId="67EDA3C5" w14:textId="6D87EED6" w:rsidR="009D7B2E" w:rsidRPr="009D7B2E" w:rsidRDefault="009D7B2E" w:rsidP="00FE66FD">
      <w:r>
        <w:t xml:space="preserve">Adicionalmente, la reducción del VAT Gap se ha visto reforzada en algunos países por campañas de </w:t>
      </w:r>
      <w:r w:rsidRPr="009D7B2E">
        <w:rPr>
          <w:b/>
          <w:bCs/>
        </w:rPr>
        <w:t xml:space="preserve">concienciación social </w:t>
      </w:r>
      <w:r>
        <w:t xml:space="preserve">sobre el coste del fraude fiscal y por la simplificación del cumplimiento tributario que redujo la carga al contribuyente. </w:t>
      </w:r>
      <w:r w:rsidRPr="003500D9">
        <w:t>(ALM, 2019</w:t>
      </w:r>
      <w:r w:rsidR="00E27EA7">
        <w:t>).</w:t>
      </w:r>
      <w:r w:rsidRPr="003500D9">
        <w:t xml:space="preserve"> </w:t>
      </w:r>
      <w:r w:rsidRPr="009D7B2E">
        <w:t xml:space="preserve">En última instancia, la </w:t>
      </w:r>
      <w:r w:rsidRPr="009D7B2E">
        <w:rPr>
          <w:b/>
          <w:bCs/>
        </w:rPr>
        <w:t>colaboración internacional</w:t>
      </w:r>
      <w:r w:rsidRPr="009D7B2E">
        <w:t xml:space="preserve"> ha </w:t>
      </w:r>
      <w:r>
        <w:t xml:space="preserve">dificultado, como se mencionó en el análisis del </w:t>
      </w:r>
      <w:r w:rsidR="002B6B79">
        <w:t>T</w:t>
      </w:r>
      <w:r>
        <w:t xml:space="preserve">ax </w:t>
      </w:r>
      <w:r w:rsidR="002B6B79">
        <w:t>G</w:t>
      </w:r>
      <w:r>
        <w:t>ap de UK, notablemente la posibilidad de realizar actividades de fraude fiscal.</w:t>
      </w:r>
    </w:p>
    <w:p w14:paraId="4F226080" w14:textId="5325403D" w:rsidR="009D7B2E" w:rsidRPr="009D7B2E" w:rsidRDefault="009D7B2E" w:rsidP="00FE66FD">
      <w:r w:rsidRPr="009D7B2E">
        <w:lastRenderedPageBreak/>
        <w:t xml:space="preserve">Por otro lado, </w:t>
      </w:r>
      <w:r>
        <w:t>hay diversas</w:t>
      </w:r>
      <w:r w:rsidRPr="009D7B2E">
        <w:t xml:space="preserve"> medidas administrativas y regulatorias que han dado lugar a la reducción del VAT Gap</w:t>
      </w:r>
      <w:r>
        <w:t xml:space="preserve">. </w:t>
      </w:r>
      <w:r w:rsidRPr="009D7B2E">
        <w:t xml:space="preserve">Uno de los motores más importantes ha sido la progresiva </w:t>
      </w:r>
      <w:r w:rsidRPr="009D7B2E">
        <w:rPr>
          <w:b/>
          <w:bCs/>
        </w:rPr>
        <w:t>digitalización de los sistemas fiscales</w:t>
      </w:r>
      <w:r w:rsidRPr="009D7B2E">
        <w:t>. En España, la implantación del Suministro Inmediato de Información (SII) en 2017 permitió el control en tiempo real de las facturas emitidas y recibidas por empresas sujetas a IVA. Esto facilitó la detección de fraudes, duplicidades y errores, y redujo el margen para la evasión (Agencia Tributaria, 2022.</w:t>
      </w:r>
      <w:r>
        <w:t xml:space="preserve"> </w:t>
      </w:r>
      <w:r w:rsidRPr="009D7B2E">
        <w:t>A nivel europeo, numerosos Estados miembros avanzaron en la adopción de tecnologías similare</w:t>
      </w:r>
      <w:r>
        <w:t>s</w:t>
      </w:r>
      <w:r w:rsidRPr="009D7B2E">
        <w:t xml:space="preserve"> (OCD</w:t>
      </w:r>
      <w:r w:rsidR="00295EDD">
        <w:t>E</w:t>
      </w:r>
      <w:r w:rsidRPr="009D7B2E">
        <w:t>, 2022</w:t>
      </w:r>
      <w:r w:rsidR="00951F66">
        <w:t>)</w:t>
      </w:r>
      <w:r w:rsidRPr="009D7B2E">
        <w:t xml:space="preserve">; </w:t>
      </w:r>
      <w:r w:rsidR="00951F66">
        <w:t>(Comisión Europea</w:t>
      </w:r>
      <w:r w:rsidRPr="009D7B2E">
        <w:t>, 2021).</w:t>
      </w:r>
    </w:p>
    <w:p w14:paraId="389DCE35" w14:textId="65FDCA05" w:rsidR="39E28D74" w:rsidRPr="003500D9" w:rsidRDefault="003B233A" w:rsidP="003500D9">
      <w:pPr>
        <w:spacing w:before="0" w:after="0" w:line="240" w:lineRule="auto"/>
        <w:jc w:val="left"/>
        <w:sectPr w:rsidR="39E28D74" w:rsidRPr="003500D9" w:rsidSect="00EF1449">
          <w:footerReference w:type="first" r:id="rId29"/>
          <w:type w:val="oddPage"/>
          <w:pgSz w:w="11900" w:h="16840" w:code="9"/>
          <w:pgMar w:top="1985" w:right="1701" w:bottom="1418" w:left="1701" w:header="851" w:footer="851" w:gutter="567"/>
          <w:cols w:space="708"/>
          <w:titlePg/>
          <w:docGrid w:linePitch="360"/>
        </w:sectPr>
      </w:pPr>
      <w:r w:rsidRPr="009D7B2E">
        <w:br w:type="page"/>
      </w:r>
    </w:p>
    <w:p w14:paraId="12BC3DE6" w14:textId="7128C9F9" w:rsidR="00330B30" w:rsidRPr="00747FD4" w:rsidRDefault="009B3341" w:rsidP="00EF1449">
      <w:pPr>
        <w:pStyle w:val="Ttulo1"/>
        <w:framePr w:wrap="notBeside"/>
      </w:pPr>
      <w:r w:rsidRPr="003500D9">
        <w:lastRenderedPageBreak/>
        <w:br/>
      </w:r>
      <w:bookmarkStart w:id="34" w:name="_Toc199704570"/>
      <w:r w:rsidR="00666986">
        <w:t xml:space="preserve">Aplicación del </w:t>
      </w:r>
      <w:r w:rsidR="00EB2B94">
        <w:t>Modelo de Ising a la Evasión Fiscal</w:t>
      </w:r>
      <w:bookmarkEnd w:id="34"/>
    </w:p>
    <w:p w14:paraId="3D2C7D6C" w14:textId="29AB350D" w:rsidR="00166464" w:rsidRPr="00166464" w:rsidRDefault="002B1A61" w:rsidP="39E28D74">
      <w:pPr>
        <w:pStyle w:val="Ttulo2"/>
      </w:pPr>
      <w:bookmarkStart w:id="35" w:name="_Toc199704571"/>
      <w:r>
        <w:t xml:space="preserve">Adaptación del </w:t>
      </w:r>
      <w:r w:rsidR="004238E1">
        <w:t>Modelo de Ising al estudio de la evasión fiscal</w:t>
      </w:r>
      <w:bookmarkEnd w:id="35"/>
    </w:p>
    <w:p w14:paraId="4D83B468" w14:textId="41CBCC44" w:rsidR="009D7B2E" w:rsidRDefault="009D7B2E" w:rsidP="39E28D74">
      <w:r>
        <w:t>El Modelo de Ising ha sido exitosamente adaptado en las últimas décadas a numerosos fenómenos sociales y económicos. En el caso de la evasión fiscal, este modelo proporciona un marco idóneo para estudiar la interacción entre individuos (contribuyentes) y cómo sus decisiones de cumplimiento o incumplimiento se ven afectadas por factores externos e interpersonales.</w:t>
      </w:r>
    </w:p>
    <w:p w14:paraId="4E47FE80" w14:textId="17F9DC23" w:rsidR="009D7B2E" w:rsidRDefault="009D7B2E" w:rsidP="39E28D74">
      <w:r>
        <w:t>En esta investigación se propone una adaptación del modelo de Ising para analizar y predecir patrones de evasión fiscal donde los elementos fundamentales se reinterpretan de la siguiente manera:</w:t>
      </w:r>
    </w:p>
    <w:p w14:paraId="54FC266B" w14:textId="291E7E3B" w:rsidR="009D7B2E" w:rsidRDefault="009D7B2E" w:rsidP="009D7B2E">
      <w:pPr>
        <w:pStyle w:val="Prrafodelista"/>
        <w:numPr>
          <w:ilvl w:val="0"/>
          <w:numId w:val="23"/>
        </w:numPr>
        <w:rPr>
          <w:rFonts w:eastAsiaTheme="minorEastAsia"/>
        </w:rPr>
      </w:pPr>
      <w:r w:rsidRPr="009D7B2E">
        <w:rPr>
          <w:b/>
          <w:bCs/>
        </w:rPr>
        <w:t>Espines</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=±1</m:t>
        </m:r>
        <m:r>
          <w:rPr>
            <w:rFonts w:ascii="Cambria Math" w:eastAsiaTheme="minorEastAsia" w:hAnsi="Cambria Math"/>
          </w:rPr>
          <m:t>)</m:t>
        </m:r>
      </m:oMath>
      <w:r>
        <w:rPr>
          <w:rFonts w:eastAsiaTheme="minorEastAsia"/>
        </w:rPr>
        <w:t>: Representan la decisión binaria de cada contribuyente definida por; cumplimiento fiscal (+1) o evasión (-1). Esta representación ha sido aplicada en numerosos estudios recientes sobre comportamiento fiscal</w:t>
      </w:r>
      <w:r w:rsidR="003500D9">
        <w:rPr>
          <w:rFonts w:eastAsiaTheme="minorEastAsia"/>
        </w:rPr>
        <w:t xml:space="preserve"> puesto que permite modelar dinámicas sociales complejas mediante reglas simples de cambio de estado, capturando el comportamiento colectivo emergente a partir de decisiones individuales</w:t>
      </w:r>
      <w:r>
        <w:rPr>
          <w:rFonts w:eastAsiaTheme="minorEastAsia"/>
        </w:rPr>
        <w:t>. (</w:t>
      </w:r>
      <w:r w:rsidRPr="009D7B2E">
        <w:rPr>
          <w:rFonts w:eastAsiaTheme="minorEastAsia"/>
        </w:rPr>
        <w:t xml:space="preserve">Zaklan </w:t>
      </w:r>
      <w:r w:rsidR="00FD56F2">
        <w:rPr>
          <w:rFonts w:eastAsiaTheme="minorEastAsia"/>
        </w:rPr>
        <w:t>y colaboradores</w:t>
      </w:r>
      <w:r w:rsidRPr="009D7B2E">
        <w:rPr>
          <w:rFonts w:eastAsiaTheme="minorEastAsia"/>
        </w:rPr>
        <w:t>, 2008</w:t>
      </w:r>
      <w:r w:rsidR="00FD56F2">
        <w:rPr>
          <w:rFonts w:eastAsiaTheme="minorEastAsia"/>
        </w:rPr>
        <w:t>)</w:t>
      </w:r>
      <w:r>
        <w:rPr>
          <w:rFonts w:eastAsiaTheme="minorEastAsia"/>
        </w:rPr>
        <w:t xml:space="preserve">; </w:t>
      </w:r>
      <w:r w:rsidR="00FD56F2">
        <w:rPr>
          <w:rFonts w:eastAsiaTheme="minorEastAsia"/>
        </w:rPr>
        <w:t>(</w:t>
      </w:r>
      <w:r w:rsidRPr="009D7B2E">
        <w:rPr>
          <w:rFonts w:eastAsiaTheme="minorEastAsia"/>
        </w:rPr>
        <w:t xml:space="preserve">Pickhardt </w:t>
      </w:r>
      <w:r w:rsidR="00FD56F2">
        <w:rPr>
          <w:rFonts w:eastAsiaTheme="minorEastAsia"/>
        </w:rPr>
        <w:t>y</w:t>
      </w:r>
      <w:r w:rsidRPr="009D7B2E">
        <w:rPr>
          <w:rFonts w:eastAsiaTheme="minorEastAsia"/>
        </w:rPr>
        <w:t xml:space="preserve"> Seibold, 2011)</w:t>
      </w:r>
      <w:r w:rsidR="00FD56F2">
        <w:rPr>
          <w:rFonts w:eastAsiaTheme="minorEastAsia"/>
        </w:rPr>
        <w:t>.</w:t>
      </w:r>
    </w:p>
    <w:p w14:paraId="606B2C9F" w14:textId="43F69C69" w:rsidR="009D7B2E" w:rsidRPr="00AA7815" w:rsidRDefault="009D7B2E" w:rsidP="00AA7815">
      <w:pPr>
        <w:pStyle w:val="Prrafodelista"/>
        <w:numPr>
          <w:ilvl w:val="0"/>
          <w:numId w:val="23"/>
        </w:numPr>
        <w:rPr>
          <w:rFonts w:eastAsiaTheme="minorEastAsia"/>
        </w:rPr>
      </w:pPr>
      <w:r>
        <w:rPr>
          <w:rFonts w:eastAsiaTheme="minorEastAsia"/>
          <w:b/>
          <w:bCs/>
        </w:rPr>
        <w:t xml:space="preserve">Temperatura social (T): </w:t>
      </w:r>
      <w:r>
        <w:rPr>
          <w:rFonts w:eastAsiaTheme="minorEastAsia"/>
        </w:rPr>
        <w:t>Indica el grado de aleatoriedad o independencia de los agentes respecto al entorno social</w:t>
      </w:r>
      <w:r w:rsidR="00294217">
        <w:rPr>
          <w:rFonts w:eastAsiaTheme="minorEastAsia"/>
        </w:rPr>
        <w:t>.</w:t>
      </w:r>
      <w:r w:rsidR="006724BA">
        <w:rPr>
          <w:rFonts w:eastAsiaTheme="minorEastAsia"/>
        </w:rPr>
        <w:t xml:space="preserve"> Análogamente a los sistemas físicos, la temperatura social controla el grado de desorden en el </w:t>
      </w:r>
      <w:r w:rsidR="006724BA">
        <w:rPr>
          <w:rFonts w:eastAsiaTheme="minorEastAsia"/>
        </w:rPr>
        <w:lastRenderedPageBreak/>
        <w:t xml:space="preserve">comportamiento </w:t>
      </w:r>
      <w:r w:rsidR="00033CEB">
        <w:rPr>
          <w:rFonts w:eastAsiaTheme="minorEastAsia"/>
        </w:rPr>
        <w:t>colectivo</w:t>
      </w:r>
      <w:r w:rsidR="00BC2C08">
        <w:rPr>
          <w:rFonts w:eastAsiaTheme="minorEastAsia"/>
        </w:rPr>
        <w:t xml:space="preserve">. A menor temperatura los agentes tienden a alinearse con su entorno inmediato, favoreciendo dinámicas de conformidad. A mayor </w:t>
      </w:r>
      <w:r w:rsidR="00033CEB">
        <w:rPr>
          <w:rFonts w:eastAsiaTheme="minorEastAsia"/>
        </w:rPr>
        <w:t>temperatura las decisiones se vuelven más independientes, reduciendo el impacto la influencia social.</w:t>
      </w:r>
      <w:r w:rsidR="00294217" w:rsidRPr="00AA7815">
        <w:rPr>
          <w:rFonts w:eastAsiaTheme="minorEastAsia"/>
        </w:rPr>
        <w:t xml:space="preserve"> (Sznajd-Weron </w:t>
      </w:r>
      <w:r w:rsidR="00646C97">
        <w:rPr>
          <w:rFonts w:eastAsiaTheme="minorEastAsia"/>
        </w:rPr>
        <w:t>y</w:t>
      </w:r>
      <w:r w:rsidR="00294217" w:rsidRPr="00AA7815">
        <w:rPr>
          <w:rFonts w:eastAsiaTheme="minorEastAsia"/>
        </w:rPr>
        <w:t xml:space="preserve"> Sznajd, 2000).</w:t>
      </w:r>
    </w:p>
    <w:p w14:paraId="1BAC3B81" w14:textId="6A052621" w:rsidR="003500D9" w:rsidRDefault="003500D9" w:rsidP="003500D9">
      <w:pPr>
        <w:pStyle w:val="Prrafodelista"/>
        <w:numPr>
          <w:ilvl w:val="0"/>
          <w:numId w:val="23"/>
        </w:numPr>
        <w:rPr>
          <w:rFonts w:eastAsiaTheme="minorEastAsia"/>
        </w:rPr>
      </w:pPr>
      <w:r w:rsidRPr="003500D9">
        <w:rPr>
          <w:rFonts w:eastAsiaTheme="minorEastAsia"/>
          <w:b/>
          <w:bCs/>
        </w:rPr>
        <w:t>Probabilidad de auditoría (p):</w:t>
      </w:r>
      <w:r w:rsidRPr="003500D9">
        <w:rPr>
          <w:rFonts w:eastAsiaTheme="minorEastAsia"/>
        </w:rPr>
        <w:t xml:space="preserve"> Define la probabilidad con la que un agente evasor es auditado en cada periodo. Su efecto es indirecto pero determinante: incrementos en p aumentan la presión externa, generando una reducción de la evasión mediante cumplimiento forzado. La simulación de auditorías periódicas permite evaluar umbrales de efectividad en estrategias de fiscalización (Zaklan </w:t>
      </w:r>
      <w:r w:rsidR="00EF1625">
        <w:rPr>
          <w:rFonts w:eastAsiaTheme="minorEastAsia"/>
        </w:rPr>
        <w:t>y colaboradores</w:t>
      </w:r>
      <w:r w:rsidRPr="003500D9">
        <w:rPr>
          <w:rFonts w:eastAsiaTheme="minorEastAsia"/>
        </w:rPr>
        <w:t>, 2009</w:t>
      </w:r>
      <w:r w:rsidR="00EF1625">
        <w:rPr>
          <w:rFonts w:eastAsiaTheme="minorEastAsia"/>
        </w:rPr>
        <w:t>)</w:t>
      </w:r>
      <w:r w:rsidRPr="003500D9">
        <w:rPr>
          <w:rFonts w:eastAsiaTheme="minorEastAsia"/>
        </w:rPr>
        <w:t xml:space="preserve">; </w:t>
      </w:r>
      <w:r w:rsidR="00EF1625">
        <w:rPr>
          <w:rFonts w:eastAsiaTheme="minorEastAsia"/>
        </w:rPr>
        <w:t>(</w:t>
      </w:r>
      <w:r w:rsidRPr="003500D9">
        <w:rPr>
          <w:rFonts w:eastAsiaTheme="minorEastAsia"/>
        </w:rPr>
        <w:t xml:space="preserve">Hokamp </w:t>
      </w:r>
      <w:r w:rsidR="00EF1625">
        <w:rPr>
          <w:rFonts w:eastAsiaTheme="minorEastAsia"/>
        </w:rPr>
        <w:t>y</w:t>
      </w:r>
      <w:r w:rsidRPr="003500D9">
        <w:rPr>
          <w:rFonts w:eastAsiaTheme="minorEastAsia"/>
        </w:rPr>
        <w:t xml:space="preserve"> Pickhardt, 2010).</w:t>
      </w:r>
    </w:p>
    <w:p w14:paraId="2C59D09E" w14:textId="79D36043" w:rsidR="003500D9" w:rsidRPr="008C45D4" w:rsidRDefault="003500D9" w:rsidP="008C45D4">
      <w:pPr>
        <w:pStyle w:val="Prrafodelista"/>
        <w:numPr>
          <w:ilvl w:val="0"/>
          <w:numId w:val="23"/>
        </w:numPr>
        <w:rPr>
          <w:rFonts w:eastAsiaTheme="minorEastAsia"/>
        </w:rPr>
      </w:pPr>
      <w:r>
        <w:rPr>
          <w:rFonts w:eastAsiaTheme="minorEastAsia"/>
          <w:b/>
          <w:bCs/>
        </w:rPr>
        <w:t>Penalización:</w:t>
      </w:r>
      <w:r>
        <w:rPr>
          <w:rFonts w:eastAsiaTheme="minorEastAsia"/>
        </w:rPr>
        <w:t xml:space="preserve"> Sanción impuesta a un agente auditado que le obliga a permanecer en estado auditor durante n periodos. Este mecanismo sustituye a las sanciones monetarias explícitas y refleja efectos psicológicos y sociales como la vergüenza o el miedo a la reincidencia. (</w:t>
      </w:r>
      <w:r w:rsidRPr="009D7B2E">
        <w:rPr>
          <w:rFonts w:eastAsiaTheme="minorEastAsia"/>
        </w:rPr>
        <w:t xml:space="preserve">Pickhardt </w:t>
      </w:r>
      <w:r w:rsidR="008C45D4">
        <w:rPr>
          <w:rFonts w:eastAsiaTheme="minorEastAsia"/>
        </w:rPr>
        <w:t>y</w:t>
      </w:r>
      <w:r w:rsidRPr="008C45D4">
        <w:rPr>
          <w:rFonts w:eastAsiaTheme="minorEastAsia"/>
        </w:rPr>
        <w:t xml:space="preserve"> Seibold, 2011)</w:t>
      </w:r>
    </w:p>
    <w:p w14:paraId="1E3797E4" w14:textId="746DD5C8" w:rsidR="00864ACC" w:rsidRPr="004D789E" w:rsidRDefault="00833D6A" w:rsidP="00646C97">
      <w:pPr>
        <w:pStyle w:val="Prrafodelista"/>
        <w:numPr>
          <w:ilvl w:val="0"/>
          <w:numId w:val="23"/>
        </w:numPr>
        <w:rPr>
          <w:rFonts w:eastAsiaTheme="minorEastAsia"/>
          <w:b/>
          <w:bCs/>
        </w:rPr>
      </w:pPr>
      <w:r w:rsidRPr="00294217">
        <w:rPr>
          <w:rFonts w:eastAsiaTheme="minorEastAsia"/>
          <w:b/>
          <w:bCs/>
        </w:rPr>
        <w:t>La red de interacciones</w:t>
      </w:r>
      <w:r>
        <w:rPr>
          <w:rFonts w:eastAsiaTheme="minorEastAsia"/>
          <w:b/>
          <w:bCs/>
        </w:rPr>
        <w:t>:</w:t>
      </w:r>
      <w:r w:rsidRPr="00294217">
        <w:rPr>
          <w:rFonts w:eastAsiaTheme="minorEastAsia"/>
        </w:rPr>
        <w:t xml:space="preserve"> se construye como una retícula </w:t>
      </w:r>
      <w:r>
        <w:rPr>
          <w:rFonts w:eastAsiaTheme="minorEastAsia"/>
        </w:rPr>
        <w:t xml:space="preserve">bidimensional (lattice) </w:t>
      </w:r>
      <w:r w:rsidRPr="00294217">
        <w:rPr>
          <w:rFonts w:eastAsiaTheme="minorEastAsia"/>
        </w:rPr>
        <w:t>o red compleja, donde las conexiones reflejan relaciones sociales o económicas</w:t>
      </w:r>
      <w:r>
        <w:rPr>
          <w:rFonts w:eastAsiaTheme="minorEastAsia"/>
        </w:rPr>
        <w:t xml:space="preserve"> entre los agentes determinando la influencia mutua en sus decisiones fiscales.</w:t>
      </w:r>
      <w:r w:rsidRPr="00294217">
        <w:rPr>
          <w:rFonts w:eastAsiaTheme="minorEastAsia"/>
        </w:rPr>
        <w:t xml:space="preserve"> (Pickhardt</w:t>
      </w:r>
      <w:r w:rsidR="00EF1625">
        <w:rPr>
          <w:rFonts w:eastAsiaTheme="minorEastAsia"/>
        </w:rPr>
        <w:t xml:space="preserve"> y </w:t>
      </w:r>
      <w:r w:rsidRPr="00294217">
        <w:rPr>
          <w:rFonts w:eastAsiaTheme="minorEastAsia"/>
        </w:rPr>
        <w:t>Prinz, 2014).</w:t>
      </w:r>
      <w:r w:rsidR="00646C97">
        <w:rPr>
          <w:rFonts w:eastAsiaTheme="minorEastAsia"/>
          <w:b/>
          <w:bCs/>
        </w:rPr>
        <w:t xml:space="preserve"> </w:t>
      </w:r>
      <w:r w:rsidR="00646C97" w:rsidRPr="00646C97">
        <w:rPr>
          <w:rFonts w:eastAsiaTheme="minorEastAsia"/>
        </w:rPr>
        <w:t xml:space="preserve">En esta estructura </w:t>
      </w:r>
      <w:r w:rsidR="00646C97">
        <w:rPr>
          <w:rFonts w:eastAsiaTheme="minorEastAsia"/>
        </w:rPr>
        <w:t>c</w:t>
      </w:r>
      <w:r w:rsidR="0001259E">
        <w:rPr>
          <w:rFonts w:eastAsiaTheme="minorEastAsia"/>
        </w:rPr>
        <w:t xml:space="preserve">ada contribuyente ocupa una celda y está conectado con sus vecinos más cercanos, de esta manera se simplifica la </w:t>
      </w:r>
      <w:r w:rsidR="0096331F">
        <w:rPr>
          <w:rFonts w:eastAsiaTheme="minorEastAsia"/>
        </w:rPr>
        <w:t>representación de la interacción social y la influencia del entorno</w:t>
      </w:r>
      <w:r w:rsidR="00A92F27" w:rsidRPr="00A92F27">
        <w:t xml:space="preserve"> </w:t>
      </w:r>
      <w:r w:rsidR="00A92F27" w:rsidRPr="00A92F27">
        <w:rPr>
          <w:rFonts w:eastAsiaTheme="minorEastAsia"/>
        </w:rPr>
        <w:t>(Stauffer, 2008</w:t>
      </w:r>
      <w:r w:rsidR="00A92F27">
        <w:rPr>
          <w:rFonts w:eastAsiaTheme="minorEastAsia"/>
        </w:rPr>
        <w:t>)</w:t>
      </w:r>
      <w:r w:rsidR="00A92F27" w:rsidRPr="00A92F27">
        <w:rPr>
          <w:rFonts w:eastAsiaTheme="minorEastAsia"/>
        </w:rPr>
        <w:t xml:space="preserve">; </w:t>
      </w:r>
      <w:r w:rsidR="00A92F27">
        <w:rPr>
          <w:rFonts w:eastAsiaTheme="minorEastAsia"/>
        </w:rPr>
        <w:t>(</w:t>
      </w:r>
      <w:r w:rsidR="00A92F27" w:rsidRPr="00A92F27">
        <w:rPr>
          <w:rFonts w:eastAsiaTheme="minorEastAsia"/>
        </w:rPr>
        <w:t>Zaklan</w:t>
      </w:r>
      <w:r w:rsidR="00EF1625">
        <w:rPr>
          <w:rFonts w:eastAsiaTheme="minorEastAsia"/>
        </w:rPr>
        <w:t xml:space="preserve"> y colaboradores,</w:t>
      </w:r>
      <w:r w:rsidR="00A92F27" w:rsidRPr="00A92F27">
        <w:rPr>
          <w:rFonts w:eastAsiaTheme="minorEastAsia"/>
        </w:rPr>
        <w:t xml:space="preserve"> 2009</w:t>
      </w:r>
      <w:r w:rsidR="0096331F">
        <w:rPr>
          <w:rFonts w:eastAsiaTheme="minorEastAsia"/>
        </w:rPr>
        <w:t>. Además</w:t>
      </w:r>
      <w:r w:rsidR="00C80D16">
        <w:rPr>
          <w:rFonts w:eastAsiaTheme="minorEastAsia"/>
        </w:rPr>
        <w:t xml:space="preserve"> su implementación </w:t>
      </w:r>
      <w:r w:rsidR="00A9004E">
        <w:rPr>
          <w:rFonts w:eastAsiaTheme="minorEastAsia"/>
        </w:rPr>
        <w:t>computacional</w:t>
      </w:r>
      <w:r w:rsidR="00C80D16">
        <w:rPr>
          <w:rFonts w:eastAsiaTheme="minorEastAsia"/>
        </w:rPr>
        <w:t xml:space="preserve"> es </w:t>
      </w:r>
      <w:r w:rsidR="004034BE">
        <w:rPr>
          <w:rFonts w:eastAsiaTheme="minorEastAsia"/>
        </w:rPr>
        <w:t>eficiente</w:t>
      </w:r>
      <w:r w:rsidR="00C80D16">
        <w:rPr>
          <w:rFonts w:eastAsiaTheme="minorEastAsia"/>
        </w:rPr>
        <w:t xml:space="preserve"> y facilita la </w:t>
      </w:r>
      <w:r w:rsidR="00A9004E">
        <w:rPr>
          <w:rFonts w:eastAsiaTheme="minorEastAsia"/>
        </w:rPr>
        <w:t>visualización de dinámicas colectivas.</w:t>
      </w:r>
    </w:p>
    <w:p w14:paraId="68C51CB4" w14:textId="77777777" w:rsidR="0064037F" w:rsidRDefault="00AA7815" w:rsidP="0064037F">
      <w:pPr>
        <w:keepNext/>
        <w:spacing w:before="0" w:after="0" w:line="240" w:lineRule="auto"/>
        <w:jc w:val="center"/>
      </w:pPr>
      <w:r w:rsidRPr="00AA7815">
        <w:rPr>
          <w:noProof/>
          <w:lang w:eastAsia="es-ES"/>
        </w:rPr>
        <w:lastRenderedPageBreak/>
        <w:drawing>
          <wp:inline distT="0" distB="0" distL="0" distR="0" wp14:anchorId="096682C2" wp14:editId="54F5F082">
            <wp:extent cx="5036185" cy="935355"/>
            <wp:effectExtent l="0" t="0" r="0" b="0"/>
            <wp:docPr id="167460681" name="Imagen 10" descr="Una antena enci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681" name="Imagen 10" descr="Una antena enci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6185" cy="935355"/>
                    </a:xfrm>
                    <a:prstGeom prst="rect">
                      <a:avLst/>
                    </a:prstGeom>
                    <a:noFill/>
                    <a:ln>
                      <a:noFill/>
                    </a:ln>
                  </pic:spPr>
                </pic:pic>
              </a:graphicData>
            </a:graphic>
          </wp:inline>
        </w:drawing>
      </w:r>
    </w:p>
    <w:p w14:paraId="6F84CD42" w14:textId="54353C49" w:rsidR="00A92F27" w:rsidRPr="00A92F27" w:rsidRDefault="0064037F" w:rsidP="00A92F27">
      <w:pPr>
        <w:pStyle w:val="Descripcin"/>
        <w:jc w:val="center"/>
        <w:rPr>
          <w:rFonts w:ascii="Times New Roman" w:eastAsia="Times New Roman" w:hAnsi="Times New Roman" w:cs="Times New Roman"/>
          <w:szCs w:val="24"/>
          <w:lang w:eastAsia="es-ES"/>
        </w:rPr>
      </w:pPr>
      <w:bookmarkStart w:id="36" w:name="_Toc201255657"/>
      <w:r>
        <w:t xml:space="preserve">Ilustración </w:t>
      </w:r>
      <w:fldSimple w:instr=" SEQ Ilustración \* ARABIC ">
        <w:r>
          <w:rPr>
            <w:noProof/>
          </w:rPr>
          <w:t>6</w:t>
        </w:r>
      </w:fldSimple>
      <w:r>
        <w:t xml:space="preserve">. Ejemplo de enrejado en dos dimensiones (fuente: </w:t>
      </w:r>
      <w:r w:rsidRPr="005854E4">
        <w:t>https://www.researchgate.net/figure/Two-dimensional-Ising-model-shown-as-a-square-lattice-of-interacting-spins-Normally-one_fig4_335369511</w:t>
      </w:r>
      <w:r>
        <w:t>)</w:t>
      </w:r>
      <w:bookmarkEnd w:id="36"/>
    </w:p>
    <w:p w14:paraId="201152DF" w14:textId="776B6EC1" w:rsidR="003500D9" w:rsidRPr="003500D9" w:rsidRDefault="003500D9" w:rsidP="003500D9">
      <w:pPr>
        <w:rPr>
          <w:rFonts w:eastAsiaTheme="minorEastAsia"/>
        </w:rPr>
      </w:pPr>
      <w:r>
        <w:rPr>
          <w:rFonts w:eastAsiaTheme="minorEastAsia"/>
        </w:rPr>
        <w:t>Teniendo en cuenta estos parámetros es posible definir en primer lugar la energía local del sistema en función del valor de los vecinos:</w:t>
      </w:r>
    </w:p>
    <w:p w14:paraId="12BA4A14" w14:textId="1273DC46" w:rsidR="009D7B2E" w:rsidRPr="003500D9" w:rsidRDefault="00000000" w:rsidP="009D7B2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nary>
            <m:naryPr>
              <m:chr m:val="∑"/>
              <m:supHide m:val="1"/>
              <m:ctrlPr>
                <w:rPr>
                  <w:rFonts w:ascii="Cambria Math" w:eastAsiaTheme="minorEastAsia" w:hAnsi="Cambria Math"/>
                </w:rPr>
              </m:ctrlPr>
            </m:naryPr>
            <m: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i,j</m:t>
                  </m:r>
                </m:e>
              </m:d>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kl</m:t>
                  </m:r>
                </m:sub>
              </m:sSub>
              <m:ctrlPr>
                <w:rPr>
                  <w:rFonts w:ascii="Cambria Math" w:eastAsiaTheme="minorEastAsia" w:hAnsi="Cambria Math"/>
                  <w:i/>
                </w:rPr>
              </m:ctrlPr>
            </m:e>
          </m:nary>
        </m:oMath>
      </m:oMathPara>
    </w:p>
    <w:p w14:paraId="1CDC08B9" w14:textId="55488E56" w:rsidR="003500D9" w:rsidRDefault="003500D9" w:rsidP="009D7B2E">
      <w:pPr>
        <w:rPr>
          <w:rFonts w:eastAsiaTheme="minorEastAsia"/>
        </w:rPr>
      </w:pPr>
      <w:r>
        <w:rPr>
          <w:rFonts w:eastAsiaTheme="minorEastAsia"/>
        </w:rPr>
        <w:t>Donde:</w:t>
      </w:r>
    </w:p>
    <w:p w14:paraId="20586784" w14:textId="271ADAE5" w:rsidR="003500D9" w:rsidRPr="003500D9" w:rsidRDefault="00000000" w:rsidP="003500D9">
      <w:pPr>
        <w:pStyle w:val="Prrafodelista"/>
        <w:numPr>
          <w:ilvl w:val="0"/>
          <w:numId w:val="2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m:rPr>
            <m:sty m:val="p"/>
          </m:rPr>
          <w:rPr>
            <w:rFonts w:ascii="Cambria Math" w:eastAsiaTheme="minorEastAsia" w:hAnsi="Cambria Math"/>
          </w:rPr>
          <m:t>∈{</m:t>
        </m:r>
        <m:r>
          <w:rPr>
            <w:rFonts w:ascii="Cambria Math" w:eastAsiaTheme="minorEastAsia" w:hAnsi="Cambria Math"/>
          </w:rPr>
          <m:t>-1,+1}</m:t>
        </m:r>
      </m:oMath>
      <w:r w:rsidR="003500D9">
        <w:rPr>
          <w:rFonts w:eastAsiaTheme="minorEastAsia"/>
        </w:rPr>
        <w:t xml:space="preserve"> es el estado del individuo, evasor (-1) o cumplidor (+1).</w:t>
      </w:r>
    </w:p>
    <w:p w14:paraId="2104F63C" w14:textId="05EF4B67" w:rsidR="003500D9" w:rsidRDefault="003500D9" w:rsidP="003500D9">
      <w:pPr>
        <w:pStyle w:val="Prrafodelista"/>
        <w:numPr>
          <w:ilvl w:val="0"/>
          <w:numId w:val="24"/>
        </w:numPr>
        <w:rPr>
          <w:rFonts w:eastAsiaTheme="minorEastAsia"/>
        </w:rPr>
      </w:pPr>
      <m:oMath>
        <m:r>
          <w:rPr>
            <w:rFonts w:ascii="Cambria Math" w:eastAsiaTheme="minorEastAsia" w:hAnsi="Cambria Math"/>
          </w:rPr>
          <m:t>N(i,j)</m:t>
        </m:r>
      </m:oMath>
      <w:r>
        <w:rPr>
          <w:rFonts w:eastAsiaTheme="minorEastAsia"/>
        </w:rPr>
        <w:t xml:space="preserve"> son los 4 vecinos inmediatos del individuo (arriba, abajo, izquierda, derecha).</w:t>
      </w:r>
    </w:p>
    <w:p w14:paraId="71B1FE08" w14:textId="7FA971AB" w:rsidR="003500D9" w:rsidRPr="003500D9" w:rsidRDefault="00000000" w:rsidP="003500D9">
      <w:pPr>
        <w:pStyle w:val="Prrafodelista"/>
        <w:numPr>
          <w:ilvl w:val="0"/>
          <w:numId w:val="2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kl</m:t>
            </m:r>
          </m:sub>
        </m:sSub>
      </m:oMath>
      <w:r w:rsidR="003500D9">
        <w:rPr>
          <w:rFonts w:eastAsiaTheme="minorEastAsia"/>
        </w:rPr>
        <w:t xml:space="preserve"> es el estado de cada vecino.</w:t>
      </w:r>
    </w:p>
    <w:p w14:paraId="39B701D6" w14:textId="52CD63B1" w:rsidR="003500D9" w:rsidRDefault="003500D9" w:rsidP="003500D9">
      <w:pPr>
        <w:rPr>
          <w:rFonts w:eastAsiaTheme="minorEastAsia"/>
        </w:rPr>
      </w:pPr>
      <w:r>
        <w:rPr>
          <w:rFonts w:eastAsiaTheme="minorEastAsia"/>
        </w:rPr>
        <w:t xml:space="preserve">Partiendo de esta premisa puede definirse el cambio de energía del sistema </w:t>
      </w:r>
      <m:oMath>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E)</m:t>
        </m:r>
      </m:oMath>
      <w:r>
        <w:rPr>
          <w:rFonts w:eastAsiaTheme="minorEastAsia"/>
        </w:rPr>
        <w:t xml:space="preserve"> de la siguiente manera:</w:t>
      </w:r>
    </w:p>
    <w:p w14:paraId="5257FCA8" w14:textId="77777777" w:rsidR="003500D9" w:rsidRDefault="003500D9" w:rsidP="003500D9">
      <w:pPr>
        <w:rPr>
          <w:rFonts w:eastAsiaTheme="minorEastAsia"/>
        </w:rPr>
      </w:pPr>
      <m:oMathPara>
        <m:oMath>
          <m:r>
            <m:rPr>
              <m:sty m:val="p"/>
            </m:rPr>
            <w:rPr>
              <w:rFonts w:ascii="Cambria Math" w:eastAsiaTheme="minorEastAsia" w:hAnsi="Cambria Math"/>
            </w:rPr>
            <m:t>∆</m:t>
          </m:r>
          <m:r>
            <w:rPr>
              <w:rFonts w:ascii="Cambria Math" w:eastAsiaTheme="minorEastAsia" w:hAnsi="Cambria Math"/>
            </w:rPr>
            <m:t>E=2</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nary>
            <m:naryPr>
              <m:chr m:val="∑"/>
              <m:supHide m:val="1"/>
              <m:ctrlPr>
                <w:rPr>
                  <w:rFonts w:ascii="Cambria Math" w:eastAsiaTheme="minorEastAsia" w:hAnsi="Cambria Math"/>
                </w:rPr>
              </m:ctrlPr>
            </m:naryPr>
            <m: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i,j</m:t>
                  </m:r>
                </m:e>
              </m:d>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kl</m:t>
                  </m:r>
                </m:sub>
              </m:sSub>
              <m:ctrlPr>
                <w:rPr>
                  <w:rFonts w:ascii="Cambria Math" w:eastAsiaTheme="minorEastAsia" w:hAnsi="Cambria Math"/>
                  <w:i/>
                </w:rPr>
              </m:ctrlPr>
            </m:e>
          </m:nary>
        </m:oMath>
      </m:oMathPara>
    </w:p>
    <w:p w14:paraId="0D62C79F" w14:textId="62BA595A" w:rsidR="003500D9" w:rsidRDefault="003500D9" w:rsidP="003500D9">
      <w:pPr>
        <w:rPr>
          <w:rFonts w:eastAsiaTheme="minorEastAsia"/>
        </w:rPr>
      </w:pPr>
      <w:r>
        <w:rPr>
          <w:rFonts w:eastAsiaTheme="minorEastAsia"/>
        </w:rPr>
        <w:t xml:space="preserve">Entonces la regla de transición definida por el algoritmo de metrópolis resulta en que la probabilidad de aceptar un cambio de estado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m:t>
        </m:r>
      </m:oMath>
      <w:r>
        <w:rPr>
          <w:rFonts w:eastAsiaTheme="minorEastAsia"/>
        </w:rPr>
        <w:t xml:space="preserve"> sea:</w:t>
      </w:r>
    </w:p>
    <w:p w14:paraId="64D226A1" w14:textId="38818B93" w:rsidR="003500D9" w:rsidRPr="003500D9" w:rsidRDefault="003500D9" w:rsidP="003500D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m:t>
                  </m:r>
                </m:e>
                <m:e>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E</m:t>
                              </m:r>
                            </m:num>
                            <m:den>
                              <m:r>
                                <w:rPr>
                                  <w:rFonts w:ascii="Cambria Math" w:eastAsiaTheme="minorEastAsia" w:hAnsi="Cambria Math"/>
                                </w:rPr>
                                <m:t>T</m:t>
                              </m:r>
                            </m:den>
                          </m:f>
                        </m:e>
                      </m:d>
                    </m:sup>
                  </m:sSup>
                  <m:r>
                    <w:rPr>
                      <w:rFonts w:ascii="Cambria Math" w:eastAsiaTheme="minorEastAsia" w:hAnsi="Cambria Math"/>
                    </w:rPr>
                    <m:t>,</m:t>
                  </m:r>
                </m:e>
              </m:eqArr>
              <m:r>
                <w:rPr>
                  <w:rFonts w:ascii="Cambria Math" w:eastAsiaTheme="minorEastAsia" w:hAnsi="Cambria Math"/>
                </w:rPr>
                <m:t xml:space="preserve">               </m:t>
              </m:r>
            </m:e>
          </m:d>
          <m:f>
            <m:fPr>
              <m:type m:val="noBar"/>
              <m:ctrlPr>
                <w:rPr>
                  <w:rFonts w:ascii="Cambria Math" w:eastAsiaTheme="minorEastAsia" w:hAnsi="Cambria Math"/>
                  <w:i/>
                </w:rPr>
              </m:ctrlPr>
            </m:fPr>
            <m:num>
              <m:r>
                <w:rPr>
                  <w:rFonts w:ascii="Cambria Math" w:eastAsiaTheme="minorEastAsia" w:hAnsi="Cambria Math"/>
                </w:rPr>
                <m:t xml:space="preserve">si </m:t>
              </m:r>
              <m:r>
                <m:rPr>
                  <m:sty m:val="p"/>
                </m:rPr>
                <w:rPr>
                  <w:rFonts w:ascii="Cambria Math" w:eastAsiaTheme="minorEastAsia" w:hAnsi="Cambria Math"/>
                </w:rPr>
                <m:t>∆</m:t>
              </m:r>
              <m:r>
                <w:rPr>
                  <w:rFonts w:ascii="Cambria Math" w:eastAsiaTheme="minorEastAsia" w:hAnsi="Cambria Math"/>
                </w:rPr>
                <m:t>E≤0</m:t>
              </m:r>
            </m:num>
            <m:den>
              <m:r>
                <w:rPr>
                  <w:rFonts w:ascii="Cambria Math" w:eastAsiaTheme="minorEastAsia" w:hAnsi="Cambria Math"/>
                </w:rPr>
                <m:t xml:space="preserve">si </m:t>
              </m:r>
              <m:r>
                <m:rPr>
                  <m:sty m:val="p"/>
                </m:rPr>
                <w:rPr>
                  <w:rFonts w:ascii="Cambria Math" w:eastAsiaTheme="minorEastAsia" w:hAnsi="Cambria Math"/>
                </w:rPr>
                <m:t>∆</m:t>
              </m:r>
              <m:r>
                <w:rPr>
                  <w:rFonts w:ascii="Cambria Math" w:eastAsiaTheme="minorEastAsia" w:hAnsi="Cambria Math"/>
                </w:rPr>
                <m:t>E&gt;0</m:t>
              </m:r>
            </m:den>
          </m:f>
        </m:oMath>
      </m:oMathPara>
    </w:p>
    <w:p w14:paraId="44FAC362" w14:textId="607AD158" w:rsidR="003500D9" w:rsidRDefault="003500D9" w:rsidP="003500D9">
      <w:pPr>
        <w:rPr>
          <w:rFonts w:eastAsiaTheme="minorEastAsia"/>
        </w:rPr>
      </w:pPr>
      <w:r>
        <w:rPr>
          <w:rFonts w:eastAsiaTheme="minorEastAsia"/>
        </w:rPr>
        <w:t>Finalmente, en el supuesto de que un agente evasor (-1) sea auditado se le obliga a cumplir y se bloquea su estado durante n pasos de la simulación (penalización). Por lo que la fórmula resumida del modelo sería la siguiente:</w:t>
      </w:r>
    </w:p>
    <w:p w14:paraId="33E68EB8" w14:textId="1C5913B1" w:rsidR="003500D9" w:rsidRPr="00722FBD" w:rsidRDefault="00000000" w:rsidP="003500D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e>
              </m:eqArr>
            </m:e>
          </m:d>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si está penalizado                                </m:t>
                </m:r>
              </m:e>
            </m:mr>
            <m:mr>
              <m:e>
                <m:r>
                  <w:rPr>
                    <w:rFonts w:ascii="Cambria Math" w:eastAsiaTheme="minorEastAsia" w:hAnsi="Cambria Math"/>
                  </w:rPr>
                  <m:t>con prob.P</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E</m:t>
                    </m:r>
                  </m:e>
                </m:d>
                <m:r>
                  <w:rPr>
                    <w:rFonts w:ascii="Cambria Math" w:eastAsiaTheme="minorEastAsia" w:hAnsi="Cambria Math"/>
                  </w:rPr>
                  <m:t>,si no penalizado</m:t>
                </m:r>
              </m:e>
            </m:mr>
            <m:mr>
              <m:e>
                <m:r>
                  <w:rPr>
                    <w:rFonts w:ascii="Cambria Math" w:eastAsiaTheme="minorEastAsia" w:hAnsi="Cambria Math"/>
                  </w:rPr>
                  <m:t xml:space="preserve">en otro caso                                           </m:t>
                </m:r>
              </m:e>
            </m:mr>
          </m:m>
        </m:oMath>
      </m:oMathPara>
    </w:p>
    <w:p w14:paraId="67579F02" w14:textId="2A96DBC6" w:rsidR="00722FBD" w:rsidRPr="00722FBD" w:rsidRDefault="00722FBD" w:rsidP="003500D9">
      <w:pPr>
        <w:rPr>
          <w:rFonts w:eastAsiaTheme="minorEastAsia"/>
        </w:rPr>
      </w:pPr>
      <w:r>
        <w:rPr>
          <w:rFonts w:eastAsiaTheme="minorEastAsia"/>
        </w:rPr>
        <w:t>Esta forma cubriría todos los casos, en caso de penalización el contribuyente está obligado a cumplir, si está libre puede cambiar su estado a partir de la probabilidad de cambio definida por el algoritmo de metrópolis y en caso de no cambiar, mantiene su estado</w:t>
      </w:r>
      <w:r w:rsidR="00D04CBC">
        <w:rPr>
          <w:rFonts w:eastAsiaTheme="minorEastAsia"/>
        </w:rPr>
        <w:t xml:space="preserve"> </w:t>
      </w:r>
      <w:r w:rsidR="00D04CBC" w:rsidRPr="00D04CBC">
        <w:rPr>
          <w:rFonts w:eastAsiaTheme="minorEastAsia"/>
        </w:rPr>
        <w:t xml:space="preserve">(Zaklan </w:t>
      </w:r>
      <w:r w:rsidR="00D04CBC">
        <w:rPr>
          <w:rFonts w:eastAsiaTheme="minorEastAsia"/>
        </w:rPr>
        <w:t>y colaboradores</w:t>
      </w:r>
      <w:r w:rsidR="00D04CBC" w:rsidRPr="00D04CBC">
        <w:rPr>
          <w:rFonts w:eastAsiaTheme="minorEastAsia"/>
        </w:rPr>
        <w:t>, 2009</w:t>
      </w:r>
      <w:r w:rsidR="00D04CBC">
        <w:rPr>
          <w:rFonts w:eastAsiaTheme="minorEastAsia"/>
        </w:rPr>
        <w:t>)</w:t>
      </w:r>
      <w:r w:rsidR="00D04CBC" w:rsidRPr="00D04CBC">
        <w:rPr>
          <w:rFonts w:eastAsiaTheme="minorEastAsia"/>
        </w:rPr>
        <w:t xml:space="preserve">; </w:t>
      </w:r>
      <w:r w:rsidR="00D04CBC">
        <w:rPr>
          <w:rFonts w:eastAsiaTheme="minorEastAsia"/>
        </w:rPr>
        <w:t>(</w:t>
      </w:r>
      <w:r w:rsidR="00D04CBC" w:rsidRPr="00D04CBC">
        <w:rPr>
          <w:rFonts w:eastAsiaTheme="minorEastAsia"/>
        </w:rPr>
        <w:t xml:space="preserve">Pickhardt </w:t>
      </w:r>
      <w:r w:rsidR="00D04CBC">
        <w:rPr>
          <w:rFonts w:eastAsiaTheme="minorEastAsia"/>
        </w:rPr>
        <w:t>y</w:t>
      </w:r>
      <w:r w:rsidR="00D04CBC" w:rsidRPr="00D04CBC">
        <w:rPr>
          <w:rFonts w:eastAsiaTheme="minorEastAsia"/>
        </w:rPr>
        <w:t xml:space="preserve"> Seibold, 2011).</w:t>
      </w:r>
    </w:p>
    <w:p w14:paraId="128BBA18" w14:textId="2256D1E9" w:rsidR="003500D9" w:rsidRDefault="00722FBD" w:rsidP="003500D9">
      <w:pPr>
        <w:rPr>
          <w:rFonts w:eastAsiaTheme="minorEastAsia"/>
        </w:rPr>
      </w:pPr>
      <w:r>
        <w:rPr>
          <w:rFonts w:eastAsiaTheme="minorEastAsia"/>
        </w:rPr>
        <w:t>Una vez definida la evasión es importante conocer la tase de evasión del periodo, es decir el porcentaje de individuos que están evadiendo en ese momento.</w:t>
      </w:r>
    </w:p>
    <w:p w14:paraId="0CCD7171" w14:textId="37040E40" w:rsidR="00722FBD" w:rsidRPr="00722FBD" w:rsidRDefault="00722FBD" w:rsidP="003500D9">
      <w:pPr>
        <w:rPr>
          <w:rFonts w:eastAsiaTheme="minorEastAsia"/>
        </w:rPr>
      </w:pPr>
      <m:oMathPara>
        <m:oMath>
          <m:r>
            <w:rPr>
              <w:rFonts w:ascii="Cambria Math" w:eastAsiaTheme="minorEastAsia" w:hAnsi="Cambria Math"/>
            </w:rPr>
            <m:t>Tasa de Evasión</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Número de evasores en t</m:t>
              </m:r>
            </m:num>
            <m:den>
              <m:r>
                <w:rPr>
                  <w:rFonts w:ascii="Cambria Math" w:eastAsiaTheme="minorEastAsia" w:hAnsi="Cambria Math"/>
                </w:rPr>
                <m:t>Total de individuos</m:t>
              </m:r>
            </m:den>
          </m:f>
        </m:oMath>
      </m:oMathPara>
    </w:p>
    <w:p w14:paraId="15587990" w14:textId="7D4A394A" w:rsidR="00722FBD" w:rsidRPr="00AA7815" w:rsidRDefault="00294217" w:rsidP="009D7B2E">
      <w:r w:rsidRPr="00294217">
        <w:rPr>
          <w:rFonts w:eastAsiaTheme="minorEastAsia"/>
        </w:rPr>
        <w:t xml:space="preserve">Este marco permite estudiar cómo </w:t>
      </w:r>
      <w:r w:rsidR="00722FBD">
        <w:rPr>
          <w:rFonts w:eastAsiaTheme="minorEastAsia"/>
        </w:rPr>
        <w:t>se propaga o se contiene la evasión fiscal en una población analizando tanto los comportamientos individuales y colectivos como la influencia de los factores institucionales</w:t>
      </w:r>
      <w:r w:rsidR="0033368A" w:rsidRPr="0033368A">
        <w:t xml:space="preserve"> </w:t>
      </w:r>
      <w:r w:rsidR="0033368A" w:rsidRPr="0033368A">
        <w:rPr>
          <w:rFonts w:eastAsiaTheme="minorEastAsia"/>
        </w:rPr>
        <w:t>(Alm, 2019</w:t>
      </w:r>
      <w:r w:rsidR="0033368A">
        <w:rPr>
          <w:rFonts w:eastAsiaTheme="minorEastAsia"/>
        </w:rPr>
        <w:t>)</w:t>
      </w:r>
      <w:r w:rsidR="0033368A" w:rsidRPr="0033368A">
        <w:rPr>
          <w:rFonts w:eastAsiaTheme="minorEastAsia"/>
        </w:rPr>
        <w:t xml:space="preserve">; </w:t>
      </w:r>
      <w:r w:rsidR="0033368A">
        <w:rPr>
          <w:rFonts w:eastAsiaTheme="minorEastAsia"/>
        </w:rPr>
        <w:t>(</w:t>
      </w:r>
      <w:r w:rsidR="0033368A" w:rsidRPr="0033368A">
        <w:rPr>
          <w:rFonts w:eastAsiaTheme="minorEastAsia"/>
        </w:rPr>
        <w:t xml:space="preserve">Pickhardt </w:t>
      </w:r>
      <w:r w:rsidR="008C45D4">
        <w:rPr>
          <w:rFonts w:eastAsiaTheme="minorEastAsia"/>
        </w:rPr>
        <w:t>y</w:t>
      </w:r>
      <w:r w:rsidR="0033368A" w:rsidRPr="0033368A">
        <w:rPr>
          <w:rFonts w:eastAsiaTheme="minorEastAsia"/>
        </w:rPr>
        <w:t xml:space="preserve"> Prinz, 2014).</w:t>
      </w:r>
    </w:p>
    <w:p w14:paraId="073899E3" w14:textId="3730D434" w:rsidR="00294217" w:rsidRDefault="009D7B2E" w:rsidP="00294217">
      <w:pPr>
        <w:rPr>
          <w:rFonts w:eastAsiaTheme="minorEastAsia"/>
        </w:rPr>
      </w:pPr>
      <w:r>
        <w:rPr>
          <w:rFonts w:eastAsiaTheme="minorEastAsia"/>
        </w:rPr>
        <w:t xml:space="preserve">Esta definición viene motivada por diversos hallazgos empíricos, </w:t>
      </w:r>
      <w:r w:rsidR="00294217">
        <w:rPr>
          <w:rFonts w:eastAsiaTheme="minorEastAsia"/>
        </w:rPr>
        <w:t xml:space="preserve">que </w:t>
      </w:r>
      <w:r w:rsidR="00AA7815">
        <w:rPr>
          <w:rFonts w:eastAsiaTheme="minorEastAsia"/>
        </w:rPr>
        <w:t>respaldan</w:t>
      </w:r>
      <w:r w:rsidR="00294217">
        <w:rPr>
          <w:rFonts w:eastAsiaTheme="minorEastAsia"/>
        </w:rPr>
        <w:t xml:space="preserve"> la incorporación de </w:t>
      </w:r>
      <w:r w:rsidR="00294217">
        <w:rPr>
          <w:rFonts w:eastAsiaTheme="minorEastAsia"/>
          <w:b/>
          <w:bCs/>
        </w:rPr>
        <w:t>normas sociales y presión de pares</w:t>
      </w:r>
      <w:r w:rsidR="00294217">
        <w:rPr>
          <w:rFonts w:eastAsiaTheme="minorEastAsia"/>
        </w:rPr>
        <w:t xml:space="preserve"> en el análisis del comportamiento tributario,</w:t>
      </w:r>
      <w:r>
        <w:rPr>
          <w:rFonts w:eastAsiaTheme="minorEastAsia"/>
        </w:rPr>
        <w:t xml:space="preserve"> siendo posible afirmar que </w:t>
      </w:r>
      <w:r w:rsidR="00294217">
        <w:rPr>
          <w:rFonts w:eastAsiaTheme="minorEastAsia"/>
        </w:rPr>
        <w:t xml:space="preserve">la moral tributaria se ve profundamente influenciada por lo que los contribuyentes perciben como aceptable entre sus iguales </w:t>
      </w:r>
      <w:r w:rsidR="00294217" w:rsidRPr="00294217">
        <w:rPr>
          <w:rFonts w:eastAsiaTheme="minorEastAsia"/>
        </w:rPr>
        <w:t>(Kirchler, 2007)</w:t>
      </w:r>
      <w:r w:rsidR="00294217">
        <w:rPr>
          <w:rFonts w:eastAsiaTheme="minorEastAsia"/>
        </w:rPr>
        <w:t>.</w:t>
      </w:r>
    </w:p>
    <w:p w14:paraId="36D57399" w14:textId="4841C485" w:rsidR="009D7B2E" w:rsidRDefault="009D7B2E" w:rsidP="009D7B2E">
      <w:pPr>
        <w:rPr>
          <w:rFonts w:eastAsiaTheme="minorEastAsia"/>
        </w:rPr>
      </w:pPr>
      <w:r>
        <w:rPr>
          <w:rFonts w:eastAsiaTheme="minorEastAsia"/>
        </w:rPr>
        <w:t xml:space="preserve">Por otro lado, se estudiará el </w:t>
      </w:r>
      <w:r w:rsidRPr="009D7B2E">
        <w:rPr>
          <w:rFonts w:eastAsiaTheme="minorEastAsia"/>
          <w:b/>
          <w:bCs/>
        </w:rPr>
        <w:t>efecto de la fiscalización</w:t>
      </w:r>
      <w:r>
        <w:rPr>
          <w:rFonts w:eastAsiaTheme="minorEastAsia"/>
        </w:rPr>
        <w:t>, la probabilidad de ser auditado influye significativamente en la decisión de evadir, actuando de manera relativamente similar a un campo magnético encargado de orientar el comportamiento colectivo.</w:t>
      </w:r>
      <w:r w:rsidR="00294217">
        <w:rPr>
          <w:rFonts w:eastAsiaTheme="minorEastAsia"/>
        </w:rPr>
        <w:t xml:space="preserve"> </w:t>
      </w:r>
      <w:r w:rsidR="00294217" w:rsidRPr="00294217">
        <w:rPr>
          <w:rFonts w:eastAsiaTheme="minorEastAsia"/>
        </w:rPr>
        <w:t xml:space="preserve">Por ejemplo, Alm (2019) demuestra que incluso cambios modestos en la probabilidad de auditoría pueden tener un efecto disuasorio considerable. Esto valida el papel de </w:t>
      </w:r>
      <w:r w:rsidR="00722FBD">
        <w:rPr>
          <w:rFonts w:eastAsiaTheme="minorEastAsia"/>
        </w:rPr>
        <w:t>las auditorías y las penalizaciones</w:t>
      </w:r>
      <w:r w:rsidR="00294217" w:rsidRPr="00294217">
        <w:rPr>
          <w:rFonts w:eastAsiaTheme="minorEastAsia"/>
        </w:rPr>
        <w:t xml:space="preserve"> en el modelo como un parámetro crucial para políticas públicas.</w:t>
      </w:r>
    </w:p>
    <w:p w14:paraId="2C9739EB" w14:textId="65A4CF72" w:rsidR="00722FBD" w:rsidRDefault="00722FBD" w:rsidP="009D7B2E">
      <w:pPr>
        <w:rPr>
          <w:rFonts w:eastAsiaTheme="minorEastAsia"/>
        </w:rPr>
      </w:pPr>
      <w:r w:rsidRPr="00722FBD">
        <w:rPr>
          <w:rFonts w:eastAsiaTheme="minorEastAsia"/>
        </w:rPr>
        <w:lastRenderedPageBreak/>
        <w:t xml:space="preserve">Finalmente, el modelo también posibilita el análisis de </w:t>
      </w:r>
      <w:r w:rsidRPr="00722FBD">
        <w:rPr>
          <w:rFonts w:eastAsiaTheme="minorEastAsia"/>
          <w:b/>
          <w:bCs/>
        </w:rPr>
        <w:t>procesos dinámicos</w:t>
      </w:r>
      <w:r w:rsidRPr="00722FBD">
        <w:rPr>
          <w:rFonts w:eastAsiaTheme="minorEastAsia"/>
        </w:rPr>
        <w:t xml:space="preserve">, como cambios en el clima social (variaciones en T), reformas tributarias (ajustes en </w:t>
      </w:r>
      <w:r>
        <w:rPr>
          <w:rFonts w:eastAsiaTheme="minorEastAsia"/>
        </w:rPr>
        <w:t>la probabilidad de auditoria</w:t>
      </w:r>
      <w:r w:rsidRPr="00722FBD">
        <w:rPr>
          <w:rFonts w:eastAsiaTheme="minorEastAsia"/>
        </w:rPr>
        <w:t>) o campañas de concienciación. Estas simulaciones permiten evaluar no sólo los resultados estáticos del sistema, sino también su trayectoria de evolución, identificando condiciones de estabilidad, puntos de inflexión y posibles estados críticos</w:t>
      </w:r>
      <w:r>
        <w:rPr>
          <w:rFonts w:eastAsiaTheme="minorEastAsia"/>
        </w:rPr>
        <w:t>.</w:t>
      </w:r>
    </w:p>
    <w:p w14:paraId="49FA60B4" w14:textId="6BCFE5E6" w:rsidR="00166464" w:rsidRPr="00166464" w:rsidRDefault="005E40DF" w:rsidP="39E28D74">
      <w:pPr>
        <w:pStyle w:val="Ttulo2"/>
      </w:pPr>
      <w:bookmarkStart w:id="37" w:name="_Toc199704572"/>
      <w:r>
        <w:t>Simulación y Análisis de resultados</w:t>
      </w:r>
      <w:bookmarkEnd w:id="37"/>
    </w:p>
    <w:p w14:paraId="4D6B413A" w14:textId="352F8D75" w:rsidR="00166464" w:rsidRDefault="009D7B2E" w:rsidP="39E28D74">
      <w:r>
        <w:t xml:space="preserve">A continuación se va a simular como se propaga o contiene la evasión en una red de contribuyentes, estudiando el impacto de cambios en T (como una campaña de concienciación fiscal) en diferentes escenarios definidos por la presión fiscal para identificar umbrales de efectividad tratando de demostrar como lo hacen </w:t>
      </w:r>
      <w:r w:rsidRPr="009D7B2E">
        <w:t xml:space="preserve">Pickhardt </w:t>
      </w:r>
      <w:r w:rsidR="008C45D4">
        <w:t>y</w:t>
      </w:r>
      <w:r w:rsidRPr="009D7B2E">
        <w:t xml:space="preserve"> Seibold (2011)</w:t>
      </w:r>
      <w:r>
        <w:t xml:space="preserve"> que partir de ciertos niveles de auditoría el cumplimiento se estabiliza.</w:t>
      </w:r>
    </w:p>
    <w:p w14:paraId="575A7187" w14:textId="393FAF33" w:rsidR="00722FBD" w:rsidRDefault="00722FBD" w:rsidP="00722FBD">
      <w:pPr>
        <w:pStyle w:val="Ttulo3"/>
      </w:pPr>
      <w:bookmarkStart w:id="38" w:name="_Toc199704573"/>
      <w:r>
        <w:t>Simulación inicial estática</w:t>
      </w:r>
      <w:bookmarkEnd w:id="38"/>
    </w:p>
    <w:p w14:paraId="180347F0" w14:textId="5CF8B116" w:rsidR="00722FBD" w:rsidRDefault="00722FBD" w:rsidP="00722FBD">
      <w:r>
        <w:t xml:space="preserve">En primer lugar veamos </w:t>
      </w:r>
      <w:r w:rsidR="0002273D">
        <w:t>cómo</w:t>
      </w:r>
      <w:r>
        <w:t xml:space="preserve"> evoluciona el modelo si los parámetros que lo definen son estáticos es decir se mantienen constantes durante todos los pasos de la simulación. En el supuesto de realizar un análisis basado en una temperatura social baja es posible apreciar que los agentes tienden a imitar a sus vecinos, generando coherencia en el comportamiento.</w:t>
      </w:r>
    </w:p>
    <w:p w14:paraId="10DAAD0E" w14:textId="77777777" w:rsidR="0064037F" w:rsidRDefault="00722FBD" w:rsidP="0064037F">
      <w:pPr>
        <w:keepNext/>
        <w:jc w:val="center"/>
      </w:pPr>
      <w:r>
        <w:rPr>
          <w:noProof/>
        </w:rPr>
        <w:lastRenderedPageBreak/>
        <w:drawing>
          <wp:inline distT="0" distB="0" distL="0" distR="0" wp14:anchorId="799F28BC" wp14:editId="29BE8D14">
            <wp:extent cx="5036185" cy="2518410"/>
            <wp:effectExtent l="0" t="0" r="0" b="0"/>
            <wp:docPr id="26172784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7843" name="Imagen 1" descr="Gráfico, Gráfico de líneas&#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036185" cy="2518410"/>
                    </a:xfrm>
                    <a:prstGeom prst="rect">
                      <a:avLst/>
                    </a:prstGeom>
                  </pic:spPr>
                </pic:pic>
              </a:graphicData>
            </a:graphic>
          </wp:inline>
        </w:drawing>
      </w:r>
    </w:p>
    <w:p w14:paraId="60A59C02" w14:textId="517A47B9" w:rsidR="00722FBD" w:rsidRDefault="0064037F" w:rsidP="0064037F">
      <w:pPr>
        <w:pStyle w:val="Descripcin"/>
        <w:jc w:val="center"/>
      </w:pPr>
      <w:bookmarkStart w:id="39" w:name="_Toc201255658"/>
      <w:r>
        <w:t xml:space="preserve">Ilustración </w:t>
      </w:r>
      <w:fldSimple w:instr=" SEQ Ilustración \* ARABIC ">
        <w:r>
          <w:rPr>
            <w:noProof/>
          </w:rPr>
          <w:t>7</w:t>
        </w:r>
      </w:fldSimple>
      <w:r>
        <w:t>. Simulación mediante Python</w:t>
      </w:r>
      <w:bookmarkEnd w:id="39"/>
    </w:p>
    <w:p w14:paraId="1B6A968D" w14:textId="490BB463" w:rsidR="00722FBD" w:rsidRDefault="00722FBD" w:rsidP="00722FBD">
      <w:r>
        <w:t>La tasa de evasión en este caso se mantiene baja, entre el 1.5% y el 2.8% y aunque se aprecian oscilaciones frecuentes son pequeñas</w:t>
      </w:r>
      <w:r w:rsidR="00C043F4">
        <w:t xml:space="preserve"> debido a que el sistema está ordenado y la probabilidad de auditoría es relativamente alta.</w:t>
      </w:r>
      <w:r w:rsidR="008B1161">
        <w:t xml:space="preserve"> Es importante </w:t>
      </w:r>
      <w:r w:rsidR="00013F33">
        <w:t xml:space="preserve">mencionar que tanto en la ilustración 7 como en las ilustraciones que representan las simulaciones posteriores puede </w:t>
      </w:r>
      <w:r w:rsidR="006C7A83">
        <w:t>apreciarse</w:t>
      </w:r>
      <w:r w:rsidR="00013F33">
        <w:t xml:space="preserve"> </w:t>
      </w:r>
      <w:r w:rsidR="00422E75">
        <w:t>fluctuación debido a la escala en la que está representada la gráfica.</w:t>
      </w:r>
    </w:p>
    <w:p w14:paraId="63299D85" w14:textId="79244285" w:rsidR="00C043F4" w:rsidRDefault="00C043F4" w:rsidP="00722FBD">
      <w:r>
        <w:t>Observando a continuación la evolución del sistema si disminuye la probabilidad de auditoría es fácil apreciar que se mantiene el orden en el sistema debido al efecto de la temperatura social.</w:t>
      </w:r>
    </w:p>
    <w:p w14:paraId="729FA825" w14:textId="77777777" w:rsidR="0064037F" w:rsidRDefault="00722FBD" w:rsidP="0064037F">
      <w:pPr>
        <w:keepNext/>
        <w:jc w:val="center"/>
      </w:pPr>
      <w:r>
        <w:rPr>
          <w:noProof/>
        </w:rPr>
        <w:lastRenderedPageBreak/>
        <w:drawing>
          <wp:inline distT="0" distB="0" distL="0" distR="0" wp14:anchorId="042A5890" wp14:editId="49AEE6C0">
            <wp:extent cx="5036185" cy="2518410"/>
            <wp:effectExtent l="0" t="0" r="0" b="0"/>
            <wp:docPr id="1301701924" name="Imagen 3"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1924" name="Imagen 3" descr="Interfaz de usuario gráfica, Gráfico, Gráfico de líneas&#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036185" cy="2518410"/>
                    </a:xfrm>
                    <a:prstGeom prst="rect">
                      <a:avLst/>
                    </a:prstGeom>
                  </pic:spPr>
                </pic:pic>
              </a:graphicData>
            </a:graphic>
          </wp:inline>
        </w:drawing>
      </w:r>
    </w:p>
    <w:p w14:paraId="4A013D10" w14:textId="1FE77515" w:rsidR="00722FBD" w:rsidRDefault="0064037F" w:rsidP="0064037F">
      <w:pPr>
        <w:pStyle w:val="Descripcin"/>
        <w:jc w:val="center"/>
      </w:pPr>
      <w:bookmarkStart w:id="40" w:name="_Toc201255659"/>
      <w:r>
        <w:t xml:space="preserve">Ilustración </w:t>
      </w:r>
      <w:fldSimple w:instr=" SEQ Ilustración \* ARABIC ">
        <w:r>
          <w:rPr>
            <w:noProof/>
          </w:rPr>
          <w:t>8</w:t>
        </w:r>
      </w:fldSimple>
      <w:r>
        <w:t xml:space="preserve">. </w:t>
      </w:r>
      <w:r w:rsidRPr="00ED4CA8">
        <w:t>Simulación mediante Python</w:t>
      </w:r>
      <w:bookmarkEnd w:id="40"/>
    </w:p>
    <w:p w14:paraId="075B53D9" w14:textId="79CC2825" w:rsidR="00C043F4" w:rsidRDefault="00C043F4" w:rsidP="00722FBD">
      <w:r>
        <w:t>Por otro lado la disminución de la probabilidad de auditoría resultará en un aumento de la tasa de evasión a valores comprendidos entre el 3.5% y el 6.5%. El aumento en la evasión fiscal en esta segunda simulación nos permite corroborar la importancia de las auditorías fiscales.</w:t>
      </w:r>
    </w:p>
    <w:p w14:paraId="73FE2652" w14:textId="1BF7F03B" w:rsidR="00C043F4" w:rsidRDefault="00C043F4" w:rsidP="00722FBD">
      <w:r>
        <w:t>A continuación se repetirá el análisis partiendo de una temperatura social igual a 5 observando así la influencia de este parámetro en nuestro modelo.</w:t>
      </w:r>
    </w:p>
    <w:p w14:paraId="2A4CF629" w14:textId="77777777" w:rsidR="0064037F" w:rsidRDefault="00722FBD" w:rsidP="0064037F">
      <w:pPr>
        <w:keepNext/>
        <w:jc w:val="center"/>
      </w:pPr>
      <w:r>
        <w:rPr>
          <w:noProof/>
        </w:rPr>
        <w:drawing>
          <wp:inline distT="0" distB="0" distL="0" distR="0" wp14:anchorId="455FFB36" wp14:editId="463CF8F4">
            <wp:extent cx="5036185" cy="2518410"/>
            <wp:effectExtent l="0" t="0" r="0" b="0"/>
            <wp:docPr id="303576588" name="Imagen 2" descr="Interfaz de usuario gráfica, 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76588" name="Imagen 2" descr="Interfaz de usuario gráfica, Gráfico, Histo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036185" cy="2518410"/>
                    </a:xfrm>
                    <a:prstGeom prst="rect">
                      <a:avLst/>
                    </a:prstGeom>
                  </pic:spPr>
                </pic:pic>
              </a:graphicData>
            </a:graphic>
          </wp:inline>
        </w:drawing>
      </w:r>
    </w:p>
    <w:p w14:paraId="0B3C7058" w14:textId="556E6729" w:rsidR="00C043F4" w:rsidRDefault="0064037F" w:rsidP="0064037F">
      <w:pPr>
        <w:pStyle w:val="Descripcin"/>
        <w:jc w:val="center"/>
      </w:pPr>
      <w:bookmarkStart w:id="41" w:name="_Toc201255660"/>
      <w:r>
        <w:t xml:space="preserve">Ilustración </w:t>
      </w:r>
      <w:fldSimple w:instr=" SEQ Ilustración \* ARABIC ">
        <w:r>
          <w:rPr>
            <w:noProof/>
          </w:rPr>
          <w:t>9</w:t>
        </w:r>
      </w:fldSimple>
      <w:r w:rsidRPr="008E77BF">
        <w:t>. Simulación mediante Python</w:t>
      </w:r>
      <w:bookmarkEnd w:id="41"/>
    </w:p>
    <w:p w14:paraId="3E713A5B" w14:textId="5249B334" w:rsidR="00C043F4" w:rsidRDefault="00C043F4" w:rsidP="00722FBD">
      <w:r>
        <w:lastRenderedPageBreak/>
        <w:t>En este caso puede observarse que la tasa de evasión aumenta, oscilando entre el 4% y el 9%, el comportamiento de los agentes es más aleatorio y la influencia de los vecinos es menor, esto lleva a un</w:t>
      </w:r>
      <w:r w:rsidR="00DB505F">
        <w:t>a</w:t>
      </w:r>
      <w:r>
        <w:t xml:space="preserve"> mayor </w:t>
      </w:r>
      <w:r w:rsidR="00DB505F">
        <w:t>tasa</w:t>
      </w:r>
      <w:r>
        <w:t xml:space="preserve"> de evasión incluso con una probabilidad de auditoría relativamente alta.</w:t>
      </w:r>
    </w:p>
    <w:p w14:paraId="4588406D" w14:textId="2FE9E57E" w:rsidR="00C043F4" w:rsidRDefault="00C043F4" w:rsidP="00722FBD">
      <w:r>
        <w:t>En última instancia, una reducción en la probabilidad de auditoría resultaría en un nuevo aumento en la tasa de evasión fiscal.</w:t>
      </w:r>
    </w:p>
    <w:p w14:paraId="54A211BF" w14:textId="77777777" w:rsidR="0064037F" w:rsidRDefault="00722FBD" w:rsidP="0064037F">
      <w:pPr>
        <w:keepNext/>
        <w:jc w:val="center"/>
      </w:pPr>
      <w:r>
        <w:rPr>
          <w:noProof/>
        </w:rPr>
        <w:drawing>
          <wp:inline distT="0" distB="0" distL="0" distR="0" wp14:anchorId="6C191B6D" wp14:editId="2DC53350">
            <wp:extent cx="5036185" cy="2518410"/>
            <wp:effectExtent l="0" t="0" r="0" b="0"/>
            <wp:docPr id="327583887"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83887" name="Imagen 4" descr="Gráfico, Gráfico de líneas&#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036185" cy="2518410"/>
                    </a:xfrm>
                    <a:prstGeom prst="rect">
                      <a:avLst/>
                    </a:prstGeom>
                  </pic:spPr>
                </pic:pic>
              </a:graphicData>
            </a:graphic>
          </wp:inline>
        </w:drawing>
      </w:r>
    </w:p>
    <w:p w14:paraId="19124DA5" w14:textId="0029A42A" w:rsidR="00722FBD" w:rsidRDefault="0064037F" w:rsidP="0064037F">
      <w:pPr>
        <w:pStyle w:val="Descripcin"/>
        <w:jc w:val="center"/>
      </w:pPr>
      <w:bookmarkStart w:id="42" w:name="_Toc201255661"/>
      <w:r>
        <w:t xml:space="preserve">Ilustración </w:t>
      </w:r>
      <w:fldSimple w:instr=" SEQ Ilustración \* ARABIC ">
        <w:r>
          <w:rPr>
            <w:noProof/>
          </w:rPr>
          <w:t>10</w:t>
        </w:r>
      </w:fldSimple>
      <w:r w:rsidRPr="001B28E2">
        <w:t>. Simulación mediante Python</w:t>
      </w:r>
      <w:bookmarkEnd w:id="42"/>
    </w:p>
    <w:p w14:paraId="0C5A9F9D" w14:textId="08A1149B" w:rsidR="00C043F4" w:rsidRPr="00722FBD" w:rsidRDefault="00C043F4" w:rsidP="00722FBD">
      <w:r>
        <w:t>Esta segunda simulación permite comprobar como el aumento de la temperatura resulta directamente en un aumento de la tase de evasión. Adicionalmente permite observar el efecto disuasorio de las penalizaciones</w:t>
      </w:r>
      <w:r w:rsidR="00B30C7B">
        <w:t>, tras un pico inicial de evasión la obligación de cumplimiento aplicada sobre ciertos contribuyentes permite estabilizar la tasa de evasión.</w:t>
      </w:r>
    </w:p>
    <w:p w14:paraId="1F9866E7" w14:textId="0CAE7370" w:rsidR="00B30C7B" w:rsidRDefault="00B30C7B" w:rsidP="00B30C7B">
      <w:pPr>
        <w:pStyle w:val="Ttulo3"/>
      </w:pPr>
      <w:bookmarkStart w:id="43" w:name="_Toc199704574"/>
      <w:r>
        <w:t>Simulación dinámica</w:t>
      </w:r>
      <w:bookmarkEnd w:id="43"/>
    </w:p>
    <w:p w14:paraId="3985C59A" w14:textId="02B86CFA" w:rsidR="00B30C7B" w:rsidRDefault="00B30C7B" w:rsidP="00B30C7B">
      <w:r>
        <w:t>Una vez analizado el efecto de los diferentes componentes del modelo en la evasión fiscal resulta interesante analizar como la variación de estos componentes podría influir en la evolución de la evasión fiscal a lo largo del tiempo.</w:t>
      </w:r>
    </w:p>
    <w:p w14:paraId="6D4C2C6F" w14:textId="574009C0" w:rsidR="00B30C7B" w:rsidRDefault="00B30C7B" w:rsidP="00B30C7B">
      <w:r>
        <w:t xml:space="preserve">La siguiente simulación parte de la misma configuración inicial que la primera simulación, siendo la temperatura de 2.5 y la probabilidad de auditoría de 0.05. </w:t>
      </w:r>
      <w:r>
        <w:lastRenderedPageBreak/>
        <w:t xml:space="preserve">Sin embargo, en el año 5 aumenta la probabilidad de </w:t>
      </w:r>
      <w:r w:rsidR="006C7A83">
        <w:t>auditorías</w:t>
      </w:r>
      <w:r>
        <w:t xml:space="preserve"> en 0.02, en el año 10 se reduce la temperatura en 0.5 y finalmente en el año 15 se disminuye la probabilidad de auditorías en 0.01 de modo que la tasa de evasión durante este periodo de 20 años seguiría la tendencia siguiente:</w:t>
      </w:r>
    </w:p>
    <w:p w14:paraId="0A48ECE5" w14:textId="77777777" w:rsidR="0064037F" w:rsidRDefault="00B30C7B" w:rsidP="0064037F">
      <w:pPr>
        <w:keepNext/>
        <w:jc w:val="center"/>
      </w:pPr>
      <w:r>
        <w:rPr>
          <w:noProof/>
        </w:rPr>
        <w:drawing>
          <wp:inline distT="0" distB="0" distL="0" distR="0" wp14:anchorId="5F085886" wp14:editId="6CC97E72">
            <wp:extent cx="5036185" cy="3776980"/>
            <wp:effectExtent l="0" t="0" r="0" b="0"/>
            <wp:docPr id="1602253833"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3833" name="Imagen 5" descr="Gráfico, Gráfico de líneas&#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036185" cy="3776980"/>
                    </a:xfrm>
                    <a:prstGeom prst="rect">
                      <a:avLst/>
                    </a:prstGeom>
                  </pic:spPr>
                </pic:pic>
              </a:graphicData>
            </a:graphic>
          </wp:inline>
        </w:drawing>
      </w:r>
    </w:p>
    <w:p w14:paraId="2A6FD940" w14:textId="6126C025" w:rsidR="00B30C7B" w:rsidRDefault="0064037F" w:rsidP="0064037F">
      <w:pPr>
        <w:pStyle w:val="Descripcin"/>
        <w:jc w:val="center"/>
      </w:pPr>
      <w:bookmarkStart w:id="44" w:name="_Toc201255662"/>
      <w:r>
        <w:t xml:space="preserve">Ilustración </w:t>
      </w:r>
      <w:fldSimple w:instr=" SEQ Ilustración \* ARABIC ">
        <w:r>
          <w:rPr>
            <w:noProof/>
          </w:rPr>
          <w:t>11</w:t>
        </w:r>
      </w:fldSimple>
      <w:r w:rsidRPr="00F3229D">
        <w:t>. Simulación mediante Python</w:t>
      </w:r>
      <w:bookmarkEnd w:id="44"/>
    </w:p>
    <w:p w14:paraId="4B4C91B2" w14:textId="44168F77" w:rsidR="00B30C7B" w:rsidRDefault="00B30C7B" w:rsidP="00B30C7B">
      <w:r>
        <w:t xml:space="preserve">Durante los primeros 5 años la tasa de evasión fluctúa alrededor del 9%. </w:t>
      </w:r>
      <w:r w:rsidRPr="00B30C7B">
        <w:t xml:space="preserve">Este escenario refleja una </w:t>
      </w:r>
      <w:r w:rsidRPr="00B30C7B">
        <w:rPr>
          <w:b/>
          <w:bCs/>
        </w:rPr>
        <w:t>sociedad con baja moral tributaria</w:t>
      </w:r>
      <w:r w:rsidRPr="00B30C7B">
        <w:t>, donde evadir impuestos no es socialmente condenado, y el riesgo de sanción es bajo. Según Kirchler (2007), en tales entornos los contribuyentes tienden a replicar el comportamiento evasor de sus pares.</w:t>
      </w:r>
    </w:p>
    <w:p w14:paraId="1A16062A" w14:textId="6160C389" w:rsidR="00B30C7B" w:rsidRDefault="00B30C7B" w:rsidP="00B30C7B">
      <w:r>
        <w:t xml:space="preserve">Tras el incremento en auditorías realizado en el quinto año se observa una leve tendencia descendente en la evasión que no es inmediata. </w:t>
      </w:r>
      <w:r w:rsidRPr="00B30C7B">
        <w:t xml:space="preserve">Alineado con Alm (2019), incluso </w:t>
      </w:r>
      <w:r w:rsidRPr="00B30C7B">
        <w:rPr>
          <w:b/>
          <w:bCs/>
        </w:rPr>
        <w:t>pequeños aumentos en la fiscalización</w:t>
      </w:r>
      <w:r w:rsidRPr="00B30C7B">
        <w:t xml:space="preserve"> comienzan a generar un efecto disuasivo. Sin embargo, dado que la moral tributaria sigue baja (T alta), el impacto inicial es moderado.</w:t>
      </w:r>
    </w:p>
    <w:p w14:paraId="129EC46F" w14:textId="65582F9C" w:rsidR="00B30C7B" w:rsidRDefault="00B30C7B" w:rsidP="00B30C7B">
      <w:r>
        <w:lastRenderedPageBreak/>
        <w:t xml:space="preserve">En el décimo año se </w:t>
      </w:r>
      <w:r w:rsidR="0002273D">
        <w:t>produce</w:t>
      </w:r>
      <w:r>
        <w:t xml:space="preserve"> un </w:t>
      </w:r>
      <w:r w:rsidRPr="00B30C7B">
        <w:rPr>
          <w:b/>
          <w:bCs/>
        </w:rPr>
        <w:t>cambio en la moral tributaria colectiva</w:t>
      </w:r>
      <w:r w:rsidRPr="00B30C7B">
        <w:t>, probablemente asociado a campañas de concienciación o cambios culturales</w:t>
      </w:r>
      <w:r>
        <w:t xml:space="preserve"> es el evento de mayor relevancia en esta simulación</w:t>
      </w:r>
      <w:r w:rsidRPr="00B30C7B">
        <w:t>.</w:t>
      </w:r>
      <w:r>
        <w:t xml:space="preserve"> La reducción en T refuerza el comportamiento cooperativo y la presión social a la hora de cumplir. Asimismo se aprecia el efecto que tiene el clima social en la evasión de impuestos.</w:t>
      </w:r>
    </w:p>
    <w:p w14:paraId="52B9C07E" w14:textId="50DD66DA" w:rsidR="00B30C7B" w:rsidRDefault="00B30C7B" w:rsidP="00B30C7B">
      <w:r>
        <w:t xml:space="preserve">Finalmente la reducción de la probabilidad de auditoría en el decimoquinto año provoca un ligero aumento en la evasión, sin embargo esta se mantiene baja y estable con valores comprendidos entre el 3% y el 4% pues el sistema ya ha transitado a un </w:t>
      </w:r>
      <w:r w:rsidRPr="00B30C7B">
        <w:rPr>
          <w:b/>
          <w:bCs/>
        </w:rPr>
        <w:t>nuevo estado estable con alta moral</w:t>
      </w:r>
      <w:r>
        <w:rPr>
          <w:b/>
          <w:bCs/>
        </w:rPr>
        <w:t xml:space="preserve"> </w:t>
      </w:r>
      <w:r>
        <w:t>en el que la presión social mantiene el orden incluso si la fiscalización se relaja levemente.</w:t>
      </w:r>
    </w:p>
    <w:p w14:paraId="0516EBB0" w14:textId="201C957C" w:rsidR="00B30C7B" w:rsidRPr="00B30C7B" w:rsidRDefault="00B30C7B" w:rsidP="00B30C7B">
      <w:pPr>
        <w:pStyle w:val="Ttulo3"/>
      </w:pPr>
      <w:bookmarkStart w:id="45" w:name="_Toc199704575"/>
      <w:r>
        <w:t>Simulación basada en el VAT Gap</w:t>
      </w:r>
      <w:bookmarkEnd w:id="45"/>
    </w:p>
    <w:p w14:paraId="61596A24" w14:textId="432ADE75" w:rsidR="00B30C7B" w:rsidRDefault="00B30C7B" w:rsidP="00B30C7B">
      <w:r>
        <w:t>El análisis realizado anteriormente del VAT Gap nos permite realizar una simulación basada en los datos estudiados si los parámetros son definidos de manera adecuada. En este caso partiremos de una configuración inicial con una temperatura social baja (2.3) y una probabilidad de auditoría también baja (0.05).</w:t>
      </w:r>
    </w:p>
    <w:p w14:paraId="49B4BA7F" w14:textId="77777777" w:rsidR="0064037F" w:rsidRDefault="00B30C7B" w:rsidP="0064037F">
      <w:pPr>
        <w:keepNext/>
      </w:pPr>
      <w:r>
        <w:rPr>
          <w:noProof/>
        </w:rPr>
        <w:lastRenderedPageBreak/>
        <w:drawing>
          <wp:inline distT="0" distB="0" distL="0" distR="0" wp14:anchorId="3ADBB222" wp14:editId="679673DF">
            <wp:extent cx="5036185" cy="3776980"/>
            <wp:effectExtent l="0" t="0" r="0" b="0"/>
            <wp:docPr id="447335720"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5720" name="Imagen 6" descr="Gráfico, Gráfico de líneas&#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036185" cy="3776980"/>
                    </a:xfrm>
                    <a:prstGeom prst="rect">
                      <a:avLst/>
                    </a:prstGeom>
                  </pic:spPr>
                </pic:pic>
              </a:graphicData>
            </a:graphic>
          </wp:inline>
        </w:drawing>
      </w:r>
    </w:p>
    <w:p w14:paraId="568441AB" w14:textId="3A8BA03D" w:rsidR="00B30C7B" w:rsidRDefault="0064037F" w:rsidP="0064037F">
      <w:pPr>
        <w:pStyle w:val="Descripcin"/>
        <w:jc w:val="center"/>
      </w:pPr>
      <w:bookmarkStart w:id="46" w:name="_Toc201255663"/>
      <w:r>
        <w:t xml:space="preserve">Ilustración </w:t>
      </w:r>
      <w:fldSimple w:instr=" SEQ Ilustración \* ARABIC ">
        <w:r>
          <w:rPr>
            <w:noProof/>
          </w:rPr>
          <w:t>12</w:t>
        </w:r>
      </w:fldSimple>
      <w:r w:rsidRPr="00B165C2">
        <w:t>. Simulación mediante Python</w:t>
      </w:r>
      <w:bookmarkEnd w:id="46"/>
    </w:p>
    <w:p w14:paraId="53F99947" w14:textId="2CDFA207" w:rsidR="00B30C7B" w:rsidRDefault="00B30C7B" w:rsidP="00B30C7B">
      <w:r>
        <w:t xml:space="preserve">En primer lugar, el hecho de mayor relevancia durante este periodo es, sin lugar a duda, la pandemia y la consiguiente reducción en el consumo, esta situación podría modelarse como una reducción en la temperatura social (-0.3) pues se produce una reducción en las probabilidades de evasión. </w:t>
      </w:r>
    </w:p>
    <w:p w14:paraId="55D6AC95" w14:textId="06EC178C" w:rsidR="00B30C7B" w:rsidRDefault="00B30C7B" w:rsidP="00B30C7B">
      <w:r>
        <w:t>Posteriormente se considerarían las campañas de digitalización que ocurrieron en 2021 en las que la probabilidad de sufrir una auditoría (+0.2) aumentó debido al mayor acceso a información sobre los contribuyentes por parte del gobierno.</w:t>
      </w:r>
    </w:p>
    <w:p w14:paraId="1C380AF8" w14:textId="36250512" w:rsidR="00B30C7B" w:rsidRDefault="00B30C7B" w:rsidP="00B30C7B">
      <w:r>
        <w:t xml:space="preserve">En última instancia el repunte sufrido en 2023, atribuido con anterioridad a la </w:t>
      </w:r>
      <w:r w:rsidRPr="003B233A">
        <w:t>recuperación postpandemia, la inflación y cambios en el comportamiento del consumo</w:t>
      </w:r>
      <w:r>
        <w:t xml:space="preserve"> se podría definir en este caso como un aumento en la temperatura social, pues vuelven a incrementar las posibilidades de evasión.</w:t>
      </w:r>
    </w:p>
    <w:p w14:paraId="09B2DCA8" w14:textId="77777777" w:rsidR="00B30C7B" w:rsidRDefault="00B30C7B" w:rsidP="00B30C7B">
      <w:pPr>
        <w:pStyle w:val="Ttulo3"/>
      </w:pPr>
      <w:bookmarkStart w:id="47" w:name="_Toc199704576"/>
      <w:r>
        <w:lastRenderedPageBreak/>
        <w:t>Simulación basada en el Tax Gap</w:t>
      </w:r>
      <w:bookmarkEnd w:id="47"/>
    </w:p>
    <w:p w14:paraId="23188385" w14:textId="77777777" w:rsidR="0002273D" w:rsidRDefault="0002273D" w:rsidP="00B30C7B">
      <w:r>
        <w:t>Si analizamos el Tax Gap de Reino Unido también posible adaptar los parámetros de la simulación para que siga una evolución similar a la seguida por la economía inglesa durante los últimos 20 años. Para ellos se ha definido la temperatura inicial como 2.35 y la probabilidad de auditoría como 0.035.</w:t>
      </w:r>
    </w:p>
    <w:p w14:paraId="0FDB7907" w14:textId="77777777" w:rsidR="0064037F" w:rsidRDefault="0002273D" w:rsidP="0064037F">
      <w:pPr>
        <w:keepNext/>
        <w:jc w:val="center"/>
      </w:pPr>
      <w:r>
        <w:rPr>
          <w:noProof/>
        </w:rPr>
        <w:drawing>
          <wp:inline distT="0" distB="0" distL="0" distR="0" wp14:anchorId="2E85D0F2" wp14:editId="7F60359F">
            <wp:extent cx="5036185" cy="3776980"/>
            <wp:effectExtent l="0" t="0" r="0" b="0"/>
            <wp:docPr id="1781888486" name="Imagen 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8486" name="Imagen 9" descr="Gráfico, Gráfico de líneas&#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036185" cy="3776980"/>
                    </a:xfrm>
                    <a:prstGeom prst="rect">
                      <a:avLst/>
                    </a:prstGeom>
                  </pic:spPr>
                </pic:pic>
              </a:graphicData>
            </a:graphic>
          </wp:inline>
        </w:drawing>
      </w:r>
    </w:p>
    <w:p w14:paraId="2BF7BB91" w14:textId="71520B17" w:rsidR="0002273D" w:rsidRDefault="0064037F" w:rsidP="0064037F">
      <w:pPr>
        <w:pStyle w:val="Descripcin"/>
        <w:jc w:val="center"/>
      </w:pPr>
      <w:bookmarkStart w:id="48" w:name="_Toc201255664"/>
      <w:r>
        <w:t xml:space="preserve">Ilustración </w:t>
      </w:r>
      <w:fldSimple w:instr=" SEQ Ilustración \* ARABIC ">
        <w:r>
          <w:rPr>
            <w:noProof/>
          </w:rPr>
          <w:t>13</w:t>
        </w:r>
      </w:fldSimple>
      <w:r w:rsidRPr="00AA2966">
        <w:t>. Simulación mediante Python</w:t>
      </w:r>
      <w:bookmarkEnd w:id="48"/>
    </w:p>
    <w:p w14:paraId="7B959989" w14:textId="77777777" w:rsidR="0002273D" w:rsidRDefault="0002273D" w:rsidP="00B30C7B">
      <w:r>
        <w:t>La principal particularidad de la economía de reino unido es que la evolución de su brecha de impuestos ha seguido una tendencia mayoritariamente descendente. Partiendo de esta premisa se han definido los siguientes eventos a lo largo de la ejecución:</w:t>
      </w:r>
    </w:p>
    <w:p w14:paraId="663DF913" w14:textId="77777777" w:rsidR="0002273D" w:rsidRDefault="0002273D" w:rsidP="00B30C7B">
      <w:r>
        <w:t>Entre 2007 y 2014 se producen tres reducciones en la temperatura social con valor de 0.05 este cambio no solo representa las medidas de educación y concienciación tomadas por el gobierno para reducir la evasión fiscal sino también el auge producido durante este periodo en términos de cooperación internacional.</w:t>
      </w:r>
    </w:p>
    <w:p w14:paraId="5A76FB3F" w14:textId="77777777" w:rsidR="0002273D" w:rsidRDefault="0002273D" w:rsidP="00B30C7B">
      <w:r>
        <w:lastRenderedPageBreak/>
        <w:t>Posteriormente en el periodo comprendido entre 2009 y 2016 se producen tres aumentos en la probabilidad de auditoria con valor de 0.005, en este caso se está buscando representar la modernización tecnológica de la administración tributaria, concretamente la mejora en los sistemas de control y fiscalización.</w:t>
      </w:r>
    </w:p>
    <w:p w14:paraId="506171BF" w14:textId="77777777" w:rsidR="0002273D" w:rsidRDefault="0002273D" w:rsidP="00B30C7B">
      <w:r>
        <w:t>En el año 2017-2018 se produjo un refuerzo en la legislación y las sanciones, esto obviamente se ve representado como un aumento de 0.01 en la probabilidad de auditoría, sin embargo el impacto social de la medida también hace que la temperatura social disminuya en 0.05.</w:t>
      </w:r>
    </w:p>
    <w:p w14:paraId="0150B07A" w14:textId="039DE7E8" w:rsidR="005C18ED" w:rsidRDefault="0002273D" w:rsidP="00B30C7B">
      <w:r>
        <w:t>En última instancia y al igual que en el caso del VAT, la reducción en la actividad económica causada por la pandemia significó directamente en una reducción de la evasión fiscal definida por una disminución de 0.05 en la temperatura social.</w:t>
      </w:r>
      <w:r w:rsidR="005C18ED">
        <w:br w:type="page"/>
      </w:r>
    </w:p>
    <w:p w14:paraId="3459F3B4" w14:textId="7096C7F1" w:rsidR="39E28D74" w:rsidRDefault="39E28D74">
      <w:pPr>
        <w:sectPr w:rsidR="39E28D74" w:rsidSect="00C804D3">
          <w:pgSz w:w="11900" w:h="16840" w:code="9"/>
          <w:pgMar w:top="1985" w:right="1701" w:bottom="1418" w:left="1701" w:header="851" w:footer="851" w:gutter="567"/>
          <w:cols w:space="708"/>
          <w:titlePg/>
          <w:docGrid w:linePitch="360"/>
        </w:sectPr>
      </w:pPr>
    </w:p>
    <w:p w14:paraId="217BB919" w14:textId="51F62A2F" w:rsidR="00C61D64" w:rsidRPr="00EF1449" w:rsidRDefault="009B3341" w:rsidP="00EF1449">
      <w:pPr>
        <w:pStyle w:val="Ttulo1"/>
        <w:framePr w:wrap="notBeside"/>
      </w:pPr>
      <w:r>
        <w:lastRenderedPageBreak/>
        <w:br/>
      </w:r>
      <w:bookmarkStart w:id="49" w:name="_Toc199704577"/>
      <w:r w:rsidR="502C0D24">
        <w:t>C</w:t>
      </w:r>
      <w:r w:rsidR="71B8698E">
        <w:t>onclusiones y líneas futuras</w:t>
      </w:r>
      <w:bookmarkEnd w:id="49"/>
    </w:p>
    <w:p w14:paraId="351AB7F3" w14:textId="77777777" w:rsidR="006F5D86" w:rsidRDefault="006F5D86" w:rsidP="006F5D86">
      <w:pPr>
        <w:pStyle w:val="Ttulo2"/>
      </w:pPr>
      <w:bookmarkStart w:id="50" w:name="_Toc199704578"/>
      <w:r>
        <w:t>Conclusiones</w:t>
      </w:r>
      <w:bookmarkEnd w:id="50"/>
    </w:p>
    <w:p w14:paraId="13FECAF9" w14:textId="7236239C" w:rsidR="005508C2" w:rsidRDefault="009753AD" w:rsidP="005508C2">
      <w:r w:rsidRPr="009753AD">
        <w:t xml:space="preserve">El modelo de Ising adaptado al estudio de la evasión fiscal ha demostrado ser una herramienta eficaz para analizar las dinámicas sociales e institucionales que condicionan el comportamiento tributario colectivo. </w:t>
      </w:r>
      <w:r w:rsidR="005508C2">
        <w:t>Destacan especialmente</w:t>
      </w:r>
      <w:r w:rsidRPr="009753AD">
        <w:t>:</w:t>
      </w:r>
    </w:p>
    <w:p w14:paraId="7BA7DA1F" w14:textId="77777777" w:rsidR="005508C2" w:rsidRDefault="009753AD" w:rsidP="005508C2">
      <w:pPr>
        <w:pStyle w:val="Prrafodelista"/>
        <w:numPr>
          <w:ilvl w:val="0"/>
          <w:numId w:val="26"/>
        </w:numPr>
      </w:pPr>
      <w:r w:rsidRPr="00A1723C">
        <w:t>Las auditorías actúan como disparadores de cambio</w:t>
      </w:r>
      <w:r w:rsidRPr="009753AD">
        <w:t>, reduciendo la evasión fiscal en el corto plazo. Sin embargo, su efecto es transitorio si no se acompaña de transformaciones en la moral tributaria.</w:t>
      </w:r>
    </w:p>
    <w:p w14:paraId="3A0C5612" w14:textId="2C5F3247" w:rsidR="005508C2" w:rsidRDefault="009753AD" w:rsidP="005508C2">
      <w:pPr>
        <w:pStyle w:val="Prrafodelista"/>
        <w:numPr>
          <w:ilvl w:val="0"/>
          <w:numId w:val="26"/>
        </w:numPr>
      </w:pPr>
      <w:r w:rsidRPr="00A1723C">
        <w:t>La temperatura social, influye de forma profunda y persistente</w:t>
      </w:r>
      <w:r w:rsidRPr="009753AD">
        <w:t xml:space="preserve"> </w:t>
      </w:r>
      <w:r w:rsidR="00942220">
        <w:t>en</w:t>
      </w:r>
      <w:r w:rsidRPr="009753AD">
        <w:t xml:space="preserve"> las decisiones individuales de cumplimiento. Reducciones en la temperatura tienden a estabilizar comportamientos cooperativos y reducir la evasión incluso con menor fiscalización.</w:t>
      </w:r>
    </w:p>
    <w:p w14:paraId="77CD5DD1" w14:textId="3EB2199A" w:rsidR="009753AD" w:rsidRPr="009753AD" w:rsidRDefault="009753AD" w:rsidP="005508C2">
      <w:pPr>
        <w:pStyle w:val="Prrafodelista"/>
        <w:numPr>
          <w:ilvl w:val="0"/>
          <w:numId w:val="26"/>
        </w:numPr>
      </w:pPr>
      <w:r w:rsidRPr="00A1723C">
        <w:t>El modelo reproduce de forma coherente la evolución de la evasión fiscal observada en países como Reino Unido,</w:t>
      </w:r>
      <w:r w:rsidRPr="009753AD">
        <w:t xml:space="preserve"> </w:t>
      </w:r>
      <w:r w:rsidR="00A1723C">
        <w:t>validando</w:t>
      </w:r>
      <w:r w:rsidRPr="009753AD">
        <w:t xml:space="preserve"> su capacidad para simular procesos reales y </w:t>
      </w:r>
      <w:r w:rsidR="0002639F" w:rsidRPr="009753AD">
        <w:t>sugiri</w:t>
      </w:r>
      <w:r w:rsidR="0002639F">
        <w:t>endo</w:t>
      </w:r>
      <w:r w:rsidRPr="009753AD">
        <w:t xml:space="preserve"> un gran potencial para el análisis prospectivo de políticas fiscales.</w:t>
      </w:r>
    </w:p>
    <w:p w14:paraId="35D25880" w14:textId="1D7C8525" w:rsidR="006F5D86" w:rsidRDefault="00366E8D" w:rsidP="00C73DFD">
      <w:r w:rsidRPr="00366E8D">
        <w:t>En conjunto, este enfoque permite representar dinámicas complejas del comportamiento fiscal dentro de un entorno simulado, integrando la influencia de normas sociales, políticas públicas y decisiones individuales</w:t>
      </w:r>
      <w:r w:rsidR="009753AD" w:rsidRPr="009753AD">
        <w:t>.</w:t>
      </w:r>
    </w:p>
    <w:p w14:paraId="25F4790B" w14:textId="77777777" w:rsidR="00580136" w:rsidRDefault="00580136" w:rsidP="00C73DFD"/>
    <w:p w14:paraId="430194A6" w14:textId="77777777" w:rsidR="00580136" w:rsidRDefault="00580136" w:rsidP="00C73DFD"/>
    <w:p w14:paraId="6735F10D" w14:textId="7C529043" w:rsidR="00580136" w:rsidRDefault="006F5D86" w:rsidP="00580136">
      <w:pPr>
        <w:pStyle w:val="Ttulo2"/>
      </w:pPr>
      <w:bookmarkStart w:id="51" w:name="_Toc199704579"/>
      <w:r>
        <w:lastRenderedPageBreak/>
        <w:t>Líneas futuras</w:t>
      </w:r>
      <w:bookmarkEnd w:id="51"/>
    </w:p>
    <w:p w14:paraId="7F4CC0DF" w14:textId="75DE2CE2" w:rsidR="00580136" w:rsidRDefault="00580136" w:rsidP="00580136">
      <w:r>
        <w:t>En futuros trabajos podría</w:t>
      </w:r>
      <w:r w:rsidR="000266FA">
        <w:t>n explorarse redes de interacción más realistas</w:t>
      </w:r>
      <w:r>
        <w:t xml:space="preserve"> inclu</w:t>
      </w:r>
      <w:r w:rsidR="000266FA">
        <w:t xml:space="preserve">yendo </w:t>
      </w:r>
      <w:r>
        <w:t>agentes con distintos perfiles morales más complejos</w:t>
      </w:r>
      <w:r w:rsidR="000266FA">
        <w:t xml:space="preserve">, integrando variables económicas como ingresos o tipos </w:t>
      </w:r>
      <w:r w:rsidR="001E5136">
        <w:t>impositivos</w:t>
      </w:r>
      <w:r w:rsidR="00287A3E">
        <w:t xml:space="preserve"> o simulando políticas concretas como campañas educativas o reformas legales.</w:t>
      </w:r>
    </w:p>
    <w:p w14:paraId="276BF4F5" w14:textId="340C42FD" w:rsidR="001E5136" w:rsidRDefault="001E5136" w:rsidP="00580136">
      <w:r>
        <w:t>Adicionalmente podría calibrarse el modelo con datos empíricos basados en distintos contextos nacionales o regionales.</w:t>
      </w:r>
      <w:r w:rsidR="00287A3E">
        <w:t xml:space="preserve"> Tratando así de obtener </w:t>
      </w:r>
      <w:r w:rsidR="0087680A">
        <w:t>un conjunto de resultados tan aproximado a la realidad como sea posible.</w:t>
      </w:r>
    </w:p>
    <w:p w14:paraId="78992717" w14:textId="77777777" w:rsidR="0087680A" w:rsidRDefault="0087680A" w:rsidP="00580136"/>
    <w:p w14:paraId="2F3BDE81" w14:textId="5FB0BD10" w:rsidR="0087680A" w:rsidRPr="00580136" w:rsidRDefault="0087680A" w:rsidP="00580136">
      <w:pPr>
        <w:sectPr w:rsidR="0087680A" w:rsidRPr="00580136" w:rsidSect="00EF1449">
          <w:type w:val="oddPage"/>
          <w:pgSz w:w="11900" w:h="16840" w:code="9"/>
          <w:pgMar w:top="1985" w:right="1701" w:bottom="1418" w:left="1701" w:header="851" w:footer="851" w:gutter="567"/>
          <w:cols w:space="708"/>
          <w:titlePg/>
          <w:docGrid w:linePitch="360"/>
        </w:sectPr>
      </w:pPr>
    </w:p>
    <w:p w14:paraId="176B376D" w14:textId="07994C5D" w:rsidR="00844985" w:rsidRPr="00747FD4" w:rsidRDefault="78C3D5C4" w:rsidP="00EF1449">
      <w:pPr>
        <w:pStyle w:val="Ttulo1"/>
        <w:framePr w:wrap="notBeside"/>
        <w:numPr>
          <w:ilvl w:val="0"/>
          <w:numId w:val="0"/>
        </w:numPr>
      </w:pPr>
      <w:bookmarkStart w:id="52" w:name="_Toc199704580"/>
      <w:r>
        <w:lastRenderedPageBreak/>
        <w:t>Bibliografía</w:t>
      </w:r>
      <w:bookmarkEnd w:id="52"/>
    </w:p>
    <w:p w14:paraId="5181A2CE" w14:textId="48A07E56" w:rsidR="004A4D01" w:rsidRPr="004A4D01" w:rsidRDefault="004A4D01" w:rsidP="003C3F39">
      <w:pPr>
        <w:pStyle w:val="Prrafodelista"/>
        <w:numPr>
          <w:ilvl w:val="0"/>
          <w:numId w:val="6"/>
        </w:numPr>
        <w:spacing w:after="0" w:line="240" w:lineRule="auto"/>
        <w:ind w:left="567" w:hanging="567"/>
        <w:contextualSpacing w:val="0"/>
        <w:rPr>
          <w:lang w:val="en-US"/>
        </w:rPr>
      </w:pPr>
      <w:r w:rsidRPr="004A4D01">
        <w:rPr>
          <w:b/>
          <w:bCs/>
          <w:lang w:val="en-GB"/>
        </w:rPr>
        <w:t>Zaklan, G., Westerhoff, F., &amp; Stauffer, D.</w:t>
      </w:r>
      <w:r w:rsidRPr="004A4D01">
        <w:rPr>
          <w:lang w:val="en-GB"/>
        </w:rPr>
        <w:t xml:space="preserve"> (2009). Analysing tax evasion dynamics via the Ising model. </w:t>
      </w:r>
      <w:r w:rsidRPr="004A4D01">
        <w:rPr>
          <w:i/>
          <w:iCs/>
          <w:lang w:val="en-GB"/>
        </w:rPr>
        <w:t>Journal of Economic Interaction and Coordination, 4</w:t>
      </w:r>
      <w:r w:rsidRPr="004A4D01">
        <w:rPr>
          <w:lang w:val="en-GB"/>
        </w:rPr>
        <w:t xml:space="preserve">(1), 1–14. </w:t>
      </w:r>
      <w:hyperlink r:id="rId38" w:history="1">
        <w:r w:rsidRPr="003D4106">
          <w:rPr>
            <w:rStyle w:val="Hipervnculo"/>
            <w:lang w:val="en-GB"/>
          </w:rPr>
          <w:t>https://doi.org/10.1007/s11403-008-0043-5</w:t>
        </w:r>
      </w:hyperlink>
    </w:p>
    <w:p w14:paraId="699E0045" w14:textId="77777777" w:rsidR="004A4D01" w:rsidRPr="004A4D01" w:rsidRDefault="004A4D01" w:rsidP="39E28D74">
      <w:pPr>
        <w:pStyle w:val="Prrafodelista"/>
        <w:numPr>
          <w:ilvl w:val="0"/>
          <w:numId w:val="6"/>
        </w:numPr>
        <w:spacing w:after="0" w:line="240" w:lineRule="auto"/>
        <w:ind w:left="567" w:hanging="567"/>
      </w:pPr>
      <w:r w:rsidRPr="004A4D01">
        <w:rPr>
          <w:b/>
          <w:bCs/>
          <w:lang w:val="en-GB"/>
        </w:rPr>
        <w:t>Pickhardt, M., &amp; Seibold, G.</w:t>
      </w:r>
      <w:r w:rsidRPr="004A4D01">
        <w:rPr>
          <w:lang w:val="en-GB"/>
        </w:rPr>
        <w:t xml:space="preserve"> (2011). Income tax evasion dynamics: Evidence from an agent-based econophysics model. </w:t>
      </w:r>
      <w:r w:rsidRPr="004A4D01">
        <w:rPr>
          <w:i/>
          <w:iCs/>
          <w:lang w:val="en-GB"/>
        </w:rPr>
        <w:t>arXiv preprint arXiv:1112.0233.</w:t>
      </w:r>
      <w:r w:rsidRPr="004A4D01">
        <w:rPr>
          <w:lang w:val="en-GB"/>
        </w:rPr>
        <w:t xml:space="preserve"> </w:t>
      </w:r>
      <w:hyperlink r:id="rId39" w:tgtFrame="_new" w:history="1">
        <w:r w:rsidRPr="004A4D01">
          <w:rPr>
            <w:rStyle w:val="Hipervnculo"/>
          </w:rPr>
          <w:t>https://arxiv.org/abs/1112.0233</w:t>
        </w:r>
      </w:hyperlink>
    </w:p>
    <w:p w14:paraId="548B19E2" w14:textId="77777777" w:rsidR="00816D76" w:rsidRDefault="004A4D01" w:rsidP="00816D76">
      <w:pPr>
        <w:pStyle w:val="Prrafodelista"/>
        <w:numPr>
          <w:ilvl w:val="0"/>
          <w:numId w:val="6"/>
        </w:numPr>
        <w:spacing w:after="0" w:line="240" w:lineRule="auto"/>
        <w:ind w:left="567" w:hanging="567"/>
      </w:pPr>
      <w:r w:rsidRPr="004A4D01">
        <w:rPr>
          <w:b/>
          <w:bCs/>
        </w:rPr>
        <w:t>García, J.</w:t>
      </w:r>
      <w:r w:rsidRPr="004A4D01">
        <w:t xml:space="preserve"> (2015, 15 de diciembre). ¿Por qué pagamos impuestos? </w:t>
      </w:r>
      <w:r w:rsidRPr="004A4D01">
        <w:rPr>
          <w:i/>
          <w:iCs/>
        </w:rPr>
        <w:t>Cinco Días</w:t>
      </w:r>
      <w:r w:rsidRPr="004A4D01">
        <w:t xml:space="preserve">. </w:t>
      </w:r>
      <w:hyperlink r:id="rId40" w:tgtFrame="_new" w:history="1">
        <w:r w:rsidRPr="004A4D01">
          <w:rPr>
            <w:rStyle w:val="Hipervnculo"/>
          </w:rPr>
          <w:t>https://cincodias.elpais.com/cincodias/2015/12/15/economia/1450178765_209637.html</w:t>
        </w:r>
      </w:hyperlink>
      <w:r w:rsidR="2E74AF69">
        <w:t xml:space="preserve"> </w:t>
      </w:r>
    </w:p>
    <w:p w14:paraId="52281EB5" w14:textId="2E6BC81C" w:rsidR="00816D76" w:rsidRDefault="00295EDD" w:rsidP="00816D76">
      <w:pPr>
        <w:pStyle w:val="Prrafodelista"/>
        <w:numPr>
          <w:ilvl w:val="0"/>
          <w:numId w:val="6"/>
        </w:numPr>
        <w:spacing w:after="0" w:line="240" w:lineRule="auto"/>
        <w:ind w:left="567" w:hanging="567"/>
      </w:pPr>
      <w:r w:rsidRPr="00F81CF3">
        <w:rPr>
          <w:b/>
          <w:bCs/>
          <w:lang w:val="en-GB"/>
        </w:rPr>
        <w:t>OCDE</w:t>
      </w:r>
      <w:r w:rsidR="00816D76" w:rsidRPr="00816D76">
        <w:rPr>
          <w:b/>
          <w:bCs/>
          <w:lang w:val="en-GB"/>
        </w:rPr>
        <w:t>.</w:t>
      </w:r>
      <w:r w:rsidR="00816D76" w:rsidRPr="00816D76">
        <w:rPr>
          <w:lang w:val="en-GB"/>
        </w:rPr>
        <w:t xml:space="preserve"> (2017). Shining light on the shadow economy: Opportunities and threats. </w:t>
      </w:r>
      <w:r w:rsidRPr="00295EDD">
        <w:t>OCDE</w:t>
      </w:r>
      <w:r>
        <w:t xml:space="preserve"> </w:t>
      </w:r>
      <w:r w:rsidR="00816D76">
        <w:t xml:space="preserve">Publishing. </w:t>
      </w:r>
      <w:hyperlink r:id="rId41" w:history="1">
        <w:r w:rsidR="00816D76" w:rsidRPr="0067531D">
          <w:rPr>
            <w:rStyle w:val="Hipervnculo"/>
          </w:rPr>
          <w:t>https://doi.org/10.1787/9789264264791-en</w:t>
        </w:r>
      </w:hyperlink>
    </w:p>
    <w:p w14:paraId="4DA49F9A" w14:textId="77777777" w:rsidR="00816D76" w:rsidRDefault="00816D76" w:rsidP="00816D76">
      <w:pPr>
        <w:pStyle w:val="Prrafodelista"/>
        <w:numPr>
          <w:ilvl w:val="0"/>
          <w:numId w:val="6"/>
        </w:numPr>
        <w:spacing w:after="0" w:line="240" w:lineRule="auto"/>
        <w:ind w:left="567" w:hanging="567"/>
      </w:pPr>
      <w:r w:rsidRPr="00816D76">
        <w:rPr>
          <w:b/>
          <w:bCs/>
        </w:rPr>
        <w:t>OCDE.</w:t>
      </w:r>
      <w:r>
        <w:t xml:space="preserve"> (2008). Fraude fiscal y evasión fiscal: Una amenaza creciente para los sistemas fiscales modernos. OCDE Publishing.</w:t>
      </w:r>
    </w:p>
    <w:p w14:paraId="37A0DAD1" w14:textId="7B3BAC41" w:rsidR="00816D76" w:rsidRPr="003B233A" w:rsidRDefault="00816D76" w:rsidP="00816D76">
      <w:pPr>
        <w:pStyle w:val="Prrafodelista"/>
        <w:numPr>
          <w:ilvl w:val="0"/>
          <w:numId w:val="6"/>
        </w:numPr>
        <w:spacing w:after="0" w:line="240" w:lineRule="auto"/>
        <w:ind w:left="567" w:hanging="567"/>
        <w:rPr>
          <w:lang w:val="en-GB"/>
        </w:rPr>
      </w:pPr>
      <w:r w:rsidRPr="00816D76">
        <w:rPr>
          <w:b/>
          <w:bCs/>
        </w:rPr>
        <w:t>Alm, J., &amp; Martinez-Vazquez, J.</w:t>
      </w:r>
      <w:r>
        <w:t xml:space="preserve"> (2007). </w:t>
      </w:r>
      <w:r w:rsidRPr="00816D76">
        <w:rPr>
          <w:lang w:val="en-GB"/>
        </w:rPr>
        <w:t xml:space="preserve">Tax morale and tax evasion in Latin America. International Center for Public Policy Working Paper, 07-04. </w:t>
      </w:r>
      <w:hyperlink r:id="rId42" w:history="1">
        <w:r w:rsidRPr="0067531D">
          <w:rPr>
            <w:rStyle w:val="Hipervnculo"/>
            <w:lang w:val="en-GB"/>
          </w:rPr>
          <w:t>https://doi.org/10.2139/ssrn.1005799</w:t>
        </w:r>
      </w:hyperlink>
    </w:p>
    <w:p w14:paraId="326B5D8F" w14:textId="09C076F9" w:rsidR="00816D76" w:rsidRDefault="00816D76" w:rsidP="00816D76">
      <w:pPr>
        <w:pStyle w:val="Prrafodelista"/>
        <w:numPr>
          <w:ilvl w:val="0"/>
          <w:numId w:val="6"/>
        </w:numPr>
        <w:spacing w:after="0" w:line="240" w:lineRule="auto"/>
        <w:ind w:left="567" w:hanging="567"/>
      </w:pPr>
      <w:r w:rsidRPr="00816D76">
        <w:rPr>
          <w:b/>
          <w:bCs/>
          <w:lang w:val="en-GB"/>
        </w:rPr>
        <w:t>Bird, R. M.</w:t>
      </w:r>
      <w:r w:rsidRPr="00816D76">
        <w:rPr>
          <w:lang w:val="en-GB"/>
        </w:rPr>
        <w:t xml:space="preserve"> (2015). Improving tax administration in developing countries. </w:t>
      </w:r>
      <w:r>
        <w:t>Journal of Tax Administration, 1(1), 23–45.</w:t>
      </w:r>
    </w:p>
    <w:p w14:paraId="2AD4E057" w14:textId="4C322C67" w:rsidR="00816D76" w:rsidRDefault="00816D76" w:rsidP="00816D76">
      <w:pPr>
        <w:pStyle w:val="Prrafodelista"/>
        <w:numPr>
          <w:ilvl w:val="0"/>
          <w:numId w:val="6"/>
        </w:numPr>
        <w:spacing w:after="0" w:line="240" w:lineRule="auto"/>
        <w:ind w:left="567" w:hanging="567"/>
      </w:pPr>
      <w:r w:rsidRPr="00816D76">
        <w:rPr>
          <w:b/>
          <w:bCs/>
        </w:rPr>
        <w:t>Agencia Tributaria.</w:t>
      </w:r>
      <w:r w:rsidRPr="00816D76">
        <w:t xml:space="preserve"> (2023). Impuesto sobre la Renta de las Personas Físicas (IRPF). </w:t>
      </w:r>
      <w:hyperlink r:id="rId43" w:history="1">
        <w:r w:rsidRPr="0067531D">
          <w:rPr>
            <w:rStyle w:val="Hipervnculo"/>
          </w:rPr>
          <w:t>https://sede.agenciatributaria.gob.es/Sede/irpf.html</w:t>
        </w:r>
      </w:hyperlink>
    </w:p>
    <w:p w14:paraId="4BC57EBD" w14:textId="340E7CC2" w:rsidR="00816D76" w:rsidRPr="003B233A" w:rsidRDefault="00816D76" w:rsidP="00816D76">
      <w:pPr>
        <w:pStyle w:val="Prrafodelista"/>
        <w:numPr>
          <w:ilvl w:val="0"/>
          <w:numId w:val="6"/>
        </w:numPr>
        <w:spacing w:after="0" w:line="240" w:lineRule="auto"/>
        <w:ind w:left="567" w:hanging="567"/>
        <w:rPr>
          <w:lang w:val="en-GB"/>
        </w:rPr>
      </w:pPr>
      <w:r w:rsidRPr="00816D76">
        <w:rPr>
          <w:b/>
          <w:bCs/>
          <w:lang w:val="en-GB"/>
        </w:rPr>
        <w:t>HM Revenue &amp; Customs.</w:t>
      </w:r>
      <w:r w:rsidRPr="00816D76">
        <w:rPr>
          <w:lang w:val="en-GB"/>
        </w:rPr>
        <w:t xml:space="preserve"> (2023). Income Tax rates and allowances for current and past tax years. https://www.gov.uk/income-tax-rates</w:t>
      </w:r>
    </w:p>
    <w:p w14:paraId="57A2F1A6" w14:textId="0B0B13DA" w:rsidR="004A4D01" w:rsidRDefault="004A4D01" w:rsidP="39E28D74">
      <w:pPr>
        <w:pStyle w:val="Prrafodelista"/>
        <w:numPr>
          <w:ilvl w:val="0"/>
          <w:numId w:val="6"/>
        </w:numPr>
        <w:spacing w:after="0" w:line="240" w:lineRule="auto"/>
        <w:ind w:left="567" w:hanging="567"/>
      </w:pPr>
      <w:r w:rsidRPr="00816D76">
        <w:rPr>
          <w:b/>
          <w:bCs/>
          <w:lang w:val="en-GB"/>
        </w:rPr>
        <w:t>Alstadsæter, A., Johannesen, N., &amp; Zucman, G.</w:t>
      </w:r>
      <w:r w:rsidRPr="004A4D01">
        <w:rPr>
          <w:lang w:val="en-GB"/>
        </w:rPr>
        <w:t xml:space="preserve"> (2017). </w:t>
      </w:r>
      <w:r w:rsidRPr="004A4D01">
        <w:rPr>
          <w:i/>
          <w:iCs/>
          <w:lang w:val="en-GB"/>
        </w:rPr>
        <w:t>Tax Evasion and Inequality</w:t>
      </w:r>
      <w:r w:rsidRPr="004A4D01">
        <w:rPr>
          <w:lang w:val="en-GB"/>
        </w:rPr>
        <w:t xml:space="preserve"> (NBER Working Paper No. 23772). </w:t>
      </w:r>
      <w:r w:rsidRPr="004A4D01">
        <w:t xml:space="preserve">National Bureau of Economic Research. </w:t>
      </w:r>
      <w:hyperlink r:id="rId44" w:history="1">
        <w:r w:rsidRPr="003D4106">
          <w:rPr>
            <w:rStyle w:val="Hipervnculo"/>
          </w:rPr>
          <w:t>https://doi.org/10.3386/w23772</w:t>
        </w:r>
      </w:hyperlink>
    </w:p>
    <w:p w14:paraId="3CBD7D96" w14:textId="77777777" w:rsidR="00277C84" w:rsidRDefault="004A4D01" w:rsidP="00277C84">
      <w:pPr>
        <w:pStyle w:val="Prrafodelista"/>
        <w:numPr>
          <w:ilvl w:val="0"/>
          <w:numId w:val="6"/>
        </w:numPr>
        <w:spacing w:after="0" w:line="240" w:lineRule="auto"/>
        <w:ind w:left="567" w:hanging="567"/>
      </w:pPr>
      <w:r w:rsidRPr="00816D76">
        <w:rPr>
          <w:b/>
          <w:bCs/>
        </w:rPr>
        <w:t>Gil Izquierdo, M., &amp; Onrubia Fernández, J.</w:t>
      </w:r>
      <w:r w:rsidRPr="004A4D01">
        <w:t xml:space="preserve"> (2006). </w:t>
      </w:r>
      <w:r w:rsidRPr="004A4D01">
        <w:rPr>
          <w:i/>
          <w:iCs/>
        </w:rPr>
        <w:t>La economía sumergida y el fraude fiscal en España: un análisis de los factores determinantes y de sus consecuencias</w:t>
      </w:r>
      <w:r w:rsidRPr="004A4D01">
        <w:t xml:space="preserve">. Papeles de Economía Española, (109), 114–130. Recuperado de </w:t>
      </w:r>
      <w:hyperlink r:id="rId45" w:history="1">
        <w:r w:rsidRPr="003D4106">
          <w:rPr>
            <w:rStyle w:val="Hipervnculo"/>
          </w:rPr>
          <w:t>https://dialnet.unirioja.es/servlet/articulo?codigo=3134869</w:t>
        </w:r>
      </w:hyperlink>
    </w:p>
    <w:p w14:paraId="6268F0E3" w14:textId="604EE47E" w:rsidR="00277C84" w:rsidRDefault="00277C84" w:rsidP="00277C84">
      <w:pPr>
        <w:pStyle w:val="Prrafodelista"/>
        <w:numPr>
          <w:ilvl w:val="0"/>
          <w:numId w:val="6"/>
        </w:numPr>
        <w:spacing w:after="0" w:line="240" w:lineRule="auto"/>
        <w:ind w:left="567" w:hanging="567"/>
      </w:pPr>
      <w:r w:rsidRPr="002604EF">
        <w:rPr>
          <w:b/>
          <w:bCs/>
          <w:lang w:val="en-GB"/>
        </w:rPr>
        <w:t>Onsager, L. (1944).</w:t>
      </w:r>
      <w:r w:rsidRPr="00277C84">
        <w:rPr>
          <w:lang w:val="en-GB"/>
        </w:rPr>
        <w:t xml:space="preserve"> Crystal statistics. I. A two-dimensional model with an order-disorder transition. Physical Review, 65(3-4), 117–149. </w:t>
      </w:r>
      <w:hyperlink r:id="rId46" w:history="1">
        <w:r w:rsidRPr="0067531D">
          <w:rPr>
            <w:rStyle w:val="Hipervnculo"/>
            <w:lang w:val="en-GB"/>
          </w:rPr>
          <w:t>https://doi.org/10.1103/PhysRev.65.117</w:t>
        </w:r>
      </w:hyperlink>
    </w:p>
    <w:p w14:paraId="7FBDF3D7" w14:textId="70648294" w:rsidR="00277C84" w:rsidRPr="003B233A" w:rsidRDefault="00277C84" w:rsidP="00277C84">
      <w:pPr>
        <w:pStyle w:val="Prrafodelista"/>
        <w:numPr>
          <w:ilvl w:val="0"/>
          <w:numId w:val="6"/>
        </w:numPr>
        <w:spacing w:after="0" w:line="240" w:lineRule="auto"/>
        <w:ind w:left="567" w:hanging="567"/>
        <w:rPr>
          <w:lang w:val="en-GB"/>
        </w:rPr>
      </w:pPr>
      <w:r w:rsidRPr="002604EF">
        <w:rPr>
          <w:b/>
          <w:bCs/>
          <w:lang w:val="en-GB"/>
        </w:rPr>
        <w:t>Brush, S. G. (1967).</w:t>
      </w:r>
      <w:r w:rsidRPr="00277C84">
        <w:rPr>
          <w:lang w:val="en-GB"/>
        </w:rPr>
        <w:t xml:space="preserve"> History of the Lenz-Ising model. Reviews of Modern Physics, 39(4), 883–893. </w:t>
      </w:r>
      <w:hyperlink r:id="rId47" w:history="1">
        <w:r w:rsidRPr="0067531D">
          <w:rPr>
            <w:rStyle w:val="Hipervnculo"/>
            <w:lang w:val="en-GB"/>
          </w:rPr>
          <w:t>https://doi.org/10.1103/RevModPhys.39.883</w:t>
        </w:r>
      </w:hyperlink>
    </w:p>
    <w:p w14:paraId="328F0CF6" w14:textId="2FB25C41" w:rsidR="00277C84" w:rsidRDefault="00277C84" w:rsidP="00277C84">
      <w:pPr>
        <w:pStyle w:val="Prrafodelista"/>
        <w:numPr>
          <w:ilvl w:val="0"/>
          <w:numId w:val="6"/>
        </w:numPr>
        <w:spacing w:after="0" w:line="240" w:lineRule="auto"/>
        <w:ind w:left="567" w:hanging="567"/>
      </w:pPr>
      <w:r w:rsidRPr="002604EF">
        <w:rPr>
          <w:b/>
          <w:bCs/>
          <w:lang w:val="en-GB"/>
        </w:rPr>
        <w:t>Stauffer, D. (2008).</w:t>
      </w:r>
      <w:r w:rsidRPr="00277C84">
        <w:rPr>
          <w:lang w:val="en-GB"/>
        </w:rPr>
        <w:t xml:space="preserve"> Social applications of two-dimensional Ising models. </w:t>
      </w:r>
      <w:r>
        <w:t xml:space="preserve">American Journal of Physics, 76(4-5), 470–473. </w:t>
      </w:r>
      <w:hyperlink r:id="rId48" w:history="1">
        <w:r w:rsidRPr="0067531D">
          <w:rPr>
            <w:rStyle w:val="Hipervnculo"/>
          </w:rPr>
          <w:t>https://doi.org/10.1119/1.2839142</w:t>
        </w:r>
      </w:hyperlink>
    </w:p>
    <w:p w14:paraId="7139D850" w14:textId="7264FB14" w:rsidR="00277C84" w:rsidRPr="003B233A" w:rsidRDefault="00277C84" w:rsidP="00277C84">
      <w:pPr>
        <w:pStyle w:val="Prrafodelista"/>
        <w:numPr>
          <w:ilvl w:val="0"/>
          <w:numId w:val="6"/>
        </w:numPr>
        <w:spacing w:after="0" w:line="240" w:lineRule="auto"/>
        <w:ind w:left="567" w:hanging="567"/>
        <w:rPr>
          <w:lang w:val="en-GB"/>
        </w:rPr>
      </w:pPr>
      <w:r w:rsidRPr="002604EF">
        <w:rPr>
          <w:b/>
          <w:bCs/>
          <w:lang w:val="en-GB"/>
        </w:rPr>
        <w:t>Ising, E. (1925).</w:t>
      </w:r>
      <w:r w:rsidRPr="00277C84">
        <w:rPr>
          <w:lang w:val="en-GB"/>
        </w:rPr>
        <w:t xml:space="preserve"> Beitrag zur Theorie des Ferromagnetismus. Zeitschrift für Physik, 31(1), 253–258. </w:t>
      </w:r>
      <w:hyperlink r:id="rId49" w:history="1">
        <w:r w:rsidRPr="0067531D">
          <w:rPr>
            <w:rStyle w:val="Hipervnculo"/>
            <w:lang w:val="en-GB"/>
          </w:rPr>
          <w:t>https://doi.org/10.1007/BF02980577</w:t>
        </w:r>
      </w:hyperlink>
    </w:p>
    <w:p w14:paraId="64F629DD" w14:textId="77777777" w:rsidR="00C84732" w:rsidRDefault="00277C84" w:rsidP="00C84732">
      <w:pPr>
        <w:pStyle w:val="Prrafodelista"/>
        <w:numPr>
          <w:ilvl w:val="0"/>
          <w:numId w:val="6"/>
        </w:numPr>
        <w:spacing w:after="0" w:line="240" w:lineRule="auto"/>
        <w:ind w:left="567" w:hanging="567"/>
      </w:pPr>
      <w:r w:rsidRPr="002604EF">
        <w:rPr>
          <w:b/>
          <w:bCs/>
          <w:lang w:val="en-GB"/>
        </w:rPr>
        <w:lastRenderedPageBreak/>
        <w:t>Pelissetto, A., &amp; Vicari, E. (2002). Critical</w:t>
      </w:r>
      <w:r w:rsidRPr="00277C84">
        <w:rPr>
          <w:lang w:val="en-GB"/>
        </w:rPr>
        <w:t xml:space="preserve"> phenomena and renormalization-group theory. </w:t>
      </w:r>
      <w:r>
        <w:t xml:space="preserve">Physics Reports, 368(6), 549–727. </w:t>
      </w:r>
      <w:hyperlink r:id="rId50" w:history="1">
        <w:r w:rsidRPr="0067531D">
          <w:rPr>
            <w:rStyle w:val="Hipervnculo"/>
          </w:rPr>
          <w:t>https://doi.org/10.1016/S0370-1573(02)00219-3</w:t>
        </w:r>
      </w:hyperlink>
    </w:p>
    <w:p w14:paraId="37848646" w14:textId="68778168" w:rsidR="00C84732" w:rsidRPr="00C84732" w:rsidRDefault="00C84732" w:rsidP="00C84732">
      <w:pPr>
        <w:pStyle w:val="Prrafodelista"/>
        <w:numPr>
          <w:ilvl w:val="0"/>
          <w:numId w:val="6"/>
        </w:numPr>
        <w:spacing w:after="0" w:line="240" w:lineRule="auto"/>
        <w:ind w:left="567" w:hanging="567"/>
      </w:pPr>
      <w:r w:rsidRPr="002604EF">
        <w:rPr>
          <w:b/>
          <w:bCs/>
          <w:lang w:val="en-GB"/>
        </w:rPr>
        <w:t>Metropolis, N., &amp; Ulam, S. (1949).</w:t>
      </w:r>
      <w:r w:rsidRPr="00C84732">
        <w:rPr>
          <w:lang w:val="en-GB"/>
        </w:rPr>
        <w:t xml:space="preserve"> The Monte Carlo Method. Journal of the American Statistical Association, 44(247), 335–341. </w:t>
      </w:r>
      <w:hyperlink r:id="rId51" w:history="1">
        <w:r w:rsidRPr="0067531D">
          <w:rPr>
            <w:rStyle w:val="Hipervnculo"/>
            <w:lang w:val="en-GB"/>
          </w:rPr>
          <w:t>https://doi.org/10.1080/01621459.1949.10483310</w:t>
        </w:r>
      </w:hyperlink>
    </w:p>
    <w:p w14:paraId="742CEAE4" w14:textId="77322E8F" w:rsidR="00277C84" w:rsidRDefault="00C84732" w:rsidP="00C84732">
      <w:pPr>
        <w:pStyle w:val="Prrafodelista"/>
        <w:numPr>
          <w:ilvl w:val="0"/>
          <w:numId w:val="6"/>
        </w:numPr>
        <w:spacing w:after="0" w:line="240" w:lineRule="auto"/>
        <w:ind w:left="567" w:hanging="567"/>
      </w:pPr>
      <w:r w:rsidRPr="002604EF">
        <w:rPr>
          <w:b/>
          <w:bCs/>
          <w:lang w:val="en-GB"/>
        </w:rPr>
        <w:t>Kroese, D. P., Brereton, T., Taimre, T., &amp; Botev, Z. I. (2014).</w:t>
      </w:r>
      <w:r w:rsidRPr="00C84732">
        <w:rPr>
          <w:lang w:val="en-GB"/>
        </w:rPr>
        <w:t xml:space="preserve"> Why the Monte Carlo method is so important today. </w:t>
      </w:r>
      <w:r>
        <w:t xml:space="preserve">Wiley Interdisciplinary Reviews: Computational Statistics, 6(6), 386–392. </w:t>
      </w:r>
      <w:hyperlink r:id="rId52" w:history="1">
        <w:r w:rsidR="00741B5C" w:rsidRPr="0067531D">
          <w:rPr>
            <w:rStyle w:val="Hipervnculo"/>
          </w:rPr>
          <w:t>https://doi.org/10.1002/wics.1314</w:t>
        </w:r>
      </w:hyperlink>
    </w:p>
    <w:p w14:paraId="73181668" w14:textId="77777777" w:rsidR="002604EF" w:rsidRDefault="00741B5C" w:rsidP="002604EF">
      <w:pPr>
        <w:pStyle w:val="Prrafodelista"/>
        <w:numPr>
          <w:ilvl w:val="0"/>
          <w:numId w:val="6"/>
        </w:numPr>
        <w:spacing w:after="0" w:line="240" w:lineRule="auto"/>
        <w:ind w:left="567" w:hanging="567"/>
      </w:pPr>
      <w:r w:rsidRPr="002604EF">
        <w:rPr>
          <w:b/>
          <w:bCs/>
          <w:lang w:val="en-GB"/>
        </w:rPr>
        <w:t>Ross, S. M. (2014).</w:t>
      </w:r>
      <w:r w:rsidRPr="00741B5C">
        <w:rPr>
          <w:lang w:val="en-GB"/>
        </w:rPr>
        <w:t xml:space="preserve"> </w:t>
      </w:r>
      <w:r w:rsidRPr="00741B5C">
        <w:rPr>
          <w:i/>
          <w:iCs/>
          <w:lang w:val="en-GB"/>
        </w:rPr>
        <w:t>Introduction to Probability Models</w:t>
      </w:r>
      <w:r w:rsidRPr="00741B5C">
        <w:rPr>
          <w:lang w:val="en-GB"/>
        </w:rPr>
        <w:t xml:space="preserve"> (11th ed.). </w:t>
      </w:r>
      <w:r w:rsidRPr="00741B5C">
        <w:t>Academic Press.</w:t>
      </w:r>
    </w:p>
    <w:p w14:paraId="626C2C85" w14:textId="5C065ACC" w:rsidR="002604EF" w:rsidRDefault="002604EF" w:rsidP="002604EF">
      <w:pPr>
        <w:pStyle w:val="Prrafodelista"/>
        <w:numPr>
          <w:ilvl w:val="0"/>
          <w:numId w:val="6"/>
        </w:numPr>
        <w:spacing w:after="0" w:line="240" w:lineRule="auto"/>
        <w:ind w:left="567" w:hanging="567"/>
        <w:rPr>
          <w:lang w:val="en-GB"/>
        </w:rPr>
      </w:pPr>
      <w:r w:rsidRPr="002604EF">
        <w:rPr>
          <w:b/>
          <w:bCs/>
          <w:lang w:val="en-GB"/>
        </w:rPr>
        <w:t>Allingham, M. G., &amp; Sandmo, A. (1972).</w:t>
      </w:r>
      <w:r>
        <w:rPr>
          <w:lang w:val="en-GB"/>
        </w:rPr>
        <w:t xml:space="preserve"> </w:t>
      </w:r>
      <w:r w:rsidRPr="002604EF">
        <w:rPr>
          <w:lang w:val="en-GB"/>
        </w:rPr>
        <w:t xml:space="preserve">Income tax evasion: A theoretical analysis. Journal of Public Economics, 1(3–4), 323–338. </w:t>
      </w:r>
      <w:hyperlink r:id="rId53" w:history="1">
        <w:r w:rsidRPr="00584642">
          <w:rPr>
            <w:rStyle w:val="Hipervnculo"/>
            <w:lang w:val="en-GB"/>
          </w:rPr>
          <w:t>https://doi.org/10.1016/0047-2727(72)90010-2</w:t>
        </w:r>
      </w:hyperlink>
    </w:p>
    <w:p w14:paraId="3A554693" w14:textId="172B3006" w:rsidR="002604EF" w:rsidRPr="002604EF" w:rsidRDefault="002604EF" w:rsidP="002604EF">
      <w:pPr>
        <w:pStyle w:val="Prrafodelista"/>
        <w:numPr>
          <w:ilvl w:val="0"/>
          <w:numId w:val="6"/>
        </w:numPr>
        <w:spacing w:after="0" w:line="240" w:lineRule="auto"/>
        <w:ind w:left="567" w:hanging="567"/>
        <w:rPr>
          <w:lang w:val="en-GB"/>
        </w:rPr>
      </w:pPr>
      <w:r w:rsidRPr="002604EF">
        <w:rPr>
          <w:b/>
          <w:bCs/>
          <w:lang w:val="en-GB"/>
        </w:rPr>
        <w:t>Metropolis, N., Rosenbluth, A. W., Rosenbluth, M. N., Teller, A. H., &amp; Teller, E. (1953).</w:t>
      </w:r>
      <w:r>
        <w:rPr>
          <w:b/>
          <w:bCs/>
          <w:lang w:val="en-GB"/>
        </w:rPr>
        <w:t xml:space="preserve"> </w:t>
      </w:r>
      <w:r w:rsidRPr="002604EF">
        <w:rPr>
          <w:lang w:val="en-GB"/>
        </w:rPr>
        <w:t xml:space="preserve">Equation of state calculations by fast computing machines. The Journal of Chemical Physics, 21(6), 1087–1092. </w:t>
      </w:r>
      <w:hyperlink r:id="rId54" w:history="1">
        <w:r w:rsidRPr="002604EF">
          <w:rPr>
            <w:rStyle w:val="Hipervnculo"/>
            <w:lang w:val="en-GB"/>
          </w:rPr>
          <w:t>https://doi.org/10.1063/1.1699114</w:t>
        </w:r>
      </w:hyperlink>
    </w:p>
    <w:p w14:paraId="5845FC0F" w14:textId="4B434A4A" w:rsidR="002604EF" w:rsidRDefault="002604EF" w:rsidP="002604EF">
      <w:pPr>
        <w:pStyle w:val="Prrafodelista"/>
        <w:numPr>
          <w:ilvl w:val="0"/>
          <w:numId w:val="6"/>
        </w:numPr>
        <w:spacing w:after="0" w:line="240" w:lineRule="auto"/>
        <w:ind w:left="567" w:hanging="567"/>
        <w:rPr>
          <w:lang w:val="en-GB"/>
        </w:rPr>
      </w:pPr>
      <w:r w:rsidRPr="002604EF">
        <w:rPr>
          <w:b/>
          <w:bCs/>
          <w:lang w:val="en-GB"/>
        </w:rPr>
        <w:t>Alm, J. (2019).</w:t>
      </w:r>
      <w:r w:rsidRPr="002604EF">
        <w:rPr>
          <w:lang w:val="en-GB"/>
        </w:rPr>
        <w:t xml:space="preserve"> Tax compliance and enforcement. Journal of Economic Literature, 57(4), 904–954. </w:t>
      </w:r>
      <w:hyperlink r:id="rId55" w:history="1">
        <w:r w:rsidRPr="00584642">
          <w:rPr>
            <w:rStyle w:val="Hipervnculo"/>
            <w:lang w:val="en-GB"/>
          </w:rPr>
          <w:t>https://doi.org/10.1257/jel.20181437</w:t>
        </w:r>
      </w:hyperlink>
    </w:p>
    <w:p w14:paraId="4E52E467" w14:textId="1B507348" w:rsidR="002604EF" w:rsidRDefault="002604EF" w:rsidP="002604EF">
      <w:pPr>
        <w:pStyle w:val="Prrafodelista"/>
        <w:numPr>
          <w:ilvl w:val="0"/>
          <w:numId w:val="6"/>
        </w:numPr>
        <w:spacing w:after="0" w:line="240" w:lineRule="auto"/>
        <w:ind w:left="567" w:hanging="567"/>
        <w:rPr>
          <w:lang w:val="en-GB"/>
        </w:rPr>
      </w:pPr>
      <w:r w:rsidRPr="00F81CF3">
        <w:rPr>
          <w:b/>
          <w:bCs/>
          <w:lang w:val="en-GB"/>
        </w:rPr>
        <w:t>OCDE. (2022).</w:t>
      </w:r>
      <w:r w:rsidRPr="00F81CF3">
        <w:rPr>
          <w:lang w:val="en-GB"/>
        </w:rPr>
        <w:t xml:space="preserve"> </w:t>
      </w:r>
      <w:r w:rsidRPr="002604EF">
        <w:rPr>
          <w:lang w:val="en-GB"/>
        </w:rPr>
        <w:t xml:space="preserve">Revenue Statistics 2022. </w:t>
      </w:r>
      <w:r w:rsidR="00295EDD" w:rsidRPr="00F81CF3">
        <w:rPr>
          <w:lang w:val="en-GB"/>
        </w:rPr>
        <w:t>OCDE</w:t>
      </w:r>
      <w:r w:rsidR="00295EDD" w:rsidRPr="002604EF">
        <w:rPr>
          <w:lang w:val="en-GB"/>
        </w:rPr>
        <w:t xml:space="preserve"> </w:t>
      </w:r>
      <w:r w:rsidRPr="002604EF">
        <w:rPr>
          <w:lang w:val="en-GB"/>
        </w:rPr>
        <w:t xml:space="preserve">Publishing. </w:t>
      </w:r>
      <w:hyperlink r:id="rId56" w:history="1">
        <w:r w:rsidRPr="00584642">
          <w:rPr>
            <w:rStyle w:val="Hipervnculo"/>
            <w:lang w:val="en-GB"/>
          </w:rPr>
          <w:t>https://doi.org/10.1787/6e6b5153-en</w:t>
        </w:r>
      </w:hyperlink>
    </w:p>
    <w:p w14:paraId="0BD6A09D" w14:textId="77777777" w:rsidR="002604EF" w:rsidRDefault="002604EF" w:rsidP="002604EF">
      <w:pPr>
        <w:pStyle w:val="Prrafodelista"/>
        <w:numPr>
          <w:ilvl w:val="0"/>
          <w:numId w:val="6"/>
        </w:numPr>
        <w:spacing w:after="0" w:line="240" w:lineRule="auto"/>
        <w:ind w:left="567" w:hanging="567"/>
        <w:rPr>
          <w:lang w:val="en-GB"/>
        </w:rPr>
      </w:pPr>
      <w:r w:rsidRPr="002604EF">
        <w:rPr>
          <w:b/>
          <w:bCs/>
          <w:lang w:val="en-GB"/>
        </w:rPr>
        <w:t>Zucman, G. (2015).</w:t>
      </w:r>
      <w:r w:rsidRPr="002604EF">
        <w:rPr>
          <w:lang w:val="en-GB"/>
        </w:rPr>
        <w:t xml:space="preserve"> The Hidden Wealth of Nations: The Scourge of Tax Havens. University of Chicago Press.</w:t>
      </w:r>
    </w:p>
    <w:p w14:paraId="5A00A0DF" w14:textId="4680D7E2" w:rsidR="002604EF" w:rsidRPr="002604EF" w:rsidRDefault="002604EF" w:rsidP="002604EF">
      <w:pPr>
        <w:pStyle w:val="Prrafodelista"/>
        <w:numPr>
          <w:ilvl w:val="0"/>
          <w:numId w:val="6"/>
        </w:numPr>
        <w:spacing w:after="0" w:line="240" w:lineRule="auto"/>
        <w:ind w:left="567" w:hanging="567"/>
        <w:rPr>
          <w:lang w:val="en-GB"/>
        </w:rPr>
      </w:pPr>
      <w:r w:rsidRPr="002604EF">
        <w:rPr>
          <w:b/>
          <w:bCs/>
          <w:lang w:val="en-GB"/>
        </w:rPr>
        <w:t>Slemrod, J., &amp; Yitzhaki, S. (2002). Tax</w:t>
      </w:r>
      <w:r w:rsidRPr="002604EF">
        <w:rPr>
          <w:lang w:val="en-GB"/>
        </w:rPr>
        <w:t xml:space="preserve"> avoidance, evasion, and administration. In A. J. Auerbach &amp; M. Feldstein (Eds.), Handbook of Public Economics (Vol. 3, pp. 1423–1470). </w:t>
      </w:r>
      <w:r>
        <w:t xml:space="preserve">Elsevier. </w:t>
      </w:r>
      <w:hyperlink r:id="rId57" w:history="1">
        <w:r w:rsidRPr="00584642">
          <w:rPr>
            <w:rStyle w:val="Hipervnculo"/>
          </w:rPr>
          <w:t>https://doi.org/10.1016/S1573-4420(02)80025-8</w:t>
        </w:r>
      </w:hyperlink>
    </w:p>
    <w:p w14:paraId="57B06E3D" w14:textId="37D935A3" w:rsidR="002604EF" w:rsidRPr="00F81CF3" w:rsidRDefault="002604EF" w:rsidP="002604EF">
      <w:pPr>
        <w:pStyle w:val="Prrafodelista"/>
        <w:numPr>
          <w:ilvl w:val="0"/>
          <w:numId w:val="6"/>
        </w:numPr>
        <w:spacing w:after="0" w:line="240" w:lineRule="auto"/>
        <w:ind w:left="567" w:hanging="567"/>
      </w:pPr>
      <w:r w:rsidRPr="002604EF">
        <w:rPr>
          <w:b/>
          <w:bCs/>
          <w:lang w:val="en-GB"/>
        </w:rPr>
        <w:t>Comisión Europea. (2023).</w:t>
      </w:r>
      <w:r w:rsidRPr="002604EF">
        <w:rPr>
          <w:lang w:val="en-GB"/>
        </w:rPr>
        <w:t xml:space="preserve"> Taxation trends in the European Union. </w:t>
      </w:r>
      <w:r>
        <w:t xml:space="preserve">Dirección General de Fiscalidad y Unión Aduanera. </w:t>
      </w:r>
      <w:hyperlink r:id="rId58" w:history="1">
        <w:r w:rsidRPr="00584642">
          <w:rPr>
            <w:rStyle w:val="Hipervnculo"/>
          </w:rPr>
          <w:t>https://ec.europa.eu</w:t>
        </w:r>
      </w:hyperlink>
    </w:p>
    <w:p w14:paraId="635C3D12" w14:textId="22ECA1BF" w:rsidR="00A3182C" w:rsidRPr="00A3182C" w:rsidRDefault="002604EF" w:rsidP="00A3182C">
      <w:pPr>
        <w:pStyle w:val="Prrafodelista"/>
        <w:numPr>
          <w:ilvl w:val="0"/>
          <w:numId w:val="6"/>
        </w:numPr>
        <w:spacing w:after="0" w:line="240" w:lineRule="auto"/>
        <w:ind w:left="567" w:hanging="567"/>
        <w:rPr>
          <w:lang w:val="en-GB"/>
        </w:rPr>
      </w:pPr>
      <w:r w:rsidRPr="00482541">
        <w:rPr>
          <w:b/>
          <w:bCs/>
        </w:rPr>
        <w:t>AIReF. (2024).</w:t>
      </w:r>
      <w:r>
        <w:t xml:space="preserve"> Informe sobre la planificación fiscal estratégica en España. Autoridad Independiente de Responsabilidad Fiscal. </w:t>
      </w:r>
      <w:hyperlink r:id="rId59" w:history="1">
        <w:r w:rsidR="00A3182C" w:rsidRPr="00584642">
          <w:rPr>
            <w:rStyle w:val="Hipervnculo"/>
          </w:rPr>
          <w:t>https://www.airef.es</w:t>
        </w:r>
      </w:hyperlink>
    </w:p>
    <w:p w14:paraId="4EFB5DC4" w14:textId="035BFA0B" w:rsidR="009E7859" w:rsidRDefault="002604EF" w:rsidP="009E7859">
      <w:pPr>
        <w:pStyle w:val="Prrafodelista"/>
        <w:numPr>
          <w:ilvl w:val="0"/>
          <w:numId w:val="6"/>
        </w:numPr>
        <w:spacing w:after="0" w:line="240" w:lineRule="auto"/>
        <w:ind w:left="567" w:hanging="567"/>
        <w:rPr>
          <w:lang w:val="en-GB"/>
        </w:rPr>
      </w:pPr>
      <w:r w:rsidRPr="00A3182C">
        <w:rPr>
          <w:b/>
          <w:bCs/>
          <w:lang w:val="en-GB"/>
        </w:rPr>
        <w:t>IMF. (2022).</w:t>
      </w:r>
      <w:r w:rsidR="00A3182C" w:rsidRPr="00A3182C">
        <w:rPr>
          <w:lang w:val="en-GB"/>
        </w:rPr>
        <w:t xml:space="preserve"> </w:t>
      </w:r>
      <w:r w:rsidRPr="00A3182C">
        <w:rPr>
          <w:lang w:val="en-GB"/>
        </w:rPr>
        <w:t xml:space="preserve">Fiscal Monitor: Managing Public Wealth. International Monetary Fund. </w:t>
      </w:r>
      <w:hyperlink r:id="rId60" w:history="1">
        <w:r w:rsidR="009E7859" w:rsidRPr="00584642">
          <w:rPr>
            <w:rStyle w:val="Hipervnculo"/>
            <w:lang w:val="en-GB"/>
          </w:rPr>
          <w:t>https://www.imf.org/en/Publications/FM</w:t>
        </w:r>
      </w:hyperlink>
    </w:p>
    <w:p w14:paraId="21833D81" w14:textId="0BE969CE" w:rsidR="005A669E" w:rsidRPr="005A669E" w:rsidRDefault="002604EF" w:rsidP="005A669E">
      <w:pPr>
        <w:pStyle w:val="Prrafodelista"/>
        <w:numPr>
          <w:ilvl w:val="0"/>
          <w:numId w:val="6"/>
        </w:numPr>
        <w:spacing w:after="0" w:line="240" w:lineRule="auto"/>
        <w:ind w:left="567" w:hanging="567"/>
        <w:rPr>
          <w:lang w:val="en-GB"/>
        </w:rPr>
      </w:pPr>
      <w:r w:rsidRPr="009E7859">
        <w:rPr>
          <w:b/>
          <w:bCs/>
        </w:rPr>
        <w:t>Agencia Tributaria. (2022).</w:t>
      </w:r>
      <w:r w:rsidR="009E7859">
        <w:t xml:space="preserve"> </w:t>
      </w:r>
      <w:r>
        <w:t xml:space="preserve">Memoria de la Administración Tributaria 2021. Ministerio de Hacienda. </w:t>
      </w:r>
      <w:hyperlink r:id="rId61" w:history="1">
        <w:r w:rsidR="005A669E" w:rsidRPr="00584642">
          <w:rPr>
            <w:rStyle w:val="Hipervnculo"/>
          </w:rPr>
          <w:t>https://www.agenciatributaria.es</w:t>
        </w:r>
      </w:hyperlink>
    </w:p>
    <w:p w14:paraId="20E41714" w14:textId="57E9798C" w:rsidR="00D37490" w:rsidRDefault="002604EF" w:rsidP="00D37490">
      <w:pPr>
        <w:pStyle w:val="Prrafodelista"/>
        <w:numPr>
          <w:ilvl w:val="0"/>
          <w:numId w:val="6"/>
        </w:numPr>
        <w:spacing w:after="0" w:line="240" w:lineRule="auto"/>
        <w:ind w:left="567" w:hanging="567"/>
      </w:pPr>
      <w:r w:rsidRPr="00D37490">
        <w:rPr>
          <w:b/>
          <w:bCs/>
        </w:rPr>
        <w:t>Comisión Europea. (2021).</w:t>
      </w:r>
      <w:r w:rsidR="005A669E">
        <w:t xml:space="preserve"> </w:t>
      </w:r>
      <w:r>
        <w:t xml:space="preserve">Informe Anual sobre Fiscalidad en la UE. Dirección General de Fiscalidad y Unión Aduanera. </w:t>
      </w:r>
      <w:hyperlink r:id="rId62" w:history="1">
        <w:r w:rsidR="00D37490" w:rsidRPr="00584642">
          <w:rPr>
            <w:rStyle w:val="Hipervnculo"/>
          </w:rPr>
          <w:t>https://ec.europa.eu</w:t>
        </w:r>
      </w:hyperlink>
    </w:p>
    <w:p w14:paraId="426B56D2" w14:textId="1791695F" w:rsidR="00D37490" w:rsidRDefault="002604EF" w:rsidP="00D37490">
      <w:pPr>
        <w:pStyle w:val="Prrafodelista"/>
        <w:numPr>
          <w:ilvl w:val="0"/>
          <w:numId w:val="6"/>
        </w:numPr>
        <w:spacing w:after="0" w:line="240" w:lineRule="auto"/>
        <w:ind w:left="567" w:hanging="567"/>
        <w:rPr>
          <w:lang w:val="en-GB"/>
        </w:rPr>
      </w:pPr>
      <w:r w:rsidRPr="00D37490">
        <w:rPr>
          <w:b/>
          <w:bCs/>
          <w:lang w:val="en-GB"/>
        </w:rPr>
        <w:t>Zaklan, G., Stauffer, D., &amp; Westerhoff, F. (2008).</w:t>
      </w:r>
      <w:r w:rsidR="00D37490">
        <w:rPr>
          <w:lang w:val="en-GB"/>
        </w:rPr>
        <w:t xml:space="preserve"> </w:t>
      </w:r>
      <w:r w:rsidRPr="00D37490">
        <w:rPr>
          <w:lang w:val="en-GB"/>
        </w:rPr>
        <w:t>Simulation of tax evasion with agent-based modelling. Physica A: Statistical Mechanics and its Applications, 387(24), 5857–5861.</w:t>
      </w:r>
      <w:r w:rsidR="00D37490">
        <w:rPr>
          <w:lang w:val="en-GB"/>
        </w:rPr>
        <w:t xml:space="preserve"> </w:t>
      </w:r>
      <w:hyperlink r:id="rId63" w:history="1">
        <w:r w:rsidR="00D37490" w:rsidRPr="00584642">
          <w:rPr>
            <w:rStyle w:val="Hipervnculo"/>
            <w:lang w:val="en-GB"/>
          </w:rPr>
          <w:t>https://doi.org/10.1016/j.physa.2008.06.017</w:t>
        </w:r>
      </w:hyperlink>
    </w:p>
    <w:p w14:paraId="3A58C84F" w14:textId="138063B3" w:rsidR="00D37490" w:rsidRDefault="002604EF" w:rsidP="00D37490">
      <w:pPr>
        <w:pStyle w:val="Prrafodelista"/>
        <w:numPr>
          <w:ilvl w:val="0"/>
          <w:numId w:val="6"/>
        </w:numPr>
        <w:spacing w:after="0" w:line="240" w:lineRule="auto"/>
        <w:ind w:left="567" w:hanging="567"/>
        <w:rPr>
          <w:lang w:val="en-GB"/>
        </w:rPr>
      </w:pPr>
      <w:r w:rsidRPr="00D37490">
        <w:rPr>
          <w:b/>
          <w:bCs/>
          <w:lang w:val="en-GB"/>
        </w:rPr>
        <w:t>Sznajd-Weron, K., &amp; Sznajd, J. (2000).</w:t>
      </w:r>
      <w:r w:rsidR="00D37490">
        <w:rPr>
          <w:lang w:val="en-GB"/>
        </w:rPr>
        <w:t xml:space="preserve"> </w:t>
      </w:r>
      <w:r w:rsidRPr="00D37490">
        <w:rPr>
          <w:lang w:val="en-GB"/>
        </w:rPr>
        <w:t xml:space="preserve">Opinion evolution in closed community. International Journal of Modern Physics C, 11(6), 1157–1165. </w:t>
      </w:r>
      <w:hyperlink r:id="rId64" w:history="1">
        <w:r w:rsidR="00D37490" w:rsidRPr="00584642">
          <w:rPr>
            <w:rStyle w:val="Hipervnculo"/>
            <w:lang w:val="en-GB"/>
          </w:rPr>
          <w:t>https://doi.org/10.1142/S0129183100000936</w:t>
        </w:r>
      </w:hyperlink>
    </w:p>
    <w:p w14:paraId="1FE0CCFE" w14:textId="48B6BBEF" w:rsidR="00E13D2A" w:rsidRDefault="002604EF" w:rsidP="00E13D2A">
      <w:pPr>
        <w:pStyle w:val="Prrafodelista"/>
        <w:numPr>
          <w:ilvl w:val="0"/>
          <w:numId w:val="6"/>
        </w:numPr>
        <w:spacing w:after="0" w:line="240" w:lineRule="auto"/>
        <w:ind w:left="567" w:hanging="567"/>
        <w:rPr>
          <w:lang w:val="en-GB"/>
        </w:rPr>
      </w:pPr>
      <w:r w:rsidRPr="00CC2792">
        <w:rPr>
          <w:b/>
          <w:bCs/>
          <w:lang w:val="en-GB"/>
        </w:rPr>
        <w:lastRenderedPageBreak/>
        <w:t>Hokamp, S., &amp; Pickhardt, M. (2010).</w:t>
      </w:r>
      <w:r w:rsidR="00D37490" w:rsidRPr="00CC2792">
        <w:rPr>
          <w:b/>
          <w:bCs/>
          <w:lang w:val="en-GB"/>
        </w:rPr>
        <w:t xml:space="preserve"> </w:t>
      </w:r>
      <w:r w:rsidRPr="00D37490">
        <w:rPr>
          <w:lang w:val="en-GB"/>
        </w:rPr>
        <w:t xml:space="preserve">Income tax evasion in a society of heterogeneous agents—Evidence from an agent-based model. International Economic Journal, 24(4), 541–553. </w:t>
      </w:r>
      <w:hyperlink r:id="rId65" w:history="1">
        <w:r w:rsidR="00E13D2A" w:rsidRPr="00584642">
          <w:rPr>
            <w:rStyle w:val="Hipervnculo"/>
            <w:lang w:val="en-GB"/>
          </w:rPr>
          <w:t>https://doi.org/10.1080/10168737.2010.525978</w:t>
        </w:r>
      </w:hyperlink>
    </w:p>
    <w:p w14:paraId="23CC3BDA" w14:textId="31B9FD70" w:rsidR="00E13D2A" w:rsidRDefault="002604EF" w:rsidP="00E13D2A">
      <w:pPr>
        <w:pStyle w:val="Prrafodelista"/>
        <w:numPr>
          <w:ilvl w:val="0"/>
          <w:numId w:val="6"/>
        </w:numPr>
        <w:spacing w:after="0" w:line="240" w:lineRule="auto"/>
        <w:ind w:left="567" w:hanging="567"/>
        <w:rPr>
          <w:lang w:val="en-GB"/>
        </w:rPr>
      </w:pPr>
      <w:r w:rsidRPr="00E13D2A">
        <w:rPr>
          <w:b/>
          <w:bCs/>
          <w:lang w:val="en-GB"/>
        </w:rPr>
        <w:t>Pickhardt, M., &amp; Prinz, A. (2014).</w:t>
      </w:r>
      <w:r w:rsidR="00E13D2A">
        <w:rPr>
          <w:lang w:val="en-GB"/>
        </w:rPr>
        <w:t xml:space="preserve"> </w:t>
      </w:r>
      <w:r w:rsidRPr="00E13D2A">
        <w:rPr>
          <w:lang w:val="en-GB"/>
        </w:rPr>
        <w:t xml:space="preserve">Behavioral dynamics of tax evasion: A survey. Journal of Economic Psychology, 40, 1–19. </w:t>
      </w:r>
      <w:hyperlink r:id="rId66" w:history="1">
        <w:r w:rsidR="00E13D2A" w:rsidRPr="00584642">
          <w:rPr>
            <w:rStyle w:val="Hipervnculo"/>
            <w:lang w:val="en-GB"/>
          </w:rPr>
          <w:t>https://doi.org/10.1016/j.joep.2013.08.003</w:t>
        </w:r>
      </w:hyperlink>
    </w:p>
    <w:p w14:paraId="1F1C4DC8" w14:textId="098D84C9" w:rsidR="39E28D74" w:rsidRDefault="002604EF" w:rsidP="39E28D74">
      <w:pPr>
        <w:pStyle w:val="Prrafodelista"/>
        <w:numPr>
          <w:ilvl w:val="0"/>
          <w:numId w:val="6"/>
        </w:numPr>
        <w:spacing w:after="0" w:line="240" w:lineRule="auto"/>
        <w:ind w:left="567" w:hanging="567"/>
        <w:rPr>
          <w:lang w:val="en-GB"/>
        </w:rPr>
      </w:pPr>
      <w:r w:rsidRPr="00E13D2A">
        <w:rPr>
          <w:b/>
          <w:bCs/>
          <w:lang w:val="en-GB"/>
        </w:rPr>
        <w:t>Kirchler, E. (2007).</w:t>
      </w:r>
      <w:r w:rsidR="00E13D2A" w:rsidRPr="00E13D2A">
        <w:rPr>
          <w:lang w:val="en-GB"/>
        </w:rPr>
        <w:t xml:space="preserve"> </w:t>
      </w:r>
      <w:r w:rsidRPr="00E13D2A">
        <w:rPr>
          <w:lang w:val="en-GB"/>
        </w:rPr>
        <w:t xml:space="preserve">The Economic Psychology of Tax Behaviour. Cambridge University Press. </w:t>
      </w:r>
      <w:hyperlink r:id="rId67" w:history="1">
        <w:r w:rsidR="005933BD" w:rsidRPr="00584642">
          <w:rPr>
            <w:rStyle w:val="Hipervnculo"/>
            <w:lang w:val="en-GB"/>
          </w:rPr>
          <w:t>https://doi.org/10.1017/CBO9780511628238</w:t>
        </w:r>
      </w:hyperlink>
    </w:p>
    <w:p w14:paraId="627B5042" w14:textId="5DD63E8F" w:rsidR="005933BD" w:rsidRPr="005933BD" w:rsidRDefault="005933BD" w:rsidP="39E28D74">
      <w:pPr>
        <w:pStyle w:val="Prrafodelista"/>
        <w:numPr>
          <w:ilvl w:val="0"/>
          <w:numId w:val="6"/>
        </w:numPr>
        <w:spacing w:after="0" w:line="240" w:lineRule="auto"/>
        <w:ind w:left="567" w:hanging="567"/>
        <w:rPr>
          <w:lang w:val="en-GB"/>
        </w:rPr>
      </w:pPr>
      <w:r w:rsidRPr="005933BD">
        <w:rPr>
          <w:b/>
          <w:bCs/>
          <w:lang w:val="en-GB"/>
        </w:rPr>
        <w:t>HM Revenue &amp; Customs. (2023).</w:t>
      </w:r>
      <w:r>
        <w:rPr>
          <w:b/>
          <w:bCs/>
          <w:lang w:val="en-GB"/>
        </w:rPr>
        <w:t xml:space="preserve"> </w:t>
      </w:r>
      <w:r w:rsidRPr="005933BD">
        <w:rPr>
          <w:i/>
          <w:iCs/>
          <w:lang w:val="en-GB"/>
        </w:rPr>
        <w:t>Measuring tax gaps: 1. Tax gaps summary</w:t>
      </w:r>
      <w:r w:rsidRPr="005933BD">
        <w:rPr>
          <w:lang w:val="en-GB"/>
        </w:rPr>
        <w:t>. GOV.UK.</w:t>
      </w:r>
      <w:r>
        <w:rPr>
          <w:lang w:val="en-GB"/>
        </w:rPr>
        <w:t xml:space="preserve"> </w:t>
      </w:r>
      <w:hyperlink r:id="rId68" w:history="1">
        <w:r w:rsidRPr="00584642">
          <w:rPr>
            <w:rStyle w:val="Hipervnculo"/>
            <w:lang w:val="en-GB"/>
          </w:rPr>
          <w:t>https://www.gov.uk/government/statistics/measuring-tax-gaps/1-tax-gaps-summary</w:t>
        </w:r>
      </w:hyperlink>
    </w:p>
    <w:p w14:paraId="39C8B8C2" w14:textId="6464CAD5" w:rsidR="00835622" w:rsidRPr="005933BD" w:rsidRDefault="00835622" w:rsidP="00337FBF">
      <w:pPr>
        <w:rPr>
          <w:lang w:val="en-GB"/>
        </w:rPr>
      </w:pPr>
    </w:p>
    <w:p w14:paraId="75E6CD69" w14:textId="77777777" w:rsidR="006351D8" w:rsidRPr="005933BD" w:rsidRDefault="006351D8" w:rsidP="00F0770A">
      <w:pPr>
        <w:pStyle w:val="Ttulo1"/>
        <w:framePr w:wrap="notBeside"/>
        <w:numPr>
          <w:ilvl w:val="0"/>
          <w:numId w:val="0"/>
        </w:numPr>
        <w:spacing w:before="480"/>
        <w:rPr>
          <w:lang w:val="en-GB"/>
        </w:rPr>
        <w:sectPr w:rsidR="006351D8" w:rsidRPr="005933BD" w:rsidSect="006351D8">
          <w:type w:val="oddPage"/>
          <w:pgSz w:w="11900" w:h="16840" w:code="9"/>
          <w:pgMar w:top="1985" w:right="1701" w:bottom="1418" w:left="1701" w:header="851" w:footer="851" w:gutter="567"/>
          <w:cols w:space="708"/>
          <w:titlePg/>
          <w:docGrid w:linePitch="360"/>
        </w:sectPr>
      </w:pPr>
    </w:p>
    <w:p w14:paraId="31BA66A7" w14:textId="6854A6FB" w:rsidR="003002FE" w:rsidRPr="005933BD" w:rsidRDefault="003002FE" w:rsidP="00F0770A">
      <w:pPr>
        <w:rPr>
          <w:lang w:val="en-GB"/>
        </w:rPr>
      </w:pPr>
    </w:p>
    <w:sectPr w:rsidR="003002FE" w:rsidRPr="005933BD" w:rsidSect="006351D8">
      <w:type w:val="oddPage"/>
      <w:pgSz w:w="11900" w:h="16840" w:code="9"/>
      <w:pgMar w:top="1985" w:right="1701" w:bottom="1418" w:left="1701" w:header="851" w:footer="851"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0B94" w14:textId="77777777" w:rsidR="00DE616C" w:rsidRDefault="00DE616C" w:rsidP="00A91FB3">
      <w:pPr>
        <w:spacing w:after="0" w:line="240" w:lineRule="auto"/>
      </w:pPr>
      <w:r>
        <w:separator/>
      </w:r>
    </w:p>
  </w:endnote>
  <w:endnote w:type="continuationSeparator" w:id="0">
    <w:p w14:paraId="043616B2" w14:textId="77777777" w:rsidR="00DE616C" w:rsidRDefault="00DE616C"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A59D" w14:textId="4EB9596D" w:rsidR="008E793B" w:rsidRDefault="008E793B" w:rsidP="008F2CD5">
    <w:pPr>
      <w:pStyle w:val="Piedepgina"/>
      <w:framePr w:wrap="none" w:vAnchor="text" w:hAnchor="margin" w:xAlign="center" w:y="1"/>
      <w:jc w:val="center"/>
    </w:pPr>
  </w:p>
  <w:p w14:paraId="3F3541CB" w14:textId="2612CC3E" w:rsidR="008E793B" w:rsidRDefault="008E793B" w:rsidP="00C73DFD">
    <w:pPr>
      <w:pStyle w:val="Piedepgina"/>
      <w:framePr w:wrap="none" w:vAnchor="text" w:hAnchor="margin" w:xAlign="center" w:y="1"/>
      <w:rPr>
        <w:rStyle w:val="Nmerodepgina"/>
      </w:rPr>
    </w:pPr>
  </w:p>
  <w:p w14:paraId="7929CCED" w14:textId="50897694" w:rsidR="008E793B" w:rsidRDefault="008E793B" w:rsidP="00C73DFD">
    <w:pPr>
      <w:pStyle w:val="Piedepgina"/>
      <w:framePr w:wrap="none" w:vAnchor="text" w:hAnchor="margin" w:xAlign="center" w:y="1"/>
      <w:rPr>
        <w:rStyle w:val="Nmerodepgina"/>
      </w:rPr>
    </w:pPr>
  </w:p>
  <w:p w14:paraId="53A7AB8A"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C630" w14:textId="45A9C942" w:rsidR="00F81CF3" w:rsidRDefault="00F81CF3" w:rsidP="00F81CF3">
    <w:pPr>
      <w:pStyle w:val="Piedepgina"/>
      <w:jc w:val="center"/>
    </w:pP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031" w14:textId="2AF1067C"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611" w14:textId="52BCB5B0" w:rsidR="008E793B" w:rsidRDefault="00F81CF3" w:rsidP="00810D3F">
    <w:pPr>
      <w:pStyle w:val="Piedepgina"/>
      <w:jc w:val="cente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EAF5" w14:textId="13E03A7E" w:rsidR="008E793B" w:rsidRDefault="00F81CF3" w:rsidP="006351D8">
    <w:pPr>
      <w:pStyle w:val="Piedepgina"/>
      <w:jc w:val="center"/>
    </w:pP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A502" w14:textId="2AE7ACF8" w:rsidR="00810D3F" w:rsidRDefault="00F81CF3">
    <w:pPr>
      <w:pStyle w:val="Piedepgina"/>
      <w:jc w:val="center"/>
    </w:pPr>
    <w:r>
      <w:fldChar w:fldCharType="begin"/>
    </w:r>
    <w:r>
      <w:instrText>PAGE   \* MERGEFORMAT</w:instrText>
    </w:r>
    <w:r>
      <w:fldChar w:fldCharType="separate"/>
    </w:r>
    <w:r>
      <w:t>1</w:t>
    </w:r>
    <w:r>
      <w:fldChar w:fldCharType="end"/>
    </w:r>
  </w:p>
  <w:p w14:paraId="4E4C7141" w14:textId="77777777" w:rsidR="00810D3F" w:rsidRDefault="00810D3F" w:rsidP="006351D8">
    <w:pPr>
      <w:pStyle w:val="Piedepgina"/>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F4D4" w14:textId="0FAF7767" w:rsidR="00810D3F" w:rsidRDefault="00F81CF3" w:rsidP="00F81CF3">
    <w:pPr>
      <w:pStyle w:val="Piedepgina"/>
      <w:tabs>
        <w:tab w:val="center" w:pos="3965"/>
        <w:tab w:val="left" w:pos="4477"/>
      </w:tabs>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0D3D" w14:textId="77777777" w:rsidR="00DE616C" w:rsidRDefault="00DE616C" w:rsidP="00A91FB3">
      <w:pPr>
        <w:spacing w:after="0" w:line="240" w:lineRule="auto"/>
      </w:pPr>
      <w:r>
        <w:separator/>
      </w:r>
    </w:p>
  </w:footnote>
  <w:footnote w:type="continuationSeparator" w:id="0">
    <w:p w14:paraId="332BCD22" w14:textId="77777777" w:rsidR="00DE616C" w:rsidRDefault="00DE616C"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3950" w14:textId="2528E692" w:rsidR="008E793B" w:rsidRPr="00630A81" w:rsidRDefault="008E793B">
    <w:pPr>
      <w:pStyle w:val="Encabezado"/>
      <w:rPr>
        <w:i/>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2DCC" w14:textId="77777777" w:rsidR="008E793B" w:rsidRPr="00630A81" w:rsidRDefault="008E793B">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A43D" w14:textId="77777777" w:rsidR="008E793B" w:rsidRDefault="008E793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385B" w14:textId="71D26E4C" w:rsidR="008E793B" w:rsidRPr="00EF1449" w:rsidRDefault="008E793B" w:rsidP="00EF144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69F" w14:textId="2195C645"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702272"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875409795" name="Imagen 1875409795"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EC03E6" w:rsidRPr="00EC03E6">
      <w:rPr>
        <w:rFonts w:asciiTheme="majorHAnsi" w:hAnsiTheme="majorHAnsi" w:cstheme="majorHAnsi"/>
        <w:b/>
        <w:bCs/>
        <w:i/>
        <w:noProof/>
        <w:sz w:val="20"/>
        <w:lang w:val="en-US"/>
      </w:rPr>
      <w:br/>
    </w:r>
    <w:r w:rsidR="00EC03E6">
      <w:rPr>
        <w:rFonts w:asciiTheme="majorHAnsi" w:hAnsiTheme="majorHAnsi" w:cstheme="majorHAnsi"/>
        <w:i/>
        <w:noProof/>
        <w:sz w:val="20"/>
      </w:rPr>
      <w:t>Aplicación del Modelo de Ising a la Evasión Fiscal</w:t>
    </w:r>
    <w:r>
      <w:rPr>
        <w:rFonts w:asciiTheme="majorHAnsi" w:hAnsiTheme="majorHAnsi" w:cstheme="majorHAnsi"/>
        <w:i/>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CDE6" w14:textId="0606E22D" w:rsidR="008E793B" w:rsidRPr="00630A81" w:rsidRDefault="008E793B" w:rsidP="004D136D">
    <w:pPr>
      <w:pStyle w:val="Encabezado"/>
      <w:tabs>
        <w:tab w:val="clear" w:pos="8504"/>
        <w:tab w:val="right" w:pos="7931"/>
      </w:tabs>
      <w:spacing w:before="180"/>
      <w:jc w:val="right"/>
      <w:rPr>
        <w:i/>
      </w:rPr>
    </w:pPr>
    <w:r>
      <w:rPr>
        <w:noProof/>
      </w:rPr>
      <w:drawing>
        <wp:anchor distT="0" distB="0" distL="114300" distR="114300" simplePos="0" relativeHeight="251686912" behindDoc="0" locked="0" layoutInCell="1" allowOverlap="1" wp14:anchorId="469ABA36" wp14:editId="38E6724C">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468221681" name="Imagen 146822168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EC03E6" w:rsidRPr="00EC03E6">
      <w:rPr>
        <w:rFonts w:asciiTheme="majorHAnsi" w:hAnsiTheme="majorHAnsi" w:cstheme="majorHAnsi"/>
        <w:b/>
        <w:bCs/>
        <w:i/>
        <w:noProof/>
        <w:sz w:val="20"/>
        <w:lang w:val="en-US"/>
      </w:rPr>
      <w:t>Bibliografía</w:t>
    </w:r>
    <w:r>
      <w:rPr>
        <w:rFonts w:asciiTheme="majorHAnsi" w:hAnsiTheme="majorHAnsi" w:cstheme="majorHAnsi"/>
        <w:i/>
        <w:sz w:val="20"/>
      </w:rPr>
      <w:fldChar w:fldCharType="end"/>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A01D" w14:textId="209BECC0"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98176" behindDoc="0" locked="0" layoutInCell="1" allowOverlap="1" wp14:anchorId="771F5D20" wp14:editId="54AAC997">
          <wp:simplePos x="0" y="0"/>
          <wp:positionH relativeFrom="column">
            <wp:posOffset>-3761</wp:posOffset>
          </wp:positionH>
          <wp:positionV relativeFrom="paragraph">
            <wp:posOffset>5715</wp:posOffset>
          </wp:positionV>
          <wp:extent cx="1567180" cy="351790"/>
          <wp:effectExtent l="0" t="0" r="0" b="0"/>
          <wp:wrapThrough wrapText="bothSides">
            <wp:wrapPolygon edited="0">
              <wp:start x="1050" y="0"/>
              <wp:lineTo x="0" y="3509"/>
              <wp:lineTo x="0" y="15206"/>
              <wp:lineTo x="525" y="18715"/>
              <wp:lineTo x="1313" y="19884"/>
              <wp:lineTo x="3151" y="19884"/>
              <wp:lineTo x="21267" y="17545"/>
              <wp:lineTo x="21267" y="3509"/>
              <wp:lineTo x="3413" y="0"/>
              <wp:lineTo x="1050" y="0"/>
            </wp:wrapPolygon>
          </wp:wrapThrough>
          <wp:docPr id="1252753972" name="Imagen 1252753972"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end"/>
    </w:r>
  </w:p>
  <w:p w14:paraId="1F9D785D" w14:textId="77777777" w:rsidR="008E793B" w:rsidRPr="00EF1449" w:rsidRDefault="008E793B" w:rsidP="00EF14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7F8"/>
    <w:multiLevelType w:val="hybridMultilevel"/>
    <w:tmpl w:val="50CE48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30038B"/>
    <w:multiLevelType w:val="hybridMultilevel"/>
    <w:tmpl w:val="2E083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B45371"/>
    <w:multiLevelType w:val="multilevel"/>
    <w:tmpl w:val="9CF2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54786"/>
    <w:multiLevelType w:val="hybridMultilevel"/>
    <w:tmpl w:val="E85E15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84A02FE"/>
    <w:multiLevelType w:val="hybridMultilevel"/>
    <w:tmpl w:val="E23A7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4A4FB8"/>
    <w:multiLevelType w:val="hybridMultilevel"/>
    <w:tmpl w:val="59E2C06C"/>
    <w:lvl w:ilvl="0" w:tplc="2938B23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AE5107"/>
    <w:multiLevelType w:val="hybridMultilevel"/>
    <w:tmpl w:val="A3E4F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155776"/>
    <w:multiLevelType w:val="hybridMultilevel"/>
    <w:tmpl w:val="2326E144"/>
    <w:lvl w:ilvl="0" w:tplc="FBBE3120">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0A735E5"/>
    <w:multiLevelType w:val="hybridMultilevel"/>
    <w:tmpl w:val="8DD4A85A"/>
    <w:lvl w:ilvl="0" w:tplc="DFF8E3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1A41439"/>
    <w:multiLevelType w:val="multilevel"/>
    <w:tmpl w:val="115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E76C8"/>
    <w:multiLevelType w:val="hybridMultilevel"/>
    <w:tmpl w:val="7146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D26349"/>
    <w:multiLevelType w:val="hybridMultilevel"/>
    <w:tmpl w:val="67049B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51E572B0"/>
    <w:multiLevelType w:val="hybridMultilevel"/>
    <w:tmpl w:val="4B763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30E7BF6"/>
    <w:multiLevelType w:val="hybridMultilevel"/>
    <w:tmpl w:val="B210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767E2B"/>
    <w:multiLevelType w:val="hybridMultilevel"/>
    <w:tmpl w:val="6AE659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25F14F5"/>
    <w:multiLevelType w:val="hybridMultilevel"/>
    <w:tmpl w:val="3976EBF6"/>
    <w:lvl w:ilvl="0" w:tplc="F260DC52">
      <w:start w:val="1"/>
      <w:numFmt w:val="bullet"/>
      <w:lvlText w:val="o"/>
      <w:lvlJc w:val="left"/>
      <w:pPr>
        <w:ind w:left="720" w:hanging="360"/>
      </w:pPr>
      <w:rPr>
        <w:rFonts w:ascii="Courier New" w:hAnsi="Courier New" w:hint="default"/>
      </w:rPr>
    </w:lvl>
    <w:lvl w:ilvl="1" w:tplc="B7467640">
      <w:start w:val="1"/>
      <w:numFmt w:val="bullet"/>
      <w:lvlText w:val="o"/>
      <w:lvlJc w:val="left"/>
      <w:pPr>
        <w:ind w:left="1440" w:hanging="360"/>
      </w:pPr>
      <w:rPr>
        <w:rFonts w:ascii="Courier New" w:hAnsi="Courier New" w:hint="default"/>
      </w:rPr>
    </w:lvl>
    <w:lvl w:ilvl="2" w:tplc="EE2A41FE">
      <w:start w:val="1"/>
      <w:numFmt w:val="bullet"/>
      <w:lvlText w:val=""/>
      <w:lvlJc w:val="left"/>
      <w:pPr>
        <w:ind w:left="2160" w:hanging="360"/>
      </w:pPr>
      <w:rPr>
        <w:rFonts w:ascii="Wingdings" w:hAnsi="Wingdings" w:hint="default"/>
      </w:rPr>
    </w:lvl>
    <w:lvl w:ilvl="3" w:tplc="FDFC6F22">
      <w:start w:val="1"/>
      <w:numFmt w:val="bullet"/>
      <w:lvlText w:val=""/>
      <w:lvlJc w:val="left"/>
      <w:pPr>
        <w:ind w:left="2880" w:hanging="360"/>
      </w:pPr>
      <w:rPr>
        <w:rFonts w:ascii="Symbol" w:hAnsi="Symbol" w:hint="default"/>
      </w:rPr>
    </w:lvl>
    <w:lvl w:ilvl="4" w:tplc="C4EE7B82">
      <w:start w:val="1"/>
      <w:numFmt w:val="bullet"/>
      <w:lvlText w:val="o"/>
      <w:lvlJc w:val="left"/>
      <w:pPr>
        <w:ind w:left="3600" w:hanging="360"/>
      </w:pPr>
      <w:rPr>
        <w:rFonts w:ascii="Courier New" w:hAnsi="Courier New" w:hint="default"/>
      </w:rPr>
    </w:lvl>
    <w:lvl w:ilvl="5" w:tplc="B10CC120">
      <w:start w:val="1"/>
      <w:numFmt w:val="bullet"/>
      <w:lvlText w:val=""/>
      <w:lvlJc w:val="left"/>
      <w:pPr>
        <w:ind w:left="4320" w:hanging="360"/>
      </w:pPr>
      <w:rPr>
        <w:rFonts w:ascii="Wingdings" w:hAnsi="Wingdings" w:hint="default"/>
      </w:rPr>
    </w:lvl>
    <w:lvl w:ilvl="6" w:tplc="842AAB10">
      <w:start w:val="1"/>
      <w:numFmt w:val="bullet"/>
      <w:lvlText w:val=""/>
      <w:lvlJc w:val="left"/>
      <w:pPr>
        <w:ind w:left="5040" w:hanging="360"/>
      </w:pPr>
      <w:rPr>
        <w:rFonts w:ascii="Symbol" w:hAnsi="Symbol" w:hint="default"/>
      </w:rPr>
    </w:lvl>
    <w:lvl w:ilvl="7" w:tplc="0DE210AE">
      <w:start w:val="1"/>
      <w:numFmt w:val="bullet"/>
      <w:lvlText w:val="o"/>
      <w:lvlJc w:val="left"/>
      <w:pPr>
        <w:ind w:left="5760" w:hanging="360"/>
      </w:pPr>
      <w:rPr>
        <w:rFonts w:ascii="Courier New" w:hAnsi="Courier New" w:hint="default"/>
      </w:rPr>
    </w:lvl>
    <w:lvl w:ilvl="8" w:tplc="54BC44B8">
      <w:start w:val="1"/>
      <w:numFmt w:val="bullet"/>
      <w:lvlText w:val=""/>
      <w:lvlJc w:val="left"/>
      <w:pPr>
        <w:ind w:left="6480" w:hanging="360"/>
      </w:pPr>
      <w:rPr>
        <w:rFonts w:ascii="Wingdings" w:hAnsi="Wingdings" w:hint="default"/>
      </w:rPr>
    </w:lvl>
  </w:abstractNum>
  <w:abstractNum w:abstractNumId="18" w15:restartNumberingAfterBreak="0">
    <w:nsid w:val="644914A7"/>
    <w:multiLevelType w:val="multilevel"/>
    <w:tmpl w:val="1076F166"/>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3E3A2E"/>
    <w:multiLevelType w:val="multilevel"/>
    <w:tmpl w:val="911A2C34"/>
    <w:lvl w:ilvl="0">
      <w:start w:val="1"/>
      <w:numFmt w:val="decimal"/>
      <w:pStyle w:val="Ttulo1"/>
      <w:suff w:val="nothing"/>
      <w:lvlText w:val="Capítulo %1"/>
      <w:lvlJc w:val="left"/>
      <w:pPr>
        <w:ind w:left="0" w:firstLine="0"/>
      </w:pPr>
      <w:rPr>
        <w:b/>
        <w:i w:val="0"/>
        <w:sz w:val="4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9953944"/>
    <w:multiLevelType w:val="hybridMultilevel"/>
    <w:tmpl w:val="2A0A1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A673653"/>
    <w:multiLevelType w:val="hybridMultilevel"/>
    <w:tmpl w:val="0CE285A4"/>
    <w:lvl w:ilvl="0" w:tplc="081C969A">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A074161"/>
    <w:multiLevelType w:val="hybridMultilevel"/>
    <w:tmpl w:val="D58C0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A8E5A24"/>
    <w:multiLevelType w:val="hybridMultilevel"/>
    <w:tmpl w:val="C9741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BD039D3"/>
    <w:multiLevelType w:val="hybridMultilevel"/>
    <w:tmpl w:val="33D86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7679AE"/>
    <w:multiLevelType w:val="hybridMultilevel"/>
    <w:tmpl w:val="A6E2D85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6545911">
    <w:abstractNumId w:val="17"/>
  </w:num>
  <w:num w:numId="2" w16cid:durableId="2055227179">
    <w:abstractNumId w:val="24"/>
  </w:num>
  <w:num w:numId="3" w16cid:durableId="646009788">
    <w:abstractNumId w:val="14"/>
  </w:num>
  <w:num w:numId="4" w16cid:durableId="836266518">
    <w:abstractNumId w:val="13"/>
  </w:num>
  <w:num w:numId="5" w16cid:durableId="1249926733">
    <w:abstractNumId w:val="19"/>
  </w:num>
  <w:num w:numId="6" w16cid:durableId="1121919829">
    <w:abstractNumId w:val="9"/>
  </w:num>
  <w:num w:numId="7" w16cid:durableId="563838159">
    <w:abstractNumId w:val="8"/>
  </w:num>
  <w:num w:numId="8" w16cid:durableId="337852243">
    <w:abstractNumId w:val="15"/>
  </w:num>
  <w:num w:numId="9" w16cid:durableId="1894348758">
    <w:abstractNumId w:val="4"/>
  </w:num>
  <w:num w:numId="10" w16cid:durableId="1143085332">
    <w:abstractNumId w:val="23"/>
  </w:num>
  <w:num w:numId="11" w16cid:durableId="2040813647">
    <w:abstractNumId w:val="1"/>
  </w:num>
  <w:num w:numId="12" w16cid:durableId="1844120898">
    <w:abstractNumId w:val="25"/>
  </w:num>
  <w:num w:numId="13" w16cid:durableId="919018956">
    <w:abstractNumId w:val="12"/>
  </w:num>
  <w:num w:numId="14" w16cid:durableId="1424452038">
    <w:abstractNumId w:val="11"/>
  </w:num>
  <w:num w:numId="15" w16cid:durableId="2020505846">
    <w:abstractNumId w:val="20"/>
  </w:num>
  <w:num w:numId="16" w16cid:durableId="1131484703">
    <w:abstractNumId w:val="22"/>
  </w:num>
  <w:num w:numId="17" w16cid:durableId="322318516">
    <w:abstractNumId w:val="6"/>
  </w:num>
  <w:num w:numId="18" w16cid:durableId="749082331">
    <w:abstractNumId w:val="21"/>
  </w:num>
  <w:num w:numId="19" w16cid:durableId="354384197">
    <w:abstractNumId w:val="5"/>
  </w:num>
  <w:num w:numId="20" w16cid:durableId="1340039752">
    <w:abstractNumId w:val="2"/>
  </w:num>
  <w:num w:numId="21" w16cid:durableId="2001348433">
    <w:abstractNumId w:val="10"/>
  </w:num>
  <w:num w:numId="22" w16cid:durableId="1836415818">
    <w:abstractNumId w:val="0"/>
  </w:num>
  <w:num w:numId="23" w16cid:durableId="1681932241">
    <w:abstractNumId w:val="3"/>
  </w:num>
  <w:num w:numId="24" w16cid:durableId="95441401">
    <w:abstractNumId w:val="7"/>
  </w:num>
  <w:num w:numId="25" w16cid:durableId="1005747129">
    <w:abstractNumId w:val="16"/>
  </w:num>
  <w:num w:numId="26" w16cid:durableId="2026906921">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241E"/>
    <w:rsid w:val="000048B5"/>
    <w:rsid w:val="000058FB"/>
    <w:rsid w:val="00005A63"/>
    <w:rsid w:val="00011540"/>
    <w:rsid w:val="000117BF"/>
    <w:rsid w:val="0001259E"/>
    <w:rsid w:val="00013F33"/>
    <w:rsid w:val="00017DDA"/>
    <w:rsid w:val="00020A4B"/>
    <w:rsid w:val="00021139"/>
    <w:rsid w:val="0002273D"/>
    <w:rsid w:val="0002639F"/>
    <w:rsid w:val="000266FA"/>
    <w:rsid w:val="00033CEB"/>
    <w:rsid w:val="000345AB"/>
    <w:rsid w:val="00034EC0"/>
    <w:rsid w:val="00035F06"/>
    <w:rsid w:val="00043DFD"/>
    <w:rsid w:val="00051C83"/>
    <w:rsid w:val="00051FEC"/>
    <w:rsid w:val="00052334"/>
    <w:rsid w:val="00055044"/>
    <w:rsid w:val="00056942"/>
    <w:rsid w:val="00056FFC"/>
    <w:rsid w:val="00057A7B"/>
    <w:rsid w:val="00060141"/>
    <w:rsid w:val="00060147"/>
    <w:rsid w:val="00060AFB"/>
    <w:rsid w:val="00062152"/>
    <w:rsid w:val="0006288C"/>
    <w:rsid w:val="00064FC1"/>
    <w:rsid w:val="000701C6"/>
    <w:rsid w:val="00071FB5"/>
    <w:rsid w:val="0007459B"/>
    <w:rsid w:val="00074D1D"/>
    <w:rsid w:val="00075077"/>
    <w:rsid w:val="00076628"/>
    <w:rsid w:val="00097216"/>
    <w:rsid w:val="000A2A00"/>
    <w:rsid w:val="000B05AF"/>
    <w:rsid w:val="000B3260"/>
    <w:rsid w:val="000B5324"/>
    <w:rsid w:val="000B771C"/>
    <w:rsid w:val="000B7FF1"/>
    <w:rsid w:val="000C1417"/>
    <w:rsid w:val="000C3639"/>
    <w:rsid w:val="000C4D34"/>
    <w:rsid w:val="000D4069"/>
    <w:rsid w:val="000D52E8"/>
    <w:rsid w:val="000D7A51"/>
    <w:rsid w:val="000E2011"/>
    <w:rsid w:val="000E380C"/>
    <w:rsid w:val="000E40DB"/>
    <w:rsid w:val="000E4758"/>
    <w:rsid w:val="000E4AFA"/>
    <w:rsid w:val="000E57D8"/>
    <w:rsid w:val="000F3B3F"/>
    <w:rsid w:val="000F4B0E"/>
    <w:rsid w:val="000F755F"/>
    <w:rsid w:val="000F7891"/>
    <w:rsid w:val="00105345"/>
    <w:rsid w:val="001056A0"/>
    <w:rsid w:val="00106F4D"/>
    <w:rsid w:val="001112F1"/>
    <w:rsid w:val="001114B8"/>
    <w:rsid w:val="00112DDD"/>
    <w:rsid w:val="001132CA"/>
    <w:rsid w:val="001138BA"/>
    <w:rsid w:val="001165CB"/>
    <w:rsid w:val="00116A83"/>
    <w:rsid w:val="00117144"/>
    <w:rsid w:val="0012131C"/>
    <w:rsid w:val="001216F9"/>
    <w:rsid w:val="00123AE7"/>
    <w:rsid w:val="00125474"/>
    <w:rsid w:val="00130487"/>
    <w:rsid w:val="00137804"/>
    <w:rsid w:val="00141177"/>
    <w:rsid w:val="00144295"/>
    <w:rsid w:val="00145BAA"/>
    <w:rsid w:val="0015284E"/>
    <w:rsid w:val="001546A7"/>
    <w:rsid w:val="0015653C"/>
    <w:rsid w:val="00164533"/>
    <w:rsid w:val="00165578"/>
    <w:rsid w:val="00166464"/>
    <w:rsid w:val="00167BC4"/>
    <w:rsid w:val="00170302"/>
    <w:rsid w:val="00170E82"/>
    <w:rsid w:val="00171117"/>
    <w:rsid w:val="001713D4"/>
    <w:rsid w:val="001740DA"/>
    <w:rsid w:val="00174BBF"/>
    <w:rsid w:val="00175949"/>
    <w:rsid w:val="00176096"/>
    <w:rsid w:val="00181B92"/>
    <w:rsid w:val="00187748"/>
    <w:rsid w:val="00190B56"/>
    <w:rsid w:val="0019504E"/>
    <w:rsid w:val="001B323D"/>
    <w:rsid w:val="001B4F71"/>
    <w:rsid w:val="001C477F"/>
    <w:rsid w:val="001C5A56"/>
    <w:rsid w:val="001D1188"/>
    <w:rsid w:val="001D4505"/>
    <w:rsid w:val="001D7753"/>
    <w:rsid w:val="001E0B35"/>
    <w:rsid w:val="001E0E34"/>
    <w:rsid w:val="001E110B"/>
    <w:rsid w:val="001E1174"/>
    <w:rsid w:val="001E4350"/>
    <w:rsid w:val="001E512E"/>
    <w:rsid w:val="001E5136"/>
    <w:rsid w:val="001F576B"/>
    <w:rsid w:val="001F6A63"/>
    <w:rsid w:val="001F6AA1"/>
    <w:rsid w:val="00205AA0"/>
    <w:rsid w:val="00207015"/>
    <w:rsid w:val="00210C69"/>
    <w:rsid w:val="002154A7"/>
    <w:rsid w:val="00220497"/>
    <w:rsid w:val="002230B3"/>
    <w:rsid w:val="00223142"/>
    <w:rsid w:val="00224DB0"/>
    <w:rsid w:val="00226197"/>
    <w:rsid w:val="002265CC"/>
    <w:rsid w:val="0023478B"/>
    <w:rsid w:val="00241529"/>
    <w:rsid w:val="00243ADD"/>
    <w:rsid w:val="00246903"/>
    <w:rsid w:val="00246E3E"/>
    <w:rsid w:val="002502FD"/>
    <w:rsid w:val="002604EF"/>
    <w:rsid w:val="00265C41"/>
    <w:rsid w:val="002718EF"/>
    <w:rsid w:val="00276AE9"/>
    <w:rsid w:val="00277C84"/>
    <w:rsid w:val="0028153F"/>
    <w:rsid w:val="002835C9"/>
    <w:rsid w:val="00287A3E"/>
    <w:rsid w:val="0029076F"/>
    <w:rsid w:val="0029413B"/>
    <w:rsid w:val="00294217"/>
    <w:rsid w:val="0029505F"/>
    <w:rsid w:val="00295EDD"/>
    <w:rsid w:val="002A0363"/>
    <w:rsid w:val="002A683F"/>
    <w:rsid w:val="002A7B7A"/>
    <w:rsid w:val="002A7DC4"/>
    <w:rsid w:val="002B1A61"/>
    <w:rsid w:val="002B5991"/>
    <w:rsid w:val="002B6B79"/>
    <w:rsid w:val="002C22BF"/>
    <w:rsid w:val="002C5DDA"/>
    <w:rsid w:val="002C6702"/>
    <w:rsid w:val="002D01FE"/>
    <w:rsid w:val="002D0947"/>
    <w:rsid w:val="002D1798"/>
    <w:rsid w:val="002D1EBC"/>
    <w:rsid w:val="002D64C2"/>
    <w:rsid w:val="002D75EC"/>
    <w:rsid w:val="002E34F8"/>
    <w:rsid w:val="002E38D4"/>
    <w:rsid w:val="002E481F"/>
    <w:rsid w:val="002E7994"/>
    <w:rsid w:val="002F3145"/>
    <w:rsid w:val="002F3211"/>
    <w:rsid w:val="002F4A72"/>
    <w:rsid w:val="002F67A8"/>
    <w:rsid w:val="002F719A"/>
    <w:rsid w:val="003002FE"/>
    <w:rsid w:val="00303664"/>
    <w:rsid w:val="003043C8"/>
    <w:rsid w:val="00307626"/>
    <w:rsid w:val="003120B5"/>
    <w:rsid w:val="00312235"/>
    <w:rsid w:val="0031315C"/>
    <w:rsid w:val="0031416F"/>
    <w:rsid w:val="0031583B"/>
    <w:rsid w:val="00315ECE"/>
    <w:rsid w:val="003204F8"/>
    <w:rsid w:val="00325C53"/>
    <w:rsid w:val="00330B30"/>
    <w:rsid w:val="003314F9"/>
    <w:rsid w:val="00332F25"/>
    <w:rsid w:val="0033368A"/>
    <w:rsid w:val="00337A8F"/>
    <w:rsid w:val="00337D69"/>
    <w:rsid w:val="00337FBF"/>
    <w:rsid w:val="00341A8A"/>
    <w:rsid w:val="00342F78"/>
    <w:rsid w:val="003430D3"/>
    <w:rsid w:val="003500D9"/>
    <w:rsid w:val="00351385"/>
    <w:rsid w:val="0035608A"/>
    <w:rsid w:val="0035635F"/>
    <w:rsid w:val="00365549"/>
    <w:rsid w:val="00365591"/>
    <w:rsid w:val="00366428"/>
    <w:rsid w:val="0036661F"/>
    <w:rsid w:val="00366E8D"/>
    <w:rsid w:val="0037B0AC"/>
    <w:rsid w:val="00380605"/>
    <w:rsid w:val="00382096"/>
    <w:rsid w:val="00382B6D"/>
    <w:rsid w:val="00382FEC"/>
    <w:rsid w:val="003A3F39"/>
    <w:rsid w:val="003A4BE6"/>
    <w:rsid w:val="003A72ED"/>
    <w:rsid w:val="003B233A"/>
    <w:rsid w:val="003B59BF"/>
    <w:rsid w:val="003C3F39"/>
    <w:rsid w:val="003C5022"/>
    <w:rsid w:val="003C7510"/>
    <w:rsid w:val="003D22A1"/>
    <w:rsid w:val="003D293B"/>
    <w:rsid w:val="003D4017"/>
    <w:rsid w:val="003D5BB8"/>
    <w:rsid w:val="003D6870"/>
    <w:rsid w:val="003D7AA7"/>
    <w:rsid w:val="003E0553"/>
    <w:rsid w:val="003E10B6"/>
    <w:rsid w:val="003E404D"/>
    <w:rsid w:val="003E6156"/>
    <w:rsid w:val="003E66B2"/>
    <w:rsid w:val="003E757F"/>
    <w:rsid w:val="003E7A69"/>
    <w:rsid w:val="003F3E02"/>
    <w:rsid w:val="004034BE"/>
    <w:rsid w:val="0041392C"/>
    <w:rsid w:val="004156C2"/>
    <w:rsid w:val="00422147"/>
    <w:rsid w:val="004224F9"/>
    <w:rsid w:val="00422E75"/>
    <w:rsid w:val="004238E1"/>
    <w:rsid w:val="00425F56"/>
    <w:rsid w:val="004263FF"/>
    <w:rsid w:val="00440DF6"/>
    <w:rsid w:val="00451924"/>
    <w:rsid w:val="00452EBF"/>
    <w:rsid w:val="004603DD"/>
    <w:rsid w:val="00461055"/>
    <w:rsid w:val="0046275C"/>
    <w:rsid w:val="00471949"/>
    <w:rsid w:val="00473FB5"/>
    <w:rsid w:val="00475276"/>
    <w:rsid w:val="00475C1E"/>
    <w:rsid w:val="00477B16"/>
    <w:rsid w:val="00482541"/>
    <w:rsid w:val="00486777"/>
    <w:rsid w:val="0049578A"/>
    <w:rsid w:val="00497574"/>
    <w:rsid w:val="00497637"/>
    <w:rsid w:val="004A1850"/>
    <w:rsid w:val="004A1E6E"/>
    <w:rsid w:val="004A3FF6"/>
    <w:rsid w:val="004A4D01"/>
    <w:rsid w:val="004A5ABA"/>
    <w:rsid w:val="004B0D61"/>
    <w:rsid w:val="004B799F"/>
    <w:rsid w:val="004B7C06"/>
    <w:rsid w:val="004C0CC2"/>
    <w:rsid w:val="004C6BEF"/>
    <w:rsid w:val="004D136D"/>
    <w:rsid w:val="004D46CA"/>
    <w:rsid w:val="004D76FB"/>
    <w:rsid w:val="004D789E"/>
    <w:rsid w:val="004D7FD8"/>
    <w:rsid w:val="004E1FE6"/>
    <w:rsid w:val="004E20D2"/>
    <w:rsid w:val="004E544F"/>
    <w:rsid w:val="004F1898"/>
    <w:rsid w:val="004F42EA"/>
    <w:rsid w:val="004F6119"/>
    <w:rsid w:val="0050015B"/>
    <w:rsid w:val="005038A3"/>
    <w:rsid w:val="00505FD8"/>
    <w:rsid w:val="005062F5"/>
    <w:rsid w:val="00506A0E"/>
    <w:rsid w:val="005126A4"/>
    <w:rsid w:val="00512BCF"/>
    <w:rsid w:val="005158BF"/>
    <w:rsid w:val="005170CF"/>
    <w:rsid w:val="0052588C"/>
    <w:rsid w:val="00533F7F"/>
    <w:rsid w:val="0053618A"/>
    <w:rsid w:val="00541F76"/>
    <w:rsid w:val="00542505"/>
    <w:rsid w:val="0054295A"/>
    <w:rsid w:val="00547908"/>
    <w:rsid w:val="005508C2"/>
    <w:rsid w:val="005533C7"/>
    <w:rsid w:val="0055637B"/>
    <w:rsid w:val="00556521"/>
    <w:rsid w:val="005644D9"/>
    <w:rsid w:val="0056616C"/>
    <w:rsid w:val="00566D08"/>
    <w:rsid w:val="0056799D"/>
    <w:rsid w:val="0057126E"/>
    <w:rsid w:val="005723B9"/>
    <w:rsid w:val="00573F7F"/>
    <w:rsid w:val="0057715B"/>
    <w:rsid w:val="00580136"/>
    <w:rsid w:val="005854CF"/>
    <w:rsid w:val="0058613D"/>
    <w:rsid w:val="0058708B"/>
    <w:rsid w:val="005933BD"/>
    <w:rsid w:val="005952E8"/>
    <w:rsid w:val="00595F87"/>
    <w:rsid w:val="005A4CB6"/>
    <w:rsid w:val="005A5FFE"/>
    <w:rsid w:val="005A669E"/>
    <w:rsid w:val="005B317B"/>
    <w:rsid w:val="005B5117"/>
    <w:rsid w:val="005B61B5"/>
    <w:rsid w:val="005C083C"/>
    <w:rsid w:val="005C18ED"/>
    <w:rsid w:val="005C2A8F"/>
    <w:rsid w:val="005C42DE"/>
    <w:rsid w:val="005C4994"/>
    <w:rsid w:val="005D03ED"/>
    <w:rsid w:val="005D1550"/>
    <w:rsid w:val="005D2347"/>
    <w:rsid w:val="005D2745"/>
    <w:rsid w:val="005E2ECF"/>
    <w:rsid w:val="005E3205"/>
    <w:rsid w:val="005E40DF"/>
    <w:rsid w:val="005E4876"/>
    <w:rsid w:val="005F3172"/>
    <w:rsid w:val="005F3769"/>
    <w:rsid w:val="005F4266"/>
    <w:rsid w:val="005F54DC"/>
    <w:rsid w:val="005F5688"/>
    <w:rsid w:val="00601516"/>
    <w:rsid w:val="00602ED4"/>
    <w:rsid w:val="006064E8"/>
    <w:rsid w:val="006116C9"/>
    <w:rsid w:val="006124A8"/>
    <w:rsid w:val="006128DB"/>
    <w:rsid w:val="00616454"/>
    <w:rsid w:val="00623F7D"/>
    <w:rsid w:val="00626A5A"/>
    <w:rsid w:val="006278BB"/>
    <w:rsid w:val="00630A81"/>
    <w:rsid w:val="006351D8"/>
    <w:rsid w:val="00636094"/>
    <w:rsid w:val="00637F92"/>
    <w:rsid w:val="0064037F"/>
    <w:rsid w:val="00642461"/>
    <w:rsid w:val="0064260A"/>
    <w:rsid w:val="00646C97"/>
    <w:rsid w:val="00647A37"/>
    <w:rsid w:val="006531E0"/>
    <w:rsid w:val="006559E9"/>
    <w:rsid w:val="00664A0E"/>
    <w:rsid w:val="00666986"/>
    <w:rsid w:val="0066741D"/>
    <w:rsid w:val="006724BA"/>
    <w:rsid w:val="00682B43"/>
    <w:rsid w:val="006831F1"/>
    <w:rsid w:val="00684953"/>
    <w:rsid w:val="00685C11"/>
    <w:rsid w:val="00686252"/>
    <w:rsid w:val="00687515"/>
    <w:rsid w:val="00690AC4"/>
    <w:rsid w:val="00691AE5"/>
    <w:rsid w:val="0069382F"/>
    <w:rsid w:val="00695535"/>
    <w:rsid w:val="006A1CE5"/>
    <w:rsid w:val="006A2001"/>
    <w:rsid w:val="006A28C2"/>
    <w:rsid w:val="006B6108"/>
    <w:rsid w:val="006C1510"/>
    <w:rsid w:val="006C7A83"/>
    <w:rsid w:val="006D50E9"/>
    <w:rsid w:val="006D50F3"/>
    <w:rsid w:val="006E17D1"/>
    <w:rsid w:val="006E3F00"/>
    <w:rsid w:val="006E4131"/>
    <w:rsid w:val="006E4FD3"/>
    <w:rsid w:val="006F35A8"/>
    <w:rsid w:val="006F3C58"/>
    <w:rsid w:val="006F3DDE"/>
    <w:rsid w:val="006F4402"/>
    <w:rsid w:val="006F5D86"/>
    <w:rsid w:val="00700CB2"/>
    <w:rsid w:val="007022B9"/>
    <w:rsid w:val="00705FCD"/>
    <w:rsid w:val="0070615A"/>
    <w:rsid w:val="0071388E"/>
    <w:rsid w:val="0071390B"/>
    <w:rsid w:val="0071558E"/>
    <w:rsid w:val="007209A0"/>
    <w:rsid w:val="00721DB4"/>
    <w:rsid w:val="00721E00"/>
    <w:rsid w:val="00722FBD"/>
    <w:rsid w:val="00723A16"/>
    <w:rsid w:val="00734261"/>
    <w:rsid w:val="0073726B"/>
    <w:rsid w:val="00741B5C"/>
    <w:rsid w:val="00746CBE"/>
    <w:rsid w:val="007470E9"/>
    <w:rsid w:val="007471B8"/>
    <w:rsid w:val="00747FD4"/>
    <w:rsid w:val="00753ADA"/>
    <w:rsid w:val="00754123"/>
    <w:rsid w:val="00755332"/>
    <w:rsid w:val="00761AE8"/>
    <w:rsid w:val="00762A81"/>
    <w:rsid w:val="00766464"/>
    <w:rsid w:val="00767F00"/>
    <w:rsid w:val="00767FAE"/>
    <w:rsid w:val="00771B94"/>
    <w:rsid w:val="00782957"/>
    <w:rsid w:val="00782B86"/>
    <w:rsid w:val="00786F7F"/>
    <w:rsid w:val="007925DC"/>
    <w:rsid w:val="00793BB6"/>
    <w:rsid w:val="00794398"/>
    <w:rsid w:val="00795B8D"/>
    <w:rsid w:val="007A0581"/>
    <w:rsid w:val="007A0FCB"/>
    <w:rsid w:val="007A3AA0"/>
    <w:rsid w:val="007A47E2"/>
    <w:rsid w:val="007B1733"/>
    <w:rsid w:val="007B4949"/>
    <w:rsid w:val="007B5976"/>
    <w:rsid w:val="007C4C0F"/>
    <w:rsid w:val="007C71B5"/>
    <w:rsid w:val="007D2C44"/>
    <w:rsid w:val="007D305D"/>
    <w:rsid w:val="007D441C"/>
    <w:rsid w:val="007E1C89"/>
    <w:rsid w:val="007E6DFE"/>
    <w:rsid w:val="007F5221"/>
    <w:rsid w:val="007F7778"/>
    <w:rsid w:val="008016A1"/>
    <w:rsid w:val="008025DC"/>
    <w:rsid w:val="00802C6B"/>
    <w:rsid w:val="00804479"/>
    <w:rsid w:val="00805EFA"/>
    <w:rsid w:val="008109AF"/>
    <w:rsid w:val="00810D3F"/>
    <w:rsid w:val="008160C0"/>
    <w:rsid w:val="00816D76"/>
    <w:rsid w:val="008206DF"/>
    <w:rsid w:val="00821051"/>
    <w:rsid w:val="008211EE"/>
    <w:rsid w:val="0082214D"/>
    <w:rsid w:val="00823029"/>
    <w:rsid w:val="0083034F"/>
    <w:rsid w:val="00831781"/>
    <w:rsid w:val="00832652"/>
    <w:rsid w:val="008335BC"/>
    <w:rsid w:val="00833D6A"/>
    <w:rsid w:val="008345D3"/>
    <w:rsid w:val="00835622"/>
    <w:rsid w:val="00844985"/>
    <w:rsid w:val="00845CFF"/>
    <w:rsid w:val="00847E06"/>
    <w:rsid w:val="00851E0F"/>
    <w:rsid w:val="008523B0"/>
    <w:rsid w:val="00852491"/>
    <w:rsid w:val="00852619"/>
    <w:rsid w:val="00854A5D"/>
    <w:rsid w:val="008571F4"/>
    <w:rsid w:val="00860F0B"/>
    <w:rsid w:val="0086471E"/>
    <w:rsid w:val="00864ACC"/>
    <w:rsid w:val="008659B3"/>
    <w:rsid w:val="00870545"/>
    <w:rsid w:val="008713DA"/>
    <w:rsid w:val="00872D91"/>
    <w:rsid w:val="0087541B"/>
    <w:rsid w:val="0087680A"/>
    <w:rsid w:val="00881A68"/>
    <w:rsid w:val="00881FE4"/>
    <w:rsid w:val="00882F9E"/>
    <w:rsid w:val="0088528D"/>
    <w:rsid w:val="00890EA0"/>
    <w:rsid w:val="00891CB3"/>
    <w:rsid w:val="00893060"/>
    <w:rsid w:val="00894C1E"/>
    <w:rsid w:val="008953D3"/>
    <w:rsid w:val="00897A42"/>
    <w:rsid w:val="008A0458"/>
    <w:rsid w:val="008A265F"/>
    <w:rsid w:val="008A34AF"/>
    <w:rsid w:val="008A54D5"/>
    <w:rsid w:val="008A7CCB"/>
    <w:rsid w:val="008B06AB"/>
    <w:rsid w:val="008B06B7"/>
    <w:rsid w:val="008B1161"/>
    <w:rsid w:val="008B1D65"/>
    <w:rsid w:val="008B24D4"/>
    <w:rsid w:val="008B3F35"/>
    <w:rsid w:val="008B5B52"/>
    <w:rsid w:val="008B6EDE"/>
    <w:rsid w:val="008C3AB5"/>
    <w:rsid w:val="008C45D4"/>
    <w:rsid w:val="008D1AC9"/>
    <w:rsid w:val="008D7658"/>
    <w:rsid w:val="008E4061"/>
    <w:rsid w:val="008E793B"/>
    <w:rsid w:val="008F2CD5"/>
    <w:rsid w:val="008F336E"/>
    <w:rsid w:val="008F7756"/>
    <w:rsid w:val="00902517"/>
    <w:rsid w:val="009075EF"/>
    <w:rsid w:val="00910F8A"/>
    <w:rsid w:val="00910FA1"/>
    <w:rsid w:val="00913443"/>
    <w:rsid w:val="0091729C"/>
    <w:rsid w:val="00917D07"/>
    <w:rsid w:val="00921C55"/>
    <w:rsid w:val="00922079"/>
    <w:rsid w:val="0092634C"/>
    <w:rsid w:val="00926BB2"/>
    <w:rsid w:val="00935196"/>
    <w:rsid w:val="00937CF8"/>
    <w:rsid w:val="0094128C"/>
    <w:rsid w:val="00941A4D"/>
    <w:rsid w:val="00942220"/>
    <w:rsid w:val="0094388C"/>
    <w:rsid w:val="00945E7E"/>
    <w:rsid w:val="00951F66"/>
    <w:rsid w:val="00957BEE"/>
    <w:rsid w:val="0096010D"/>
    <w:rsid w:val="0096152C"/>
    <w:rsid w:val="0096331F"/>
    <w:rsid w:val="00965B55"/>
    <w:rsid w:val="00967E00"/>
    <w:rsid w:val="00972308"/>
    <w:rsid w:val="009753AD"/>
    <w:rsid w:val="00975752"/>
    <w:rsid w:val="00977F01"/>
    <w:rsid w:val="00980910"/>
    <w:rsid w:val="009855A5"/>
    <w:rsid w:val="00985FD8"/>
    <w:rsid w:val="00991639"/>
    <w:rsid w:val="009B2859"/>
    <w:rsid w:val="009B30B3"/>
    <w:rsid w:val="009B31A3"/>
    <w:rsid w:val="009B3341"/>
    <w:rsid w:val="009B3362"/>
    <w:rsid w:val="009B441F"/>
    <w:rsid w:val="009B459E"/>
    <w:rsid w:val="009B591C"/>
    <w:rsid w:val="009B79C2"/>
    <w:rsid w:val="009D007A"/>
    <w:rsid w:val="009D38A6"/>
    <w:rsid w:val="009D5194"/>
    <w:rsid w:val="009D7B2E"/>
    <w:rsid w:val="009E26DE"/>
    <w:rsid w:val="009E51DE"/>
    <w:rsid w:val="009E6D7C"/>
    <w:rsid w:val="009E7712"/>
    <w:rsid w:val="009E7859"/>
    <w:rsid w:val="009F45B3"/>
    <w:rsid w:val="009F4A63"/>
    <w:rsid w:val="00A00C1F"/>
    <w:rsid w:val="00A01B6C"/>
    <w:rsid w:val="00A04806"/>
    <w:rsid w:val="00A0549D"/>
    <w:rsid w:val="00A0631B"/>
    <w:rsid w:val="00A0641F"/>
    <w:rsid w:val="00A07832"/>
    <w:rsid w:val="00A127F4"/>
    <w:rsid w:val="00A13D8D"/>
    <w:rsid w:val="00A1723C"/>
    <w:rsid w:val="00A20415"/>
    <w:rsid w:val="00A20A0D"/>
    <w:rsid w:val="00A212F1"/>
    <w:rsid w:val="00A21DFF"/>
    <w:rsid w:val="00A24F5F"/>
    <w:rsid w:val="00A25812"/>
    <w:rsid w:val="00A3182C"/>
    <w:rsid w:val="00A4198C"/>
    <w:rsid w:val="00A43872"/>
    <w:rsid w:val="00A4793B"/>
    <w:rsid w:val="00A5100F"/>
    <w:rsid w:val="00A51B8E"/>
    <w:rsid w:val="00A561D8"/>
    <w:rsid w:val="00A56C99"/>
    <w:rsid w:val="00A635A9"/>
    <w:rsid w:val="00A735F4"/>
    <w:rsid w:val="00A740A0"/>
    <w:rsid w:val="00A74148"/>
    <w:rsid w:val="00A74A6A"/>
    <w:rsid w:val="00A83473"/>
    <w:rsid w:val="00A84E06"/>
    <w:rsid w:val="00A8531A"/>
    <w:rsid w:val="00A9004E"/>
    <w:rsid w:val="00A91FB3"/>
    <w:rsid w:val="00A92F27"/>
    <w:rsid w:val="00A96F3D"/>
    <w:rsid w:val="00AA0279"/>
    <w:rsid w:val="00AA3CFF"/>
    <w:rsid w:val="00AA42AE"/>
    <w:rsid w:val="00AA7815"/>
    <w:rsid w:val="00AB141F"/>
    <w:rsid w:val="00AB27CD"/>
    <w:rsid w:val="00AB5970"/>
    <w:rsid w:val="00AB5A1D"/>
    <w:rsid w:val="00AB7C08"/>
    <w:rsid w:val="00AC124F"/>
    <w:rsid w:val="00AC33E8"/>
    <w:rsid w:val="00AD0BA6"/>
    <w:rsid w:val="00AD1138"/>
    <w:rsid w:val="00AD1188"/>
    <w:rsid w:val="00AD1EB4"/>
    <w:rsid w:val="00AD4AB1"/>
    <w:rsid w:val="00AD4C94"/>
    <w:rsid w:val="00AD59C6"/>
    <w:rsid w:val="00AE3C2C"/>
    <w:rsid w:val="00AE4720"/>
    <w:rsid w:val="00AE5675"/>
    <w:rsid w:val="00AE5B11"/>
    <w:rsid w:val="00AE5D5C"/>
    <w:rsid w:val="00AF10B8"/>
    <w:rsid w:val="00AF47A6"/>
    <w:rsid w:val="00AF67F3"/>
    <w:rsid w:val="00B03B28"/>
    <w:rsid w:val="00B044EF"/>
    <w:rsid w:val="00B04EE3"/>
    <w:rsid w:val="00B071BF"/>
    <w:rsid w:val="00B124DB"/>
    <w:rsid w:val="00B15164"/>
    <w:rsid w:val="00B1554F"/>
    <w:rsid w:val="00B156D6"/>
    <w:rsid w:val="00B20507"/>
    <w:rsid w:val="00B30C7B"/>
    <w:rsid w:val="00B33995"/>
    <w:rsid w:val="00B342D5"/>
    <w:rsid w:val="00B35AD3"/>
    <w:rsid w:val="00B37E0A"/>
    <w:rsid w:val="00B4044B"/>
    <w:rsid w:val="00B4346C"/>
    <w:rsid w:val="00B466C6"/>
    <w:rsid w:val="00B56868"/>
    <w:rsid w:val="00B613EE"/>
    <w:rsid w:val="00B62272"/>
    <w:rsid w:val="00B63A3B"/>
    <w:rsid w:val="00B6599C"/>
    <w:rsid w:val="00B65D34"/>
    <w:rsid w:val="00B766AE"/>
    <w:rsid w:val="00B7F62F"/>
    <w:rsid w:val="00B80674"/>
    <w:rsid w:val="00B82122"/>
    <w:rsid w:val="00B86E46"/>
    <w:rsid w:val="00B90206"/>
    <w:rsid w:val="00B96A15"/>
    <w:rsid w:val="00BA15D4"/>
    <w:rsid w:val="00BA67FA"/>
    <w:rsid w:val="00BA6BEA"/>
    <w:rsid w:val="00BC13A5"/>
    <w:rsid w:val="00BC2B2F"/>
    <w:rsid w:val="00BC2C08"/>
    <w:rsid w:val="00BC3ED6"/>
    <w:rsid w:val="00BC7500"/>
    <w:rsid w:val="00BD04CA"/>
    <w:rsid w:val="00BD15CE"/>
    <w:rsid w:val="00BD2757"/>
    <w:rsid w:val="00BD3B4F"/>
    <w:rsid w:val="00BD4523"/>
    <w:rsid w:val="00BD6AA3"/>
    <w:rsid w:val="00BE2796"/>
    <w:rsid w:val="00BE3314"/>
    <w:rsid w:val="00BE3735"/>
    <w:rsid w:val="00BE59AE"/>
    <w:rsid w:val="00BE5C68"/>
    <w:rsid w:val="00BF31C1"/>
    <w:rsid w:val="00BF461F"/>
    <w:rsid w:val="00C02054"/>
    <w:rsid w:val="00C04324"/>
    <w:rsid w:val="00C043F4"/>
    <w:rsid w:val="00C05AEA"/>
    <w:rsid w:val="00C05B12"/>
    <w:rsid w:val="00C0647E"/>
    <w:rsid w:val="00C13E43"/>
    <w:rsid w:val="00C13EAE"/>
    <w:rsid w:val="00C204A5"/>
    <w:rsid w:val="00C22E5A"/>
    <w:rsid w:val="00C26F8B"/>
    <w:rsid w:val="00C31136"/>
    <w:rsid w:val="00C31423"/>
    <w:rsid w:val="00C3382E"/>
    <w:rsid w:val="00C344F7"/>
    <w:rsid w:val="00C3689F"/>
    <w:rsid w:val="00C421C8"/>
    <w:rsid w:val="00C43959"/>
    <w:rsid w:val="00C44779"/>
    <w:rsid w:val="00C462B5"/>
    <w:rsid w:val="00C4727D"/>
    <w:rsid w:val="00C50E9A"/>
    <w:rsid w:val="00C60081"/>
    <w:rsid w:val="00C61D64"/>
    <w:rsid w:val="00C64B65"/>
    <w:rsid w:val="00C672B6"/>
    <w:rsid w:val="00C71E30"/>
    <w:rsid w:val="00C73DFD"/>
    <w:rsid w:val="00C751BA"/>
    <w:rsid w:val="00C751E3"/>
    <w:rsid w:val="00C804D3"/>
    <w:rsid w:val="00C80764"/>
    <w:rsid w:val="00C80D16"/>
    <w:rsid w:val="00C81899"/>
    <w:rsid w:val="00C82CCE"/>
    <w:rsid w:val="00C84732"/>
    <w:rsid w:val="00C854BA"/>
    <w:rsid w:val="00C901E0"/>
    <w:rsid w:val="00C917B4"/>
    <w:rsid w:val="00C933B1"/>
    <w:rsid w:val="00C94047"/>
    <w:rsid w:val="00C94C08"/>
    <w:rsid w:val="00C97A64"/>
    <w:rsid w:val="00CA31B7"/>
    <w:rsid w:val="00CA740D"/>
    <w:rsid w:val="00CA768D"/>
    <w:rsid w:val="00CB046A"/>
    <w:rsid w:val="00CB15B7"/>
    <w:rsid w:val="00CC0754"/>
    <w:rsid w:val="00CC1A77"/>
    <w:rsid w:val="00CC1E4E"/>
    <w:rsid w:val="00CC2792"/>
    <w:rsid w:val="00CC2D8A"/>
    <w:rsid w:val="00CC64E3"/>
    <w:rsid w:val="00CD3BAF"/>
    <w:rsid w:val="00CD40CB"/>
    <w:rsid w:val="00CD523F"/>
    <w:rsid w:val="00CD7FE3"/>
    <w:rsid w:val="00CE0AF0"/>
    <w:rsid w:val="00CE1FFA"/>
    <w:rsid w:val="00CE376E"/>
    <w:rsid w:val="00CE4191"/>
    <w:rsid w:val="00CE5B4C"/>
    <w:rsid w:val="00CF0E90"/>
    <w:rsid w:val="00CF1445"/>
    <w:rsid w:val="00CF2359"/>
    <w:rsid w:val="00CF2B92"/>
    <w:rsid w:val="00D04213"/>
    <w:rsid w:val="00D04CBC"/>
    <w:rsid w:val="00D05AF8"/>
    <w:rsid w:val="00D10DDE"/>
    <w:rsid w:val="00D17605"/>
    <w:rsid w:val="00D2318A"/>
    <w:rsid w:val="00D32FB0"/>
    <w:rsid w:val="00D35E52"/>
    <w:rsid w:val="00D36FBF"/>
    <w:rsid w:val="00D371D2"/>
    <w:rsid w:val="00D37490"/>
    <w:rsid w:val="00D44330"/>
    <w:rsid w:val="00D47781"/>
    <w:rsid w:val="00D567B5"/>
    <w:rsid w:val="00D60733"/>
    <w:rsid w:val="00D63D8C"/>
    <w:rsid w:val="00D65CF1"/>
    <w:rsid w:val="00D73855"/>
    <w:rsid w:val="00D7393F"/>
    <w:rsid w:val="00D74E90"/>
    <w:rsid w:val="00D806BA"/>
    <w:rsid w:val="00D81280"/>
    <w:rsid w:val="00D812DB"/>
    <w:rsid w:val="00D8720C"/>
    <w:rsid w:val="00D93D52"/>
    <w:rsid w:val="00D97373"/>
    <w:rsid w:val="00DA5D00"/>
    <w:rsid w:val="00DA772D"/>
    <w:rsid w:val="00DA7953"/>
    <w:rsid w:val="00DB3320"/>
    <w:rsid w:val="00DB4785"/>
    <w:rsid w:val="00DB505F"/>
    <w:rsid w:val="00DC486D"/>
    <w:rsid w:val="00DC7F60"/>
    <w:rsid w:val="00DD55F9"/>
    <w:rsid w:val="00DD7440"/>
    <w:rsid w:val="00DE40D0"/>
    <w:rsid w:val="00DE616C"/>
    <w:rsid w:val="00DF0827"/>
    <w:rsid w:val="00DF135B"/>
    <w:rsid w:val="00DF2FEA"/>
    <w:rsid w:val="00DF4A5D"/>
    <w:rsid w:val="00DF4DB0"/>
    <w:rsid w:val="00DF75CD"/>
    <w:rsid w:val="00E0052F"/>
    <w:rsid w:val="00E03792"/>
    <w:rsid w:val="00E0521D"/>
    <w:rsid w:val="00E06293"/>
    <w:rsid w:val="00E06CE0"/>
    <w:rsid w:val="00E07190"/>
    <w:rsid w:val="00E07C02"/>
    <w:rsid w:val="00E10A6D"/>
    <w:rsid w:val="00E13D2A"/>
    <w:rsid w:val="00E22524"/>
    <w:rsid w:val="00E22D5B"/>
    <w:rsid w:val="00E248AC"/>
    <w:rsid w:val="00E25389"/>
    <w:rsid w:val="00E27EA7"/>
    <w:rsid w:val="00E30921"/>
    <w:rsid w:val="00E30BC4"/>
    <w:rsid w:val="00E35C79"/>
    <w:rsid w:val="00E43747"/>
    <w:rsid w:val="00E468EE"/>
    <w:rsid w:val="00E54EE7"/>
    <w:rsid w:val="00E64C0D"/>
    <w:rsid w:val="00E733D2"/>
    <w:rsid w:val="00E76D40"/>
    <w:rsid w:val="00E77BBA"/>
    <w:rsid w:val="00E8370C"/>
    <w:rsid w:val="00E83BCD"/>
    <w:rsid w:val="00E844F2"/>
    <w:rsid w:val="00E86652"/>
    <w:rsid w:val="00E92D95"/>
    <w:rsid w:val="00E94474"/>
    <w:rsid w:val="00E95833"/>
    <w:rsid w:val="00E970EB"/>
    <w:rsid w:val="00EA1619"/>
    <w:rsid w:val="00EA3324"/>
    <w:rsid w:val="00EA5237"/>
    <w:rsid w:val="00EA75BE"/>
    <w:rsid w:val="00EA7842"/>
    <w:rsid w:val="00EB1FDF"/>
    <w:rsid w:val="00EB2B94"/>
    <w:rsid w:val="00EB44AF"/>
    <w:rsid w:val="00EC03E6"/>
    <w:rsid w:val="00EC1400"/>
    <w:rsid w:val="00EC3520"/>
    <w:rsid w:val="00EC73FD"/>
    <w:rsid w:val="00ED4147"/>
    <w:rsid w:val="00ED4B4F"/>
    <w:rsid w:val="00ED6496"/>
    <w:rsid w:val="00ED681F"/>
    <w:rsid w:val="00EE088C"/>
    <w:rsid w:val="00EE2FF7"/>
    <w:rsid w:val="00EE4C44"/>
    <w:rsid w:val="00EE5D1F"/>
    <w:rsid w:val="00EE6B5E"/>
    <w:rsid w:val="00EF1449"/>
    <w:rsid w:val="00EF1625"/>
    <w:rsid w:val="00EF3EC9"/>
    <w:rsid w:val="00EF47B2"/>
    <w:rsid w:val="00EF7B81"/>
    <w:rsid w:val="00F002B6"/>
    <w:rsid w:val="00F02198"/>
    <w:rsid w:val="00F045A7"/>
    <w:rsid w:val="00F06E5B"/>
    <w:rsid w:val="00F0738A"/>
    <w:rsid w:val="00F0770A"/>
    <w:rsid w:val="00F16509"/>
    <w:rsid w:val="00F22D37"/>
    <w:rsid w:val="00F2504F"/>
    <w:rsid w:val="00F27DCD"/>
    <w:rsid w:val="00F30C47"/>
    <w:rsid w:val="00F329CD"/>
    <w:rsid w:val="00F420F2"/>
    <w:rsid w:val="00F425EB"/>
    <w:rsid w:val="00F42CDE"/>
    <w:rsid w:val="00F447B9"/>
    <w:rsid w:val="00F44E00"/>
    <w:rsid w:val="00F4624F"/>
    <w:rsid w:val="00F61C07"/>
    <w:rsid w:val="00F648D4"/>
    <w:rsid w:val="00F67120"/>
    <w:rsid w:val="00F67D45"/>
    <w:rsid w:val="00F71DA7"/>
    <w:rsid w:val="00F80806"/>
    <w:rsid w:val="00F81CF3"/>
    <w:rsid w:val="00F85496"/>
    <w:rsid w:val="00F86FB6"/>
    <w:rsid w:val="00F96587"/>
    <w:rsid w:val="00F96D59"/>
    <w:rsid w:val="00F97553"/>
    <w:rsid w:val="00FA22F7"/>
    <w:rsid w:val="00FA29E4"/>
    <w:rsid w:val="00FA501D"/>
    <w:rsid w:val="00FA670D"/>
    <w:rsid w:val="00FB41F6"/>
    <w:rsid w:val="00FC2DE8"/>
    <w:rsid w:val="00FC3A1C"/>
    <w:rsid w:val="00FC5777"/>
    <w:rsid w:val="00FC664C"/>
    <w:rsid w:val="00FD3AE5"/>
    <w:rsid w:val="00FD56F2"/>
    <w:rsid w:val="00FE290C"/>
    <w:rsid w:val="00FE371E"/>
    <w:rsid w:val="00FE43BD"/>
    <w:rsid w:val="00FE4B55"/>
    <w:rsid w:val="00FE63B7"/>
    <w:rsid w:val="00FE64B6"/>
    <w:rsid w:val="00FE66FD"/>
    <w:rsid w:val="00FF3818"/>
    <w:rsid w:val="00FF7170"/>
    <w:rsid w:val="01090F04"/>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832AC5"/>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FC4C55B3-49FD-4BFC-BBCE-490F6948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051"/>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5"/>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5"/>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5"/>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5"/>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541F76"/>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30A81"/>
    <w:pPr>
      <w:spacing w:before="0" w:after="0"/>
      <w:ind w:left="680"/>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695535"/>
    <w:pPr>
      <w:tabs>
        <w:tab w:val="left" w:pos="851"/>
        <w:tab w:val="right" w:leader="dot" w:pos="7921"/>
      </w:tabs>
      <w:spacing w:before="0"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630A81"/>
    <w:pPr>
      <w:spacing w:before="0" w:after="20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7"/>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Textodelmarcadordeposicin">
    <w:name w:val="Placeholder Text"/>
    <w:basedOn w:val="Fuentedeprrafopredeter"/>
    <w:uiPriority w:val="99"/>
    <w:semiHidden/>
    <w:rsid w:val="00805EFA"/>
    <w:rPr>
      <w:color w:val="666666"/>
    </w:rPr>
  </w:style>
  <w:style w:type="paragraph" w:styleId="Textonotaalfinal">
    <w:name w:val="endnote text"/>
    <w:basedOn w:val="Normal"/>
    <w:link w:val="TextonotaalfinalCar"/>
    <w:uiPriority w:val="99"/>
    <w:semiHidden/>
    <w:unhideWhenUsed/>
    <w:rsid w:val="004224F9"/>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224F9"/>
    <w:rPr>
      <w:sz w:val="20"/>
      <w:szCs w:val="20"/>
    </w:rPr>
  </w:style>
  <w:style w:type="character" w:styleId="Refdenotaalfinal">
    <w:name w:val="endnote reference"/>
    <w:basedOn w:val="Fuentedeprrafopredeter"/>
    <w:uiPriority w:val="99"/>
    <w:semiHidden/>
    <w:unhideWhenUsed/>
    <w:rsid w:val="004224F9"/>
    <w:rPr>
      <w:vertAlign w:val="superscript"/>
    </w:rPr>
  </w:style>
  <w:style w:type="character" w:styleId="Textoennegrita">
    <w:name w:val="Strong"/>
    <w:basedOn w:val="Fuentedeprrafopredeter"/>
    <w:uiPriority w:val="22"/>
    <w:qFormat/>
    <w:rsid w:val="003B59BF"/>
    <w:rPr>
      <w:b/>
      <w:bCs/>
    </w:rPr>
  </w:style>
  <w:style w:type="character" w:styleId="nfasis">
    <w:name w:val="Emphasis"/>
    <w:basedOn w:val="Fuentedeprrafopredeter"/>
    <w:uiPriority w:val="20"/>
    <w:qFormat/>
    <w:rsid w:val="003B59BF"/>
    <w:rPr>
      <w:i/>
      <w:iCs/>
    </w:rPr>
  </w:style>
  <w:style w:type="character" w:customStyle="1" w:styleId="katex-mathml">
    <w:name w:val="katex-mathml"/>
    <w:basedOn w:val="Fuentedeprrafopredeter"/>
    <w:rsid w:val="00AC33E8"/>
  </w:style>
  <w:style w:type="character" w:customStyle="1" w:styleId="mord">
    <w:name w:val="mord"/>
    <w:basedOn w:val="Fuentedeprrafopredeter"/>
    <w:rsid w:val="00AC33E8"/>
  </w:style>
  <w:style w:type="character" w:customStyle="1" w:styleId="mopen">
    <w:name w:val="mopen"/>
    <w:basedOn w:val="Fuentedeprrafopredeter"/>
    <w:rsid w:val="00AC33E8"/>
  </w:style>
  <w:style w:type="character" w:customStyle="1" w:styleId="mclose">
    <w:name w:val="mclose"/>
    <w:basedOn w:val="Fuentedeprrafopredeter"/>
    <w:rsid w:val="00AC33E8"/>
  </w:style>
  <w:style w:type="character" w:customStyle="1" w:styleId="mrel">
    <w:name w:val="mrel"/>
    <w:basedOn w:val="Fuentedeprrafopredeter"/>
    <w:rsid w:val="00AC33E8"/>
  </w:style>
  <w:style w:type="character" w:customStyle="1" w:styleId="mop">
    <w:name w:val="mop"/>
    <w:basedOn w:val="Fuentedeprrafopredeter"/>
    <w:rsid w:val="00AC33E8"/>
  </w:style>
  <w:style w:type="character" w:customStyle="1" w:styleId="delimsizing">
    <w:name w:val="delimsizing"/>
    <w:basedOn w:val="Fuentedeprrafopredeter"/>
    <w:rsid w:val="00AC33E8"/>
  </w:style>
  <w:style w:type="character" w:customStyle="1" w:styleId="mpunct">
    <w:name w:val="mpunct"/>
    <w:basedOn w:val="Fuentedeprrafopredeter"/>
    <w:rsid w:val="00AC33E8"/>
  </w:style>
  <w:style w:type="character" w:customStyle="1" w:styleId="vlist-s">
    <w:name w:val="vlist-s"/>
    <w:basedOn w:val="Fuentedeprrafopredeter"/>
    <w:rsid w:val="00AC33E8"/>
  </w:style>
  <w:style w:type="character" w:styleId="Hipervnculovisitado">
    <w:name w:val="FollowedHyperlink"/>
    <w:basedOn w:val="Fuentedeprrafopredeter"/>
    <w:uiPriority w:val="99"/>
    <w:semiHidden/>
    <w:unhideWhenUsed/>
    <w:rsid w:val="00C97A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1947">
      <w:bodyDiv w:val="1"/>
      <w:marLeft w:val="0"/>
      <w:marRight w:val="0"/>
      <w:marTop w:val="0"/>
      <w:marBottom w:val="0"/>
      <w:divBdr>
        <w:top w:val="none" w:sz="0" w:space="0" w:color="auto"/>
        <w:left w:val="none" w:sz="0" w:space="0" w:color="auto"/>
        <w:bottom w:val="none" w:sz="0" w:space="0" w:color="auto"/>
        <w:right w:val="none" w:sz="0" w:space="0" w:color="auto"/>
      </w:divBdr>
    </w:div>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877350990">
      <w:bodyDiv w:val="1"/>
      <w:marLeft w:val="0"/>
      <w:marRight w:val="0"/>
      <w:marTop w:val="0"/>
      <w:marBottom w:val="0"/>
      <w:divBdr>
        <w:top w:val="none" w:sz="0" w:space="0" w:color="auto"/>
        <w:left w:val="none" w:sz="0" w:space="0" w:color="auto"/>
        <w:bottom w:val="none" w:sz="0" w:space="0" w:color="auto"/>
        <w:right w:val="none" w:sz="0" w:space="0" w:color="auto"/>
      </w:divBdr>
    </w:div>
    <w:div w:id="927275456">
      <w:bodyDiv w:val="1"/>
      <w:marLeft w:val="0"/>
      <w:marRight w:val="0"/>
      <w:marTop w:val="0"/>
      <w:marBottom w:val="0"/>
      <w:divBdr>
        <w:top w:val="none" w:sz="0" w:space="0" w:color="auto"/>
        <w:left w:val="none" w:sz="0" w:space="0" w:color="auto"/>
        <w:bottom w:val="none" w:sz="0" w:space="0" w:color="auto"/>
        <w:right w:val="none" w:sz="0" w:space="0" w:color="auto"/>
      </w:divBdr>
    </w:div>
    <w:div w:id="945576751">
      <w:bodyDiv w:val="1"/>
      <w:marLeft w:val="0"/>
      <w:marRight w:val="0"/>
      <w:marTop w:val="0"/>
      <w:marBottom w:val="0"/>
      <w:divBdr>
        <w:top w:val="none" w:sz="0" w:space="0" w:color="auto"/>
        <w:left w:val="none" w:sz="0" w:space="0" w:color="auto"/>
        <w:bottom w:val="none" w:sz="0" w:space="0" w:color="auto"/>
        <w:right w:val="none" w:sz="0" w:space="0" w:color="auto"/>
      </w:divBdr>
    </w:div>
    <w:div w:id="1040059276">
      <w:bodyDiv w:val="1"/>
      <w:marLeft w:val="0"/>
      <w:marRight w:val="0"/>
      <w:marTop w:val="0"/>
      <w:marBottom w:val="0"/>
      <w:divBdr>
        <w:top w:val="none" w:sz="0" w:space="0" w:color="auto"/>
        <w:left w:val="none" w:sz="0" w:space="0" w:color="auto"/>
        <w:bottom w:val="none" w:sz="0" w:space="0" w:color="auto"/>
        <w:right w:val="none" w:sz="0" w:space="0" w:color="auto"/>
      </w:divBdr>
    </w:div>
    <w:div w:id="1176075490">
      <w:bodyDiv w:val="1"/>
      <w:marLeft w:val="0"/>
      <w:marRight w:val="0"/>
      <w:marTop w:val="0"/>
      <w:marBottom w:val="0"/>
      <w:divBdr>
        <w:top w:val="none" w:sz="0" w:space="0" w:color="auto"/>
        <w:left w:val="none" w:sz="0" w:space="0" w:color="auto"/>
        <w:bottom w:val="none" w:sz="0" w:space="0" w:color="auto"/>
        <w:right w:val="none" w:sz="0" w:space="0" w:color="auto"/>
      </w:divBdr>
    </w:div>
    <w:div w:id="1431320452">
      <w:bodyDiv w:val="1"/>
      <w:marLeft w:val="0"/>
      <w:marRight w:val="0"/>
      <w:marTop w:val="0"/>
      <w:marBottom w:val="0"/>
      <w:divBdr>
        <w:top w:val="none" w:sz="0" w:space="0" w:color="auto"/>
        <w:left w:val="none" w:sz="0" w:space="0" w:color="auto"/>
        <w:bottom w:val="none" w:sz="0" w:space="0" w:color="auto"/>
        <w:right w:val="none" w:sz="0" w:space="0" w:color="auto"/>
      </w:divBdr>
    </w:div>
    <w:div w:id="1444836870">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 w:id="1570648095">
      <w:bodyDiv w:val="1"/>
      <w:marLeft w:val="0"/>
      <w:marRight w:val="0"/>
      <w:marTop w:val="0"/>
      <w:marBottom w:val="0"/>
      <w:divBdr>
        <w:top w:val="none" w:sz="0" w:space="0" w:color="auto"/>
        <w:left w:val="none" w:sz="0" w:space="0" w:color="auto"/>
        <w:bottom w:val="none" w:sz="0" w:space="0" w:color="auto"/>
        <w:right w:val="none" w:sz="0" w:space="0" w:color="auto"/>
      </w:divBdr>
    </w:div>
    <w:div w:id="1600408643">
      <w:bodyDiv w:val="1"/>
      <w:marLeft w:val="0"/>
      <w:marRight w:val="0"/>
      <w:marTop w:val="0"/>
      <w:marBottom w:val="0"/>
      <w:divBdr>
        <w:top w:val="none" w:sz="0" w:space="0" w:color="auto"/>
        <w:left w:val="none" w:sz="0" w:space="0" w:color="auto"/>
        <w:bottom w:val="none" w:sz="0" w:space="0" w:color="auto"/>
        <w:right w:val="none" w:sz="0" w:space="0" w:color="auto"/>
      </w:divBdr>
    </w:div>
    <w:div w:id="1643655004">
      <w:bodyDiv w:val="1"/>
      <w:marLeft w:val="0"/>
      <w:marRight w:val="0"/>
      <w:marTop w:val="0"/>
      <w:marBottom w:val="0"/>
      <w:divBdr>
        <w:top w:val="none" w:sz="0" w:space="0" w:color="auto"/>
        <w:left w:val="none" w:sz="0" w:space="0" w:color="auto"/>
        <w:bottom w:val="none" w:sz="0" w:space="0" w:color="auto"/>
        <w:right w:val="none" w:sz="0" w:space="0" w:color="auto"/>
      </w:divBdr>
    </w:div>
    <w:div w:id="20892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statistics/measuring-tax-gaps/1-tax-gaps-summary" TargetMode="External"/><Relationship Id="rId21" Type="http://schemas.openxmlformats.org/officeDocument/2006/relationships/image" Target="media/image3.png"/><Relationship Id="rId42" Type="http://schemas.openxmlformats.org/officeDocument/2006/relationships/hyperlink" Target="https://doi.org/10.2139/ssrn.1005799" TargetMode="External"/><Relationship Id="rId47" Type="http://schemas.openxmlformats.org/officeDocument/2006/relationships/hyperlink" Target="https://doi.org/10.1103/RevModPhys.39.883" TargetMode="External"/><Relationship Id="rId63" Type="http://schemas.openxmlformats.org/officeDocument/2006/relationships/hyperlink" Target="https://doi.org/10.1016/j.physa.2008.06.017" TargetMode="External"/><Relationship Id="rId68" Type="http://schemas.openxmlformats.org/officeDocument/2006/relationships/hyperlink" Target="https://www.gov.uk/government/statistics/measuring-tax-gaps/1-tax-gaps-summar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7.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yperlink" Target="https://cincodias.elpais.com/cincodias/2015/12/15/economia/1450178765_209637.html" TargetMode="External"/><Relationship Id="rId45" Type="http://schemas.openxmlformats.org/officeDocument/2006/relationships/hyperlink" Target="https://dialnet.unirioja.es/servlet/articulo?codigo=3134869" TargetMode="External"/><Relationship Id="rId53" Type="http://schemas.openxmlformats.org/officeDocument/2006/relationships/hyperlink" Target="https://doi.org/10.1016/0047-2727(72)90010-2" TargetMode="External"/><Relationship Id="rId58" Type="http://schemas.openxmlformats.org/officeDocument/2006/relationships/hyperlink" Target="https://ec.europa.eu" TargetMode="External"/><Relationship Id="rId66" Type="http://schemas.openxmlformats.org/officeDocument/2006/relationships/hyperlink" Target="https://doi.org/10.1016/j.joep.2013.08.003" TargetMode="External"/><Relationship Id="rId5" Type="http://schemas.openxmlformats.org/officeDocument/2006/relationships/webSettings" Target="webSettings.xml"/><Relationship Id="rId61" Type="http://schemas.openxmlformats.org/officeDocument/2006/relationships/hyperlink" Target="https://www.agenciatributaria.es" TargetMode="Externa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chart" Target="charts/chart1.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s://sede.agenciatributaria.gob.es/Sede/irpf.html" TargetMode="External"/><Relationship Id="rId48" Type="http://schemas.openxmlformats.org/officeDocument/2006/relationships/hyperlink" Target="https://doi.org/10.1119/1.2839142" TargetMode="External"/><Relationship Id="rId56" Type="http://schemas.openxmlformats.org/officeDocument/2006/relationships/hyperlink" Target="https://doi.org/10.1787/6e6b5153-en" TargetMode="External"/><Relationship Id="rId64" Type="http://schemas.openxmlformats.org/officeDocument/2006/relationships/hyperlink" Target="https://doi.org/10.1142/S0129183100000936"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80/01621459.1949.10483310"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6.svg"/><Relationship Id="rId33" Type="http://schemas.openxmlformats.org/officeDocument/2006/relationships/image" Target="media/image10.png"/><Relationship Id="rId38" Type="http://schemas.openxmlformats.org/officeDocument/2006/relationships/hyperlink" Target="https://doi.org/10.1007/s11403-008-0043-5" TargetMode="External"/><Relationship Id="rId46" Type="http://schemas.openxmlformats.org/officeDocument/2006/relationships/hyperlink" Target="https://doi.org/10.1103/PhysRev.65.117" TargetMode="External"/><Relationship Id="rId59" Type="http://schemas.openxmlformats.org/officeDocument/2006/relationships/hyperlink" Target="https://www.airef.es" TargetMode="External"/><Relationship Id="rId67" Type="http://schemas.openxmlformats.org/officeDocument/2006/relationships/hyperlink" Target="https://doi.org/10.1017/CBO9780511628238" TargetMode="External"/><Relationship Id="rId20" Type="http://schemas.openxmlformats.org/officeDocument/2006/relationships/header" Target="header7.xml"/><Relationship Id="rId41" Type="http://schemas.openxmlformats.org/officeDocument/2006/relationships/hyperlink" Target="https://doi.org/10.1787/9789264264791-en" TargetMode="External"/><Relationship Id="rId54" Type="http://schemas.openxmlformats.org/officeDocument/2006/relationships/hyperlink" Target="https://doi.org/10.1063/1.1699114" TargetMode="External"/><Relationship Id="rId62" Type="http://schemas.openxmlformats.org/officeDocument/2006/relationships/hyperlink" Target="https://ec.europa.eu"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chart" Target="charts/chart2.xml"/><Relationship Id="rId36" Type="http://schemas.openxmlformats.org/officeDocument/2006/relationships/image" Target="media/image13.png"/><Relationship Id="rId49" Type="http://schemas.openxmlformats.org/officeDocument/2006/relationships/hyperlink" Target="https://doi.org/10.1007/BF02980577" TargetMode="External"/><Relationship Id="rId57" Type="http://schemas.openxmlformats.org/officeDocument/2006/relationships/hyperlink" Target="https://doi.org/10.1016/S1573-4420(02)80025-8" TargetMode="Externa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hyperlink" Target="https://doi.org/10.3386/w23772" TargetMode="External"/><Relationship Id="rId52" Type="http://schemas.openxmlformats.org/officeDocument/2006/relationships/hyperlink" Target="https://doi.org/10.1002/wics.1314" TargetMode="External"/><Relationship Id="rId60" Type="http://schemas.openxmlformats.org/officeDocument/2006/relationships/hyperlink" Target="https://www.imf.org/en/Publications/FM" TargetMode="External"/><Relationship Id="rId65" Type="http://schemas.openxmlformats.org/officeDocument/2006/relationships/hyperlink" Target="https://doi.org/10.1080/10168737.2010.525978"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hyperlink" Target="https://arxiv.org/abs/1112.0233" TargetMode="External"/><Relationship Id="rId34" Type="http://schemas.openxmlformats.org/officeDocument/2006/relationships/image" Target="media/image11.png"/><Relationship Id="rId50" Type="http://schemas.openxmlformats.org/officeDocument/2006/relationships/hyperlink" Target="https://doi.org/10.1016/S0370-1573(02)00219-3" TargetMode="External"/><Relationship Id="rId55" Type="http://schemas.openxmlformats.org/officeDocument/2006/relationships/hyperlink" Target="https://doi.org/10.1257/jel.20181437"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VAT GAP EU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Hoja3!$C$3</c:f>
              <c:strCache>
                <c:ptCount val="1"/>
                <c:pt idx="0">
                  <c:v>Estimated Deficit (BN)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Hoja3!$C$4:$C$8</c:f>
              <c:numCache>
                <c:formatCode>#,##0.00\ [$€-C0A]</c:formatCode>
                <c:ptCount val="5"/>
                <c:pt idx="0">
                  <c:v>121.2</c:v>
                </c:pt>
                <c:pt idx="1">
                  <c:v>124.1</c:v>
                </c:pt>
                <c:pt idx="2">
                  <c:v>102.2</c:v>
                </c:pt>
                <c:pt idx="3">
                  <c:v>75.900000000000006</c:v>
                </c:pt>
                <c:pt idx="4">
                  <c:v>89.3</c:v>
                </c:pt>
              </c:numCache>
            </c:numRef>
          </c:val>
          <c:extLst>
            <c:ext xmlns:c16="http://schemas.microsoft.com/office/drawing/2014/chart" uri="{C3380CC4-5D6E-409C-BE32-E72D297353CC}">
              <c16:uniqueId val="{00000000-4124-4E39-9107-E64CCA7742BE}"/>
            </c:ext>
          </c:extLst>
        </c:ser>
        <c:dLbls>
          <c:showLegendKey val="0"/>
          <c:showVal val="0"/>
          <c:showCatName val="0"/>
          <c:showSerName val="0"/>
          <c:showPercent val="0"/>
          <c:showBubbleSize val="0"/>
        </c:dLbls>
        <c:gapWidth val="219"/>
        <c:overlap val="-27"/>
        <c:axId val="1045874912"/>
        <c:axId val="1045876832"/>
      </c:barChart>
      <c:lineChart>
        <c:grouping val="standard"/>
        <c:varyColors val="0"/>
        <c:ser>
          <c:idx val="1"/>
          <c:order val="1"/>
          <c:tx>
            <c:strRef>
              <c:f>Hoja3!$D$3</c:f>
              <c:strCache>
                <c:ptCount val="1"/>
                <c:pt idx="0">
                  <c:v>% VAT Gap</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Hoja3!$B$4:$B$8</c:f>
              <c:numCache>
                <c:formatCode>General</c:formatCode>
                <c:ptCount val="5"/>
                <c:pt idx="0">
                  <c:v>2018</c:v>
                </c:pt>
                <c:pt idx="1">
                  <c:v>2019</c:v>
                </c:pt>
                <c:pt idx="2">
                  <c:v>2020</c:v>
                </c:pt>
                <c:pt idx="3">
                  <c:v>2021</c:v>
                </c:pt>
                <c:pt idx="4">
                  <c:v>2022</c:v>
                </c:pt>
              </c:numCache>
            </c:numRef>
          </c:cat>
          <c:val>
            <c:numRef>
              <c:f>Hoja3!$D$4:$D$8</c:f>
              <c:numCache>
                <c:formatCode>0.00%</c:formatCode>
                <c:ptCount val="5"/>
                <c:pt idx="0">
                  <c:v>0.112</c:v>
                </c:pt>
                <c:pt idx="1">
                  <c:v>0.11</c:v>
                </c:pt>
                <c:pt idx="2">
                  <c:v>9.9000000000000005E-2</c:v>
                </c:pt>
                <c:pt idx="3">
                  <c:v>6.6000000000000003E-2</c:v>
                </c:pt>
                <c:pt idx="4">
                  <c:v>7.0000000000000007E-2</c:v>
                </c:pt>
              </c:numCache>
            </c:numRef>
          </c:val>
          <c:smooth val="0"/>
          <c:extLst>
            <c:ext xmlns:c16="http://schemas.microsoft.com/office/drawing/2014/chart" uri="{C3380CC4-5D6E-409C-BE32-E72D297353CC}">
              <c16:uniqueId val="{00000001-4124-4E39-9107-E64CCA7742BE}"/>
            </c:ext>
          </c:extLst>
        </c:ser>
        <c:dLbls>
          <c:showLegendKey val="0"/>
          <c:showVal val="0"/>
          <c:showCatName val="0"/>
          <c:showSerName val="0"/>
          <c:showPercent val="0"/>
          <c:showBubbleSize val="0"/>
        </c:dLbls>
        <c:marker val="1"/>
        <c:smooth val="0"/>
        <c:axId val="1045866752"/>
        <c:axId val="1045868192"/>
      </c:lineChart>
      <c:catAx>
        <c:axId val="104587491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876832"/>
        <c:crosses val="autoZero"/>
        <c:auto val="1"/>
        <c:lblAlgn val="ctr"/>
        <c:lblOffset val="100"/>
        <c:noMultiLvlLbl val="0"/>
      </c:catAx>
      <c:valAx>
        <c:axId val="1045876832"/>
        <c:scaling>
          <c:orientation val="minMax"/>
          <c:max val="200"/>
        </c:scaling>
        <c:delete val="0"/>
        <c:axPos val="l"/>
        <c:majorGridlines>
          <c:spPr>
            <a:ln w="9525" cap="flat" cmpd="sng" algn="ctr">
              <a:solidFill>
                <a:schemeClr val="tx1">
                  <a:lumMod val="15000"/>
                  <a:lumOff val="85000"/>
                </a:schemeClr>
              </a:solidFill>
              <a:round/>
            </a:ln>
            <a:effectLst/>
          </c:spPr>
        </c:majorGridlines>
        <c:numFmt formatCode="#,##0.00\ [$€-C0A]"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874912"/>
        <c:crosses val="autoZero"/>
        <c:crossBetween val="between"/>
      </c:valAx>
      <c:valAx>
        <c:axId val="1045868192"/>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866752"/>
        <c:crosses val="max"/>
        <c:crossBetween val="between"/>
      </c:valAx>
      <c:catAx>
        <c:axId val="1045866752"/>
        <c:scaling>
          <c:orientation val="minMax"/>
        </c:scaling>
        <c:delete val="1"/>
        <c:axPos val="b"/>
        <c:numFmt formatCode="General" sourceLinked="1"/>
        <c:majorTickMark val="out"/>
        <c:minorTickMark val="none"/>
        <c:tickLblPos val="nextTo"/>
        <c:crossAx val="10458681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VAT Gap Spain - </a:t>
            </a:r>
            <a:r>
              <a:rPr lang="es-ES" baseline="0"/>
              <a:t>EU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Hoja4!$C$3</c:f>
              <c:strCache>
                <c:ptCount val="1"/>
                <c:pt idx="0">
                  <c:v>Estimated Deficit ES (MM)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Hoja4!$B$4:$B$9</c:f>
              <c:numCache>
                <c:formatCode>General</c:formatCode>
                <c:ptCount val="6"/>
                <c:pt idx="0">
                  <c:v>2018</c:v>
                </c:pt>
                <c:pt idx="1">
                  <c:v>2019</c:v>
                </c:pt>
                <c:pt idx="2">
                  <c:v>2020</c:v>
                </c:pt>
                <c:pt idx="3">
                  <c:v>2021</c:v>
                </c:pt>
                <c:pt idx="4">
                  <c:v>2022</c:v>
                </c:pt>
                <c:pt idx="5">
                  <c:v>2023</c:v>
                </c:pt>
              </c:numCache>
            </c:numRef>
          </c:cat>
          <c:val>
            <c:numRef>
              <c:f>Hoja4!$C$4:$C$9</c:f>
              <c:numCache>
                <c:formatCode>#0\ \€</c:formatCode>
                <c:ptCount val="6"/>
                <c:pt idx="0">
                  <c:v>5360</c:v>
                </c:pt>
                <c:pt idx="1">
                  <c:v>6765</c:v>
                </c:pt>
                <c:pt idx="2">
                  <c:v>4476</c:v>
                </c:pt>
                <c:pt idx="3">
                  <c:v>3524</c:v>
                </c:pt>
                <c:pt idx="4">
                  <c:v>4443</c:v>
                </c:pt>
                <c:pt idx="5">
                  <c:v>7221</c:v>
                </c:pt>
              </c:numCache>
            </c:numRef>
          </c:val>
          <c:extLst>
            <c:ext xmlns:c16="http://schemas.microsoft.com/office/drawing/2014/chart" uri="{C3380CC4-5D6E-409C-BE32-E72D297353CC}">
              <c16:uniqueId val="{00000000-F8A7-4C05-9642-973BA8037208}"/>
            </c:ext>
          </c:extLst>
        </c:ser>
        <c:dLbls>
          <c:showLegendKey val="0"/>
          <c:showVal val="0"/>
          <c:showCatName val="0"/>
          <c:showSerName val="0"/>
          <c:showPercent val="0"/>
          <c:showBubbleSize val="0"/>
        </c:dLbls>
        <c:gapWidth val="219"/>
        <c:overlap val="-27"/>
        <c:axId val="1045779392"/>
        <c:axId val="1045771232"/>
      </c:barChart>
      <c:lineChart>
        <c:grouping val="standard"/>
        <c:varyColors val="0"/>
        <c:ser>
          <c:idx val="1"/>
          <c:order val="1"/>
          <c:tx>
            <c:strRef>
              <c:f>Hoja4!$D$3</c:f>
              <c:strCache>
                <c:ptCount val="1"/>
                <c:pt idx="0">
                  <c:v>% VAT Gap 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Hoja4!$D$4:$D$9</c:f>
              <c:numCache>
                <c:formatCode>0.00%</c:formatCode>
                <c:ptCount val="6"/>
                <c:pt idx="0">
                  <c:v>6.5000000000000002E-2</c:v>
                </c:pt>
                <c:pt idx="1">
                  <c:v>7.9000000000000001E-2</c:v>
                </c:pt>
                <c:pt idx="2">
                  <c:v>6.0999999999999999E-2</c:v>
                </c:pt>
                <c:pt idx="3">
                  <c:v>4.1000000000000002E-2</c:v>
                </c:pt>
                <c:pt idx="4">
                  <c:v>4.5999999999999999E-2</c:v>
                </c:pt>
                <c:pt idx="5">
                  <c:v>7.0999999999999994E-2</c:v>
                </c:pt>
              </c:numCache>
            </c:numRef>
          </c:val>
          <c:smooth val="0"/>
          <c:extLst>
            <c:ext xmlns:c16="http://schemas.microsoft.com/office/drawing/2014/chart" uri="{C3380CC4-5D6E-409C-BE32-E72D297353CC}">
              <c16:uniqueId val="{00000001-F8A7-4C05-9642-973BA8037208}"/>
            </c:ext>
          </c:extLst>
        </c:ser>
        <c:ser>
          <c:idx val="2"/>
          <c:order val="2"/>
          <c:tx>
            <c:strRef>
              <c:f>Hoja4!$E$3</c:f>
              <c:strCache>
                <c:ptCount val="1"/>
                <c:pt idx="0">
                  <c:v>% VAT Gap EU</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Hoja4!$E$4:$E$9</c:f>
              <c:numCache>
                <c:formatCode>0.00%</c:formatCode>
                <c:ptCount val="6"/>
                <c:pt idx="0">
                  <c:v>0.112</c:v>
                </c:pt>
                <c:pt idx="1">
                  <c:v>0.11</c:v>
                </c:pt>
                <c:pt idx="2">
                  <c:v>9.9000000000000005E-2</c:v>
                </c:pt>
                <c:pt idx="3">
                  <c:v>6.6000000000000003E-2</c:v>
                </c:pt>
                <c:pt idx="4">
                  <c:v>7.0000000000000007E-2</c:v>
                </c:pt>
              </c:numCache>
            </c:numRef>
          </c:val>
          <c:smooth val="0"/>
          <c:extLst>
            <c:ext xmlns:c16="http://schemas.microsoft.com/office/drawing/2014/chart" uri="{C3380CC4-5D6E-409C-BE32-E72D297353CC}">
              <c16:uniqueId val="{00000002-F8A7-4C05-9642-973BA8037208}"/>
            </c:ext>
          </c:extLst>
        </c:ser>
        <c:dLbls>
          <c:showLegendKey val="0"/>
          <c:showVal val="0"/>
          <c:showCatName val="0"/>
          <c:showSerName val="0"/>
          <c:showPercent val="0"/>
          <c:showBubbleSize val="0"/>
        </c:dLbls>
        <c:marker val="1"/>
        <c:smooth val="0"/>
        <c:axId val="1045784192"/>
        <c:axId val="1045782272"/>
      </c:lineChart>
      <c:catAx>
        <c:axId val="1045779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771232"/>
        <c:crosses val="autoZero"/>
        <c:auto val="1"/>
        <c:lblAlgn val="ctr"/>
        <c:lblOffset val="100"/>
        <c:noMultiLvlLbl val="0"/>
      </c:catAx>
      <c:valAx>
        <c:axId val="1045771232"/>
        <c:scaling>
          <c:orientation val="minMax"/>
          <c:max val="20000"/>
        </c:scaling>
        <c:delete val="0"/>
        <c:axPos val="l"/>
        <c:majorGridlines>
          <c:spPr>
            <a:ln w="9525" cap="flat" cmpd="sng" algn="ctr">
              <a:solidFill>
                <a:schemeClr val="tx1">
                  <a:lumMod val="15000"/>
                  <a:lumOff val="85000"/>
                </a:schemeClr>
              </a:solidFill>
              <a:round/>
            </a:ln>
            <a:effectLst/>
          </c:spPr>
        </c:majorGridlines>
        <c:numFmt formatCode="#0\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779392"/>
        <c:crosses val="autoZero"/>
        <c:crossBetween val="between"/>
      </c:valAx>
      <c:valAx>
        <c:axId val="1045782272"/>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5784192"/>
        <c:crosses val="max"/>
        <c:crossBetween val="between"/>
      </c:valAx>
      <c:catAx>
        <c:axId val="1045784192"/>
        <c:scaling>
          <c:orientation val="minMax"/>
        </c:scaling>
        <c:delete val="1"/>
        <c:axPos val="b"/>
        <c:majorTickMark val="out"/>
        <c:minorTickMark val="none"/>
        <c:tickLblPos val="nextTo"/>
        <c:crossAx val="104578227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55872</TotalTime>
  <Pages>49</Pages>
  <Words>8144</Words>
  <Characters>44793</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Manuel Rodriguez Leret</cp:lastModifiedBy>
  <cp:revision>85</cp:revision>
  <cp:lastPrinted>2021-08-28T17:06:00Z</cp:lastPrinted>
  <dcterms:created xsi:type="dcterms:W3CDTF">2021-10-06T19:28:00Z</dcterms:created>
  <dcterms:modified xsi:type="dcterms:W3CDTF">2025-06-21T10:06:00Z</dcterms:modified>
</cp:coreProperties>
</file>