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7E0C2CD4" w:rsidR="00FF24C7" w:rsidRPr="00612063" w:rsidRDefault="006A3E38" w:rsidP="00FF24C7">
      <w:pPr>
        <w:pStyle w:val="Header"/>
        <w:jc w:val="center"/>
        <w:rPr>
          <w:rFonts w:cs="Times New Roman"/>
          <w:b/>
        </w:rPr>
      </w:pPr>
      <w:bookmarkStart w:id="0" w:name="introduction"/>
      <w:r>
        <w:rPr>
          <w:rFonts w:cs="Times New Roman"/>
          <w:b/>
        </w:rPr>
        <w:t>Understanding invasions</w:t>
      </w:r>
      <w:r w:rsidR="008579EE">
        <w:rPr>
          <w:rFonts w:cs="Times New Roman"/>
          <w:b/>
        </w:rPr>
        <w:t xml:space="preserve">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3D810236" w:rsidR="00524267" w:rsidRPr="00524267" w:rsidRDefault="006A3E38" w:rsidP="00E978C5">
      <w:pPr>
        <w:spacing w:line="480" w:lineRule="auto"/>
        <w:ind w:firstLine="720"/>
      </w:pPr>
      <w:r w:rsidRPr="006A3E38">
        <w:t xml:space="preserve">The invasion by a species, and its temporal and spatial patterns, are determined by the species' life history, the biological and environmental context, and human activities. Untangling the contributions of these factors based on current ecology and distribution </w:t>
      </w:r>
      <w:r>
        <w:t>for individual</w:t>
      </w:r>
      <w:r w:rsidRPr="006A3E38">
        <w:t xml:space="preserve"> invasive</w:t>
      </w:r>
      <w:r>
        <w:t xml:space="preserve"> species</w:t>
      </w:r>
      <w:r w:rsidRPr="006A3E38">
        <w:t xml:space="preserve"> has proven difficult. An alternative is using </w:t>
      </w:r>
      <w:r>
        <w:t xml:space="preserve">linked distribution and </w:t>
      </w:r>
      <w:r w:rsidRPr="006A3E38">
        <w:t xml:space="preserve">demographic models and the past </w:t>
      </w:r>
      <w:proofErr w:type="spellStart"/>
      <w:r w:rsidRPr="006A3E38">
        <w:t>spatio</w:t>
      </w:r>
      <w:proofErr w:type="spellEnd"/>
      <w:r w:rsidRPr="006A3E38">
        <w:t xml:space="preserve">-temporal patterns of </w:t>
      </w:r>
      <w:r>
        <w:t>an</w:t>
      </w:r>
      <w:r w:rsidRPr="006A3E38">
        <w:t xml:space="preserve"> invasion to test alternative</w:t>
      </w:r>
      <w:r w:rsidR="00032429">
        <w:t xml:space="preserve"> </w:t>
      </w:r>
      <w:r w:rsidRPr="006A3E38">
        <w:t xml:space="preserve">hypotheses.  Recent advances in modeling species ranges and dynamics allow directly linking observations of species occurrences, life history characteristics and environmental gradients, increasing our ability to analyze and predict the processes that shape patterns of biogeography. Application of these methods is increasing in conservation biology, but underutilized in invasion biology. To demonstrate the utility of these methods, I developed a </w:t>
      </w:r>
      <w:r>
        <w:t>linked</w:t>
      </w:r>
      <w:r w:rsidRPr="006A3E38">
        <w:t xml:space="preserve"> demographic and species distribution model for the invasive species </w:t>
      </w:r>
      <w:r w:rsidRPr="006A3E38">
        <w:rPr>
          <w:i/>
          <w:iCs/>
        </w:rPr>
        <w:t xml:space="preserve">Frangula </w:t>
      </w:r>
      <w:proofErr w:type="spellStart"/>
      <w:r w:rsidRPr="006A3E38">
        <w:rPr>
          <w:i/>
          <w:iCs/>
        </w:rPr>
        <w:t>alnus</w:t>
      </w:r>
      <w:proofErr w:type="spellEnd"/>
      <w:r w:rsidRPr="006A3E38">
        <w:t>. Using a global sensitivity analysis approach, I created simulations</w:t>
      </w:r>
      <w:r w:rsidR="000319B8">
        <w:t xml:space="preserve">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t xml:space="preserve">In the case of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lastRenderedPageBreak/>
        <w:t>population processes</w:t>
      </w:r>
      <w:r w:rsidR="001D4AA3" w:rsidRPr="00D61753">
        <w:t xml:space="preserve"> </w:t>
      </w:r>
      <w:r w:rsidR="001D4AA3">
        <w:t xml:space="preserve">in 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4E32837D"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473128">
        <w:rPr>
          <w:b/>
          <w:color w:val="FF0000"/>
          <w:sz w:val="28"/>
          <w:szCs w:val="28"/>
        </w:rPr>
        <w:t>931</w:t>
      </w:r>
      <w:r w:rsidR="00255708">
        <w:rPr>
          <w:b/>
          <w:color w:val="FF0000"/>
          <w:sz w:val="28"/>
          <w:szCs w:val="28"/>
        </w:rPr>
        <w:t xml:space="preserve"> </w:t>
      </w:r>
      <w:r w:rsidR="00C87F16" w:rsidRPr="00D01097">
        <w:rPr>
          <w:b/>
          <w:color w:val="FF0000"/>
          <w:sz w:val="28"/>
          <w:szCs w:val="28"/>
        </w:rPr>
        <w:t>words)</w:t>
      </w:r>
    </w:p>
    <w:bookmarkEnd w:id="0"/>
    <w:p w14:paraId="67ADD6DD" w14:textId="70B054B2" w:rsidR="007641B7" w:rsidRDefault="007641B7" w:rsidP="007641B7">
      <w:pPr>
        <w:spacing w:line="480" w:lineRule="auto"/>
        <w:ind w:firstLine="720"/>
        <w:rPr>
          <w:rFonts w:cs="Times New Roman"/>
        </w:rPr>
      </w:pPr>
      <w:r>
        <w:rPr>
          <w:rFonts w:cs="Times New Roman"/>
        </w:rPr>
        <w:t>Understanding the processes associated with successful establishment and spread of novel species is a major goal of invasion ecology. Over the past 50 years, numerous theories explaining why some species are invasive and other are not have been proposed, tested, and refined (LOWRY). Fundamentally the processes governing dynamics of invasive species are the same as those govern</w:t>
      </w:r>
      <w:r w:rsidR="00975813">
        <w:rPr>
          <w:rFonts w:cs="Times New Roman"/>
        </w:rPr>
        <w:t>ing</w:t>
      </w:r>
      <w:r>
        <w:rPr>
          <w:rFonts w:cs="Times New Roman"/>
        </w:rPr>
        <w:t xml:space="preserve"> native species </w:t>
      </w:r>
      <w:r w:rsidRPr="00910A69">
        <w:rPr>
          <w:rFonts w:cs="Times New Roman"/>
          <w:noProof/>
        </w:rPr>
        <w:t>(Gurevitch et al. 2011)</w:t>
      </w:r>
      <w:r>
        <w:rPr>
          <w:rFonts w:cs="Times New Roman"/>
        </w:rPr>
        <w:t xml:space="preserve">. As such, </w:t>
      </w:r>
      <w:r w:rsidR="00975813">
        <w:rPr>
          <w:rFonts w:cs="Times New Roman"/>
        </w:rPr>
        <w:t xml:space="preserve">using well established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 </w:t>
      </w:r>
      <w:r w:rsidRPr="00910A69">
        <w:rPr>
          <w:rFonts w:cs="Times New Roman"/>
          <w:noProof/>
        </w:rPr>
        <w:t>(Pyšek and Hulme 2005)</w:t>
      </w:r>
      <w:r>
        <w:rPr>
          <w:rFonts w:cs="Times New Roman"/>
        </w:rPr>
        <w:t xml:space="preserve">. </w:t>
      </w:r>
    </w:p>
    <w:p w14:paraId="201877C8" w14:textId="78CA62C8"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910A69" w:rsidRPr="00910A69">
        <w:rPr>
          <w:rFonts w:cs="Times New Roman"/>
          <w:noProof/>
        </w:rPr>
        <w:t>(Caswell 2006 p. 2)</w:t>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(e.g., </w:t>
      </w:r>
      <w:r w:rsidRPr="003C01FF">
        <w:rPr>
          <w:rFonts w:cs="Times New Roman"/>
          <w:noProof/>
        </w:rPr>
        <w:t>Davis et al. 2006; Harris et al. 2009)</w:t>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10A69" w:rsidRPr="00910A69">
        <w:rPr>
          <w:rFonts w:cs="Times New Roman"/>
          <w:noProof/>
        </w:rPr>
        <w:t>(Peterson et al. 2011)</w:t>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local populations</w:t>
      </w:r>
      <w:r w:rsidR="00EE3362">
        <w:rPr>
          <w:rFonts w:cs="Times New Roman"/>
        </w:rPr>
        <w:t xml:space="preserve"> and</w:t>
      </w:r>
      <w:r>
        <w:rPr>
          <w:rFonts w:cs="Times New Roman"/>
        </w:rPr>
        <w:t xml:space="preserve"> population colonization and extinction </w:t>
      </w:r>
      <w:r w:rsidR="00910A69" w:rsidRPr="00910A69">
        <w:rPr>
          <w:rFonts w:cs="Times New Roman"/>
          <w:noProof/>
        </w:rPr>
        <w:t>(Akçakaya 2000, 2001</w:t>
      </w:r>
      <w:r w:rsidR="00F109B5">
        <w:rPr>
          <w:rFonts w:cs="Times New Roman"/>
          <w:noProof/>
        </w:rPr>
        <w:t xml:space="preserve">; </w:t>
      </w:r>
      <w:r w:rsidR="00F109B5" w:rsidRPr="00910A69">
        <w:rPr>
          <w:rFonts w:cs="Times New Roman"/>
          <w:noProof/>
        </w:rPr>
        <w:t>Akçakaya 2001, Akçakaya et al. 2004, Franklin 2010, Fordham et al. 2013</w:t>
      </w:r>
      <w:r w:rsidR="00910A69" w:rsidRPr="00910A69">
        <w:rPr>
          <w:rFonts w:cs="Times New Roman"/>
          <w:noProof/>
        </w:rPr>
        <w:t>)</w:t>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F109B5" w:rsidRPr="00163C0A">
        <w:rPr>
          <w:rFonts w:cs="Times New Roman"/>
          <w:noProof/>
        </w:rPr>
        <w:t>Keith et al. 2008, Brook et al. 2009, Aiello-Lammens et al. 2011, Pearson et al. 2014</w:t>
      </w:r>
      <w:r w:rsidR="00F109B5">
        <w:rPr>
          <w:rFonts w:cs="Times New Roman"/>
          <w:noProof/>
        </w:rPr>
        <w:t xml:space="preserve">, </w:t>
      </w:r>
      <w:r w:rsidR="00F109B5" w:rsidRPr="00910A69">
        <w:rPr>
          <w:noProof/>
        </w:rPr>
        <w:t>Fordham et al. 2013, Franklin et al. 2013</w:t>
      </w:r>
      <w:r w:rsidR="00263874">
        <w:rPr>
          <w:noProof/>
        </w:rPr>
        <w:t xml:space="preserve">, </w:t>
      </w:r>
      <w:r w:rsidR="00263874" w:rsidRPr="00910A69">
        <w:rPr>
          <w:rFonts w:cs="Times New Roman"/>
          <w:noProof/>
        </w:rPr>
        <w:t>Urban et al. 2007, Fordham et al. 2012</w:t>
      </w:r>
      <w:r w:rsidR="00F109B5">
        <w:rPr>
          <w:noProof/>
        </w:rPr>
        <w:t>)</w:t>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 (REF)</w:t>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22E6F1B2"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 xml:space="preserve">provide insights into processes of population dynamics </w:t>
      </w:r>
      <w:r w:rsidRPr="00910A69">
        <w:rPr>
          <w:rFonts w:cs="Times New Roman"/>
          <w:noProof/>
        </w:rPr>
        <w:t>(Hastings et al. 2005)</w:t>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 (</w:t>
      </w:r>
      <w:r w:rsidR="00FA1EA9" w:rsidRPr="00910A69">
        <w:rPr>
          <w:rFonts w:cs="Times New Roman"/>
          <w:noProof/>
        </w:rPr>
        <w:t>Sakai et al. 2001, Theoharides and Dukes 2007, Blackburn et al. 2011</w:t>
      </w:r>
      <w:r w:rsidR="00FA1EA9">
        <w:rPr>
          <w:rFonts w:cs="Times New Roman"/>
          <w:noProof/>
        </w:rPr>
        <w:t xml:space="preserve">), and thus the </w:t>
      </w:r>
      <w:r w:rsidR="00FA1EA9">
        <w:rPr>
          <w:rFonts w:cs="Times New Roman"/>
        </w:rPr>
        <w:t>utility of analysis tools that allow for investigation across multiple scale levels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spread, </w:t>
      </w:r>
      <w:r w:rsidR="00263874">
        <w:rPr>
          <w:rFonts w:cs="Times New Roman"/>
        </w:rPr>
        <w:t xml:space="preserve">retrospective analyses offers an important tool for testing hypotheses of species spread. Such analyses have already been applied to understand causes of species </w:t>
      </w:r>
      <w:proofErr w:type="spellStart"/>
      <w:r w:rsidR="00263874">
        <w:rPr>
          <w:rFonts w:cs="Times New Roman"/>
        </w:rPr>
        <w:t>delinces</w:t>
      </w:r>
      <w:proofErr w:type="spellEnd"/>
      <w:r w:rsidR="00263874">
        <w:rPr>
          <w:rFonts w:cs="Times New Roman"/>
        </w:rPr>
        <w:t xml:space="preserve"> and extinctions </w:t>
      </w:r>
      <w:r>
        <w:rPr>
          <w:rFonts w:cs="Times New Roman"/>
        </w:rPr>
        <w:t>(</w:t>
      </w:r>
      <w:r w:rsidRPr="00255708">
        <w:rPr>
          <w:rFonts w:cs="Times New Roman"/>
          <w:shd w:val="clear" w:color="auto" w:fill="FFFF00"/>
        </w:rPr>
        <w:t>STANTON REF, THYOLOCINE REF</w:t>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(reviewed in SIMBERLOFF REF), leading some to suggest </w:t>
      </w:r>
      <w:r w:rsidR="007641B7">
        <w:rPr>
          <w:rFonts w:cs="Times New Roman"/>
        </w:rPr>
        <w:t xml:space="preserve">that mathematical parameterizations of propagule pressure could serve as a </w:t>
      </w:r>
      <w:r w:rsidR="00CB59E4">
        <w:rPr>
          <w:rFonts w:cs="Times New Roman"/>
        </w:rPr>
        <w:t xml:space="preserve">null model of invasion </w:t>
      </w:r>
      <w:r w:rsidR="0059229F">
        <w:rPr>
          <w:rFonts w:cs="Times New Roman"/>
        </w:rPr>
        <w:t xml:space="preserve">(COLAUTTI ET AL REF).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w:t>
      </w:r>
      <w:r w:rsidR="007641B7">
        <w:rPr>
          <w:rFonts w:cs="Times New Roman"/>
        </w:rPr>
        <w:lastRenderedPageBreak/>
        <w:t>temporal lags between stages of invasion</w:t>
      </w:r>
      <w:r w:rsidR="00473128">
        <w:rPr>
          <w:rFonts w:cs="Times New Roman"/>
        </w:rPr>
        <w:t>, incorporating a mix of population ecology, biogeography, and evolution</w:t>
      </w:r>
      <w:r w:rsidR="007641B7">
        <w:rPr>
          <w:rFonts w:cs="Times New Roman"/>
        </w:rPr>
        <w:t xml:space="preserve"> </w:t>
      </w:r>
      <w:r w:rsidR="007641B7" w:rsidRPr="00400423">
        <w:rPr>
          <w:rFonts w:cs="Times New Roman"/>
        </w:rPr>
        <w:t>(</w:t>
      </w:r>
      <w:proofErr w:type="spellStart"/>
      <w:r w:rsidR="007641B7" w:rsidRPr="00400423">
        <w:rPr>
          <w:rFonts w:cs="Times New Roman"/>
        </w:rPr>
        <w:t>Kowarik</w:t>
      </w:r>
      <w:proofErr w:type="spellEnd"/>
      <w:r w:rsidR="007641B7" w:rsidRPr="00400423">
        <w:rPr>
          <w:rFonts w:cs="Times New Roman"/>
        </w:rPr>
        <w:t xml:space="preserve"> 1995, Crooks and </w:t>
      </w:r>
      <w:proofErr w:type="spellStart"/>
      <w:r w:rsidR="007641B7" w:rsidRPr="00400423">
        <w:rPr>
          <w:rFonts w:cs="Times New Roman"/>
        </w:rPr>
        <w:t>Soulé</w:t>
      </w:r>
      <w:proofErr w:type="spellEnd"/>
      <w:r w:rsidR="007641B7" w:rsidRPr="00400423">
        <w:rPr>
          <w:rFonts w:cs="Times New Roman"/>
        </w:rPr>
        <w:t xml:space="preserve"> 1999, Sakai et al. 2001, </w:t>
      </w:r>
      <w:proofErr w:type="spellStart"/>
      <w:r w:rsidR="007641B7" w:rsidRPr="00400423">
        <w:rPr>
          <w:rFonts w:cs="Times New Roman"/>
        </w:rPr>
        <w:t>Pyšek</w:t>
      </w:r>
      <w:proofErr w:type="spellEnd"/>
      <w:r w:rsidR="007641B7" w:rsidRPr="00400423">
        <w:rPr>
          <w:rFonts w:cs="Times New Roman"/>
        </w:rPr>
        <w:t xml:space="preserve"> and </w:t>
      </w:r>
      <w:proofErr w:type="spellStart"/>
      <w:r w:rsidR="007641B7" w:rsidRPr="00400423">
        <w:rPr>
          <w:rFonts w:cs="Times New Roman"/>
        </w:rPr>
        <w:t>Hulme</w:t>
      </w:r>
      <w:proofErr w:type="spellEnd"/>
      <w:r w:rsidR="007641B7" w:rsidRPr="00400423">
        <w:rPr>
          <w:rFonts w:cs="Times New Roman"/>
        </w:rPr>
        <w:t xml:space="preserve"> 2005, </w:t>
      </w:r>
      <w:proofErr w:type="spellStart"/>
      <w:r w:rsidR="007641B7" w:rsidRPr="00400423">
        <w:rPr>
          <w:rFonts w:cs="Times New Roman"/>
        </w:rPr>
        <w:t>Theoharides</w:t>
      </w:r>
      <w:proofErr w:type="spellEnd"/>
      <w:r w:rsidR="007641B7" w:rsidRPr="00400423">
        <w:rPr>
          <w:rFonts w:cs="Times New Roman"/>
        </w:rPr>
        <w:t xml:space="preserve"> and Dukes 2007)</w:t>
      </w:r>
      <w:r w:rsidR="00473128">
        <w:rPr>
          <w:rFonts w:cs="Times New Roman"/>
        </w:rPr>
        <w:t xml:space="preserve">. </w:t>
      </w:r>
      <w:r w:rsidR="0059229F">
        <w:rPr>
          <w:rFonts w:cs="Times New Roman"/>
        </w:rPr>
        <w:t xml:space="preserve">In simulation work, </w:t>
      </w:r>
      <w:r w:rsidR="00C36DF4">
        <w:rPr>
          <w:rFonts w:cs="Times New Roman"/>
        </w:rPr>
        <w:t xml:space="preserve">With (2002, 2004) 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15B19C4A"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 xml:space="preserve">F. </w:t>
      </w:r>
      <w:proofErr w:type="spellStart"/>
      <w:r w:rsidR="00FF24C7">
        <w:rPr>
          <w:i/>
        </w:rPr>
        <w:t>alnus</w:t>
      </w:r>
      <w:proofErr w:type="spellEnd"/>
      <w:r w:rsidR="00FF24C7">
        <w:t xml:space="preserve"> to examine the demographic processes result</w:t>
      </w:r>
      <w:r w:rsidR="006E6178">
        <w:t>ing</w:t>
      </w:r>
      <w:r w:rsidR="00FF24C7">
        <w:t xml:space="preserve">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 xml:space="preserve">test multiple hypotheses regarding the invasion of </w:t>
      </w:r>
      <w:r w:rsidR="00D74C5F">
        <w:rPr>
          <w:rFonts w:eastAsiaTheme="minorEastAsia" w:cs="Times New Roman"/>
          <w:i/>
          <w:iCs/>
        </w:rPr>
        <w:t xml:space="preserve">F. </w:t>
      </w:r>
      <w:proofErr w:type="spellStart"/>
      <w:r w:rsidR="00D74C5F">
        <w:rPr>
          <w:rFonts w:eastAsiaTheme="minorEastAsia" w:cs="Times New Roman"/>
          <w:i/>
          <w:iCs/>
        </w:rPr>
        <w:t>alnus</w:t>
      </w:r>
      <w:proofErr w:type="spellEnd"/>
      <w:r w:rsidR="00D74C5F">
        <w:rPr>
          <w:rFonts w:eastAsiaTheme="minorEastAsia" w:cs="Times New Roman"/>
          <w:i/>
          <w:iCs/>
        </w:rPr>
        <w:t xml:space="preserve"> </w:t>
      </w:r>
      <w:r w:rsidR="00D74C5F">
        <w:rPr>
          <w:rFonts w:eastAsiaTheme="minorEastAsia" w:cs="Times New Roman"/>
          <w:iCs/>
        </w:rPr>
        <w:t xml:space="preserve">in North America. 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w:t>
      </w:r>
      <w:r w:rsidR="00FF24C7">
        <w:rPr>
          <w:rFonts w:cs="Times New Roman"/>
          <w:iCs/>
        </w:rPr>
        <w:lastRenderedPageBreak/>
        <w:t xml:space="preserve">model focuses 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7927EF0C"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910A69" w:rsidRPr="00910A69">
        <w:rPr>
          <w:rFonts w:cs="Times New Roman"/>
          <w:iCs/>
          <w:noProof/>
        </w:rPr>
        <w:t>(Godwin 1943, Medan 1994)</w:t>
      </w:r>
      <w:r>
        <w:rPr>
          <w:rFonts w:cs="Times New Roman"/>
          <w:iCs/>
        </w:rPr>
        <w:t xml:space="preserve">. Seeds are </w:t>
      </w:r>
      <w:r w:rsidR="00C241D6">
        <w:rPr>
          <w:rFonts w:cs="Times New Roman"/>
          <w:iCs/>
        </w:rPr>
        <w:t>dispersed by birds</w:t>
      </w:r>
      <w:r>
        <w:rPr>
          <w:rFonts w:cs="Times New Roman"/>
          <w:iCs/>
        </w:rPr>
        <w:t xml:space="preserve"> </w:t>
      </w:r>
      <w:r w:rsidR="00910A69" w:rsidRPr="00910A69">
        <w:rPr>
          <w:rFonts w:cs="Times New Roman"/>
          <w:iCs/>
          <w:noProof/>
        </w:rPr>
        <w:t>(Howell and Blackwell 1977, Hampe et al. 2003, Hampe 2008)</w:t>
      </w:r>
      <w:r w:rsidR="00C241D6">
        <w:rPr>
          <w:rFonts w:cs="Times New Roman"/>
          <w:iCs/>
        </w:rPr>
        <w:t xml:space="preserve">, </w:t>
      </w:r>
      <w:r>
        <w:rPr>
          <w:rFonts w:cs="Times New Roman"/>
          <w:iCs/>
        </w:rPr>
        <w:t xml:space="preserve">small mammals </w:t>
      </w:r>
      <w:r w:rsidR="00910A69" w:rsidRPr="00910A69">
        <w:rPr>
          <w:rFonts w:cs="Times New Roman"/>
          <w:iCs/>
          <w:noProof/>
        </w:rPr>
        <w:t>(Godwin 1936)</w:t>
      </w:r>
      <w:r>
        <w:rPr>
          <w:rFonts w:cs="Times New Roman"/>
          <w:iCs/>
        </w:rPr>
        <w:t xml:space="preserve">, and hydrochory </w:t>
      </w:r>
      <w:r w:rsidR="00910A69" w:rsidRPr="00910A69">
        <w:rPr>
          <w:rFonts w:cs="Times New Roman"/>
          <w:iCs/>
          <w:noProof/>
        </w:rPr>
        <w:t>(Hampe 2004)</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Pr>
          <w:rFonts w:cs="Times New Roman"/>
          <w:iCs/>
        </w:rPr>
        <w:t xml:space="preserve"> </w:t>
      </w:r>
      <w:r w:rsidR="00910A69" w:rsidRPr="00910A69">
        <w:rPr>
          <w:rFonts w:cs="Times New Roman"/>
          <w:iCs/>
          <w:noProof/>
        </w:rPr>
        <w:t>(Howell and Blackwell 1977, Catling and Porebski 1994, Frappier et al. 2003a)</w:t>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 </w:t>
      </w:r>
      <w:r w:rsidR="00910A69" w:rsidRPr="00910A69">
        <w:rPr>
          <w:rFonts w:cs="Times New Roman"/>
          <w:iCs/>
          <w:noProof/>
        </w:rPr>
        <w:t>(Possessky et al. 2000, Frappier et al. 2003a, Fagan and Peart 2004)</w:t>
      </w:r>
      <w:r>
        <w:rPr>
          <w:rFonts w:cs="Times New Roman"/>
          <w:iCs/>
        </w:rPr>
        <w:t xml:space="preserve">. </w:t>
      </w:r>
    </w:p>
    <w:p w14:paraId="663BCBD1" w14:textId="4D592B8F"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 xml:space="preserve">per location </w:t>
      </w:r>
      <w:r w:rsidR="00AB246E">
        <w:rPr>
          <w:rFonts w:cs="Times New Roman"/>
          <w:iCs/>
        </w:rPr>
        <w:t>that</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15 or 20 </w:t>
      </w:r>
      <w:r w:rsidR="000655B2">
        <w:rPr>
          <w:rFonts w:cs="Times New Roman"/>
        </w:rPr>
        <w:t xml:space="preserve">randomly located </w:t>
      </w:r>
      <w:r w:rsidR="00C57F4F">
        <w:rPr>
          <w:rFonts w:cs="Times New Roman"/>
        </w:rPr>
        <w:t xml:space="preserve">2 x 2 meter plots were established,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AB246E" w:rsidRPr="00EF6CD3">
        <w:rPr>
          <w:rFonts w:cs="Times New Roman"/>
          <w:iCs/>
          <w:highlight w:val="yellow"/>
        </w:rPr>
        <w:t xml:space="preserve"> XXX</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6062036C"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475C3" w:rsidRPr="004475C3">
        <w:rPr>
          <w:noProof/>
        </w:rPr>
        <w:t>(Easterling et al. 2000, Ellner and Rees 2006, Merow et al. 2013a)</w:t>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3ABD2A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 </w:t>
      </w:r>
      <w:r w:rsidR="00910A69" w:rsidRPr="00910A69">
        <w:rPr>
          <w:rFonts w:eastAsiaTheme="minorEastAsia" w:cs="Times New Roman"/>
          <w:noProof/>
        </w:rPr>
        <w:t>(Easterling et al. 2000)</w:t>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6D95093B"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910A69" w:rsidRPr="00910A69">
        <w:rPr>
          <w:rFonts w:cs="Times New Roman"/>
          <w:noProof/>
        </w:rPr>
        <w:t>(Comita and Hubbell 2009, Pardini et al. 2009, Dwyer et al. 2010, Ramula and Buckley 2010)</w:t>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Pr>
          <w:rFonts w:cs="Times New Roman"/>
        </w:rPr>
        <w:t xml:space="preserve"> </w:t>
      </w:r>
      <w:r w:rsidR="00910A69" w:rsidRPr="00910A69">
        <w:rPr>
          <w:rFonts w:cs="Times New Roman"/>
          <w:noProof/>
        </w:rPr>
        <w:t>(Menges 2000, Crone et al. 2010)</w:t>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 XXX</w:t>
      </w:r>
      <w:r w:rsidR="002F1DA1">
        <w:rPr>
          <w:rFonts w:cs="Times New Roman"/>
          <w:iCs/>
        </w:rPr>
        <w:t>.</w:t>
      </w:r>
    </w:p>
    <w:p w14:paraId="657491C1" w14:textId="5ED557EE"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Pr>
          <w:rFonts w:cs="Times New Roman"/>
        </w:rPr>
        <w:t xml:space="preserve"> </w:t>
      </w:r>
      <w:r w:rsidR="00910A69" w:rsidRPr="00910A69">
        <w:rPr>
          <w:rFonts w:cs="Times New Roman"/>
          <w:noProof/>
        </w:rPr>
        <w:t>(Easterling et al. 2000, Merow et al. 2013a)</w:t>
      </w:r>
      <w:r w:rsidRPr="00383B0C">
        <w:rPr>
          <w:rFonts w:cs="Times New Roman"/>
        </w:rPr>
        <w:t xml:space="preserve">, I used RAMAS </w:t>
      </w:r>
      <w:proofErr w:type="spellStart"/>
      <w:r w:rsidRPr="00383B0C">
        <w:rPr>
          <w:rFonts w:cs="Times New Roman"/>
        </w:rPr>
        <w:t>Metapop</w:t>
      </w:r>
      <w:proofErr w:type="spellEnd"/>
      <w:r>
        <w:rPr>
          <w:rFonts w:cs="Times New Roman"/>
        </w:rPr>
        <w:t xml:space="preserve"> </w:t>
      </w:r>
      <w:r w:rsidR="00910A69" w:rsidRPr="00910A69">
        <w:rPr>
          <w:rFonts w:cs="Times New Roman"/>
          <w:noProof/>
        </w:rPr>
        <w:t>(Akçakaya 2002)</w:t>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060412">
        <w:rPr>
          <w:rFonts w:cs="Times New Roman"/>
        </w:rPr>
        <w:t xml:space="preserve"> (MEROW 2013a)</w:t>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70071A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space and time throughout its North American range </w:t>
      </w:r>
      <w:r w:rsidR="00910A69" w:rsidRPr="00910A69">
        <w:rPr>
          <w:rFonts w:cs="Times New Roman"/>
          <w:iCs/>
          <w:noProof/>
        </w:rPr>
        <w:t>(Phillips et al. 2006, Phillips and Dudík 2008, Elith et al. 2010)</w:t>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07145375"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Online Resource XXX</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632A041B"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to compare to the dynamic model described above</w:t>
      </w:r>
      <w:r w:rsidR="00FF24C7">
        <w:rPr>
          <w:rFonts w:cs="Times New Roman"/>
          <w:iCs/>
        </w:rPr>
        <w:t>.</w:t>
      </w:r>
    </w:p>
    <w:p w14:paraId="7E3EED89" w14:textId="09E04658"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FF24C7">
        <w:t xml:space="preserve"> </w:t>
      </w:r>
      <w:r w:rsidR="00910A69" w:rsidRPr="00910A69">
        <w:rPr>
          <w:noProof/>
        </w:rPr>
        <w:t>(Merow et al. 2011)</w:t>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FF24C7" w:rsidRPr="001701E5">
        <w:rPr>
          <w:noProof/>
        </w:rPr>
        <w:t>(2011)</w:t>
      </w:r>
      <w:r w:rsidR="00FF24C7">
        <w:t xml:space="preserve"> and </w:t>
      </w:r>
      <w:proofErr w:type="spellStart"/>
      <w:r w:rsidR="00FF24C7">
        <w:t>Hampe</w:t>
      </w:r>
      <w:proofErr w:type="spellEnd"/>
      <w:r w:rsidR="00FF24C7">
        <w:t xml:space="preserve"> </w:t>
      </w:r>
      <w:r w:rsidR="00FF24C7" w:rsidRPr="001701E5">
        <w:rPr>
          <w:noProof/>
        </w:rPr>
        <w:t>(2004, 2008)</w:t>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2BB2BD26"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t>Online Resources XXX</w:t>
      </w:r>
      <w:r w:rsidR="00930C91">
        <w:rPr>
          <w:rFonts w:cs="Times New Roman"/>
          <w:iCs/>
        </w:rPr>
        <w:t xml:space="preserve"> for details) and therefore carrying capacity was measured as the number </w:t>
      </w:r>
      <w:r w:rsidR="00930C91">
        <w:rPr>
          <w:rFonts w:cs="Times New Roman"/>
          <w:iCs/>
        </w:rPr>
        <w:lastRenderedPageBreak/>
        <w:t xml:space="preserve">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 </w:t>
      </w:r>
      <w:r w:rsidR="00910A69" w:rsidRPr="00910A69">
        <w:rPr>
          <w:rFonts w:eastAsiaTheme="minorEastAsia" w:cs="Times New Roman"/>
          <w:iCs/>
          <w:noProof/>
        </w:rPr>
        <w:t>(VanDerWal et al. 2009)</w:t>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0.25, respectively. </w:t>
      </w:r>
      <w:r w:rsidR="00DB25D9" w:rsidRPr="00744B34">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Pr>
          <w:rFonts w:eastAsiaTheme="minorEastAsia" w:cs="Times New Roman"/>
          <w:iCs/>
          <w:shd w:val="clear" w:color="auto" w:fill="FFFF00"/>
        </w:rPr>
        <w:t xml:space="preserve">most </w:t>
      </w:r>
      <w:r w:rsidR="00DB25D9" w:rsidRPr="00744B34">
        <w:rPr>
          <w:rFonts w:eastAsiaTheme="minorEastAsia" w:cs="Times New Roman"/>
          <w:iCs/>
          <w:shd w:val="clear" w:color="auto" w:fill="FFFF00"/>
        </w:rPr>
        <w:t>dense</w:t>
      </w:r>
      <w:r w:rsidR="00DD71BE">
        <w:rPr>
          <w:rFonts w:eastAsiaTheme="minorEastAsia" w:cs="Times New Roman"/>
          <w:iCs/>
          <w:shd w:val="clear" w:color="auto" w:fill="FFFF00"/>
        </w:rPr>
        <w:t xml:space="preserve"> </w:t>
      </w:r>
      <w:r w:rsidR="00DB25D9" w:rsidRPr="00744B34">
        <w:rPr>
          <w:rFonts w:eastAsiaTheme="minorEastAsia" w:cs="Times New Roman"/>
          <w:iCs/>
          <w:shd w:val="clear" w:color="auto" w:fill="FFFF00"/>
        </w:rPr>
        <w:t>2 x 2 m plots in my field observations.</w:t>
      </w:r>
    </w:p>
    <w:p w14:paraId="4F2B96EE" w14:textId="77777777" w:rsidR="00FF24C7" w:rsidRPr="00403D24" w:rsidRDefault="00FF24C7" w:rsidP="008579EE">
      <w:pPr>
        <w:spacing w:line="480" w:lineRule="auto"/>
        <w:rPr>
          <w:i/>
        </w:rPr>
      </w:pPr>
      <w:r w:rsidRPr="00403D24">
        <w:rPr>
          <w:i/>
        </w:rPr>
        <w:t>Exploring parameter space via global sensitivity analysis</w:t>
      </w:r>
    </w:p>
    <w:p w14:paraId="564A1388" w14:textId="210F19F7"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6F48A0">
        <w:t xml:space="preserve"> (</w:t>
      </w:r>
      <w:r w:rsidR="006F48A0" w:rsidRPr="006F48A0">
        <w:rPr>
          <w:shd w:val="clear" w:color="auto" w:fill="FFFF00"/>
        </w:rPr>
        <w:t>AIELLO-LAMMENS GSA REF</w:t>
      </w:r>
      <w:r w:rsidR="006F48A0">
        <w:t>)</w:t>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model structure combinations: ceiling density dependence + land-use change, ceiling density dependence + no </w:t>
      </w:r>
      <w:r>
        <w:rPr>
          <w:rFonts w:cs="Times New Roman"/>
          <w:iCs/>
        </w:rPr>
        <w:lastRenderedPageBreak/>
        <w:t>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466502B9"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 </w:t>
      </w:r>
      <w:r w:rsidR="00910A69" w:rsidRPr="00910A69">
        <w:rPr>
          <w:noProof/>
        </w:rPr>
        <w:t>(Elith et al. 2008)</w:t>
      </w:r>
      <w:r>
        <w:t>. Previous sensitivity analyses (</w:t>
      </w:r>
      <w:r w:rsidR="00BB23C0" w:rsidRPr="00BB23C0">
        <w:rPr>
          <w:shd w:val="clear" w:color="auto" w:fill="FFFF00"/>
        </w:rPr>
        <w:t>AIELLO-LAMMENS REF</w:t>
      </w:r>
      <w:r w:rsidR="00BB23C0">
        <w:t xml:space="preserve">, </w:t>
      </w:r>
      <w:r w:rsidR="00910A69" w:rsidRPr="00910A69">
        <w:rPr>
          <w:noProof/>
        </w:rPr>
        <w:t>Prowse et al. 2013, Coutts and Yokomizo 2013)</w:t>
      </w:r>
      <w:r>
        <w:t xml:space="preserve"> 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3336F74" w:rsidR="00FF24C7" w:rsidRPr="00ED6FDB" w:rsidRDefault="00FF24C7" w:rsidP="008579EE">
      <w:pPr>
        <w:spacing w:line="480" w:lineRule="auto"/>
        <w:ind w:firstLine="720"/>
        <w:rPr>
          <w:rFonts w:eastAsiaTheme="minorEastAsia" w:cs="Times New Roman"/>
        </w:rPr>
      </w:pPr>
      <w:r>
        <w:t xml:space="preserve">I </w:t>
      </w:r>
      <w:r w:rsidR="00E62AC1">
        <w:t>used a</w:t>
      </w:r>
      <w:r w:rsidR="009A55DF">
        <w:t xml:space="preserve"> confusion matrix </w:t>
      </w:r>
      <w:r w:rsidR="00E62AC1">
        <w:t xml:space="preserve">approach </w:t>
      </w:r>
      <w:r w:rsidR="009A55DF" w:rsidRPr="00910A69">
        <w:rPr>
          <w:noProof/>
        </w:rPr>
        <w:t>(Fielding and Bell 1997)</w:t>
      </w:r>
      <w:r w:rsidR="00E62AC1">
        <w:rPr>
          <w:noProof/>
        </w:rPr>
        <w:t xml:space="preserve"> 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Pr>
          <w:rFonts w:cs="Times New Roman"/>
          <w:iCs/>
        </w:rPr>
        <w:t xml:space="preserve">as described in </w:t>
      </w:r>
      <w:r w:rsidR="00BB23C0" w:rsidRPr="00BB23C0">
        <w:rPr>
          <w:rFonts w:cs="Times New Roman"/>
          <w:iCs/>
          <w:shd w:val="clear" w:color="auto" w:fill="FFFF00"/>
        </w:rPr>
        <w:t xml:space="preserve">Aiello-Lammens </w:t>
      </w:r>
      <w:r w:rsidR="00BB23C0" w:rsidRPr="00BB23C0">
        <w:rPr>
          <w:rFonts w:cs="Times New Roman"/>
          <w:iCs/>
          <w:shd w:val="clear" w:color="auto" w:fill="FFFF00"/>
        </w:rPr>
        <w:lastRenderedPageBreak/>
        <w:t>in review</w:t>
      </w:r>
      <w:r w:rsidR="00BB23C0">
        <w:rPr>
          <w:rFonts w:cs="Times New Roman"/>
          <w:iCs/>
        </w:rPr>
        <w:t>)</w:t>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13E6BC61"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 xml:space="preserve">Species occurrence information gathered from natural history collections (e.g., herbariums) are subject to collection biases that may mis- or under-represent a species range </w:t>
      </w:r>
      <w:r w:rsidR="00626139" w:rsidRPr="00626139">
        <w:rPr>
          <w:rFonts w:cs="Times New Roman"/>
          <w:iCs/>
          <w:noProof/>
        </w:rPr>
        <w:t>(Graham et al. 2004, Anderson 2012, Lavoie 2012)</w:t>
      </w:r>
      <w:r w:rsidR="00626139" w:rsidRPr="00626139">
        <w:rPr>
          <w:rFonts w:cs="Times New Roman"/>
          <w:iCs/>
        </w:rPr>
        <w:t>. T</w:t>
      </w:r>
      <w:r w:rsidR="00B10B30" w:rsidRPr="00626139">
        <w:rPr>
          <w:rFonts w:cs="Times New Roman"/>
          <w:iCs/>
        </w:rPr>
        <w:t xml:space="preserve">he detection and collection of invasive species in particular may lag behind its establishment in a novel region </w:t>
      </w:r>
      <w:r w:rsidR="00626139" w:rsidRPr="00626139">
        <w:rPr>
          <w:rFonts w:cs="Times New Roman"/>
          <w:iCs/>
          <w:noProof/>
        </w:rPr>
        <w:t>(Crooks 2005)</w:t>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w:t>
      </w:r>
      <w:r>
        <w:rPr>
          <w:rFonts w:cs="Times New Roman"/>
          <w:iCs/>
        </w:rPr>
        <w:lastRenderedPageBreak/>
        <w:t xml:space="preserve">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6EDFB297"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74D9A1FB"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(Figure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352B69" w:rsidRPr="00352B69">
        <w:rPr>
          <w:rFonts w:cs="Times New Roman"/>
          <w:iCs/>
        </w:rPr>
        <w:t>Figure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(Figure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2" w:name="OLE_LINK1"/>
        <w:bookmarkStart w:id="3"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2"/>
      <w:bookmarkEnd w:id="3"/>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based on 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lastRenderedPageBreak/>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97B0CD2"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Table A3</w:t>
      </w:r>
      <w:r>
        <w:rPr>
          <w:rFonts w:cs="Times New Roman"/>
        </w:rPr>
        <w:t>).</w:t>
      </w:r>
      <w:r w:rsidRPr="00DD5377">
        <w:rPr>
          <w:rFonts w:cs="Times New Roman"/>
        </w:rPr>
        <w:t xml:space="preserve"> </w:t>
      </w:r>
    </w:p>
    <w:p w14:paraId="21A4072C" w14:textId="595C35EA"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Figure 1</w:t>
      </w:r>
      <w:r w:rsidR="00361EC1">
        <w:rPr>
          <w:rFonts w:cs="Times New Roman"/>
          <w:iCs/>
        </w:rPr>
        <w:t>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014D3698"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from a whole range perspective, very few grid cells had high values of percent cover of pasture. Both low and high values of growing degree days (GDD) were associated with low habitat </w:t>
      </w:r>
      <w:r>
        <w:rPr>
          <w:rFonts w:cs="Times New Roman"/>
          <w:iCs/>
        </w:rPr>
        <w:lastRenderedPageBreak/>
        <w:t xml:space="preserve">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 xml:space="preserve">suitability changing through time (Figure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56FF2920" w:rsidR="00FF24C7" w:rsidRDefault="00FF24C7" w:rsidP="008579EE">
      <w:pPr>
        <w:spacing w:line="480" w:lineRule="auto"/>
        <w:ind w:firstLine="720"/>
      </w:pPr>
      <w:r>
        <w:t>Randomly generated parameter sets resulted in good sampling coverage of input parameter uncertainty space (Figure 3)</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Similar results were found assuming an occupancy threshold of 1 and 2000 individuals. Given the lack of difference in the key measures used to compare simulations to patterns of historical occurrence records, the subsequent results presented </w:t>
      </w:r>
      <w:r>
        <w:lastRenderedPageBreak/>
        <w:t xml:space="preserve">are for simulations considering land-use change and effective </w:t>
      </w:r>
      <w:r w:rsidR="00E367D4">
        <w:t xml:space="preserve">plot </w:t>
      </w:r>
      <w:r>
        <w:t>density</w:t>
      </w:r>
      <w:r w:rsidR="0055552A">
        <w:t>, as t</w:t>
      </w:r>
      <w:r>
        <w:t xml:space="preserve">hese model structures are biologically more realistic than the alternatives. </w:t>
      </w:r>
    </w:p>
    <w:p w14:paraId="43068E05" w14:textId="461F9672" w:rsidR="00FF24C7" w:rsidRDefault="00FF24C7" w:rsidP="008579EE">
      <w:pPr>
        <w:spacing w:line="480" w:lineRule="auto"/>
        <w:ind w:firstLine="720"/>
      </w:pPr>
      <w:r>
        <w:t>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indicate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2EBC7BD9"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(Figure 4).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i.e., 1950; 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w:t>
      </w:r>
      <w:r>
        <w:rPr>
          <w:rFonts w:cs="Times New Roman"/>
          <w:iCs/>
        </w:rPr>
        <w:lastRenderedPageBreak/>
        <w:t xml:space="preserve">predicted as occupied (Figure 5).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024BC93D" w:rsidR="00FF24C7" w:rsidRPr="00343259" w:rsidRDefault="00FF24C7" w:rsidP="00343259">
      <w:pPr>
        <w:spacing w:line="480" w:lineRule="auto"/>
        <w:rPr>
          <w:rFonts w:cs="Times New Roman"/>
          <w:i/>
          <w:iCs/>
        </w:rPr>
      </w:pPr>
      <w:bookmarkStart w:id="4" w:name="OLE_LINK9"/>
      <w:bookmarkStart w:id="5"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4"/>
      <w:bookmarkEnd w:id="5"/>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proofErr w:type="spellStart"/>
      <w:r w:rsidR="00343259">
        <w:rPr>
          <w:rFonts w:cs="Times New Roman"/>
          <w:iCs/>
        </w:rPr>
        <w:t>yieled</w:t>
      </w:r>
      <w:proofErr w:type="spellEnd"/>
      <w:r w:rsidR="00343259">
        <w:rPr>
          <w:rFonts w:cs="Times New Roman"/>
          <w:iCs/>
        </w:rPr>
        <w:t xml:space="preserve">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 xml:space="preserve">number of LLD events (21.5%), and metapopulation initial abundance (14.2%). </w:t>
      </w:r>
      <w:r w:rsidR="002C6315">
        <w:rPr>
          <w:rFonts w:cs="Times New Roman"/>
          <w:iCs/>
        </w:rPr>
        <w:t xml:space="preserve">The remaining parameters, with the exception of carrying capacity, all have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variability (standard deviation) of fecundity</w:t>
      </w:r>
      <w:r>
        <w:rPr>
          <w:rFonts w:cs="Times New Roman"/>
          <w:iCs/>
        </w:rPr>
        <w:t xml:space="preserve">. </w:t>
      </w:r>
      <w:r w:rsidR="004A75BE">
        <w:rPr>
          <w:rFonts w:cs="Times New Roman"/>
          <w:iCs/>
        </w:rPr>
        <w:t xml:space="preserve">Additionally, there were moderate interactions 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447512A5"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w:t>
      </w:r>
      <w:r w:rsidR="00FC75F9">
        <w:rPr>
          <w:b/>
          <w:color w:val="FF0000"/>
        </w:rPr>
        <w:t>258</w:t>
      </w:r>
      <w:r w:rsidR="00C87F16">
        <w:rPr>
          <w:b/>
          <w:color w:val="FF0000"/>
        </w:rPr>
        <w:t xml:space="preserve"> words)</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
          <w:iCs/>
        </w:rPr>
        <w:t xml:space="preserve">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77777777"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Pr="0070716F">
        <w:rPr>
          <w:rFonts w:cs="Times New Roman"/>
          <w:iCs/>
          <w:noProof/>
        </w:rPr>
        <w:t>(Medan 1994)</w:t>
      </w:r>
      <w:r>
        <w:rPr>
          <w:rFonts w:cs="Times New Roman"/>
          <w:iCs/>
        </w:rPr>
        <w:t xml:space="preserve">, and this may emerge at the patch level as well. Given the high probability of survival for established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45A8C8E3" w:rsidR="004608EA" w:rsidRDefault="00921DA1" w:rsidP="008579EE">
      <w:pPr>
        <w:spacing w:line="480" w:lineRule="auto"/>
        <w:ind w:firstLine="720"/>
        <w:rPr>
          <w:rFonts w:cs="Times New Roman"/>
          <w:iCs/>
        </w:rPr>
      </w:pPr>
      <w:r>
        <w:rPr>
          <w:rFonts w:cs="Times New Roman"/>
          <w:iCs/>
        </w:rPr>
        <w:t xml:space="preserve">Incorporating land-use changes associated with farming and livestock production </w:t>
      </w:r>
      <w:r w:rsidR="00941DD1" w:rsidRPr="00941DD1">
        <w:rPr>
          <w:rFonts w:cs="Times New Roman"/>
          <w:iCs/>
          <w:noProof/>
        </w:rPr>
        <w:t>(Klein Goldewijk et al. 2010)</w:t>
      </w:r>
      <w:r w:rsidR="00941DD1">
        <w:rPr>
          <w:rFonts w:cs="Times New Roman"/>
          <w:iCs/>
        </w:rPr>
        <w:t xml:space="preserve"> </w:t>
      </w:r>
      <w:r>
        <w:rPr>
          <w:rFonts w:cs="Times New Roman"/>
          <w:iCs/>
        </w:rPr>
        <w:t>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 </w:t>
      </w:r>
      <w:r w:rsidR="00881CF0" w:rsidRPr="00910A69">
        <w:rPr>
          <w:rFonts w:cs="Times New Roman"/>
          <w:iCs/>
          <w:noProof/>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84418E">
        <w:rPr>
          <w:rFonts w:cs="Times New Roman"/>
          <w:iCs/>
        </w:rPr>
        <w:t xml:space="preserve"> </w:t>
      </w:r>
      <w:r w:rsidR="00941DD1" w:rsidRPr="00941DD1">
        <w:rPr>
          <w:rFonts w:cs="Times New Roman"/>
          <w:iCs/>
          <w:noProof/>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not </w:t>
      </w:r>
      <w:r w:rsidR="00941DD1">
        <w:rPr>
          <w:rFonts w:cs="Times New Roman"/>
          <w:iCs/>
        </w:rPr>
        <w:lastRenderedPageBreak/>
        <w:t xml:space="preserve">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5BFA5609"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 xml:space="preserve">establishes in undisturbed wetlands and fens </w:t>
      </w:r>
      <w:r w:rsidR="00E678F9" w:rsidRPr="00E678F9">
        <w:rPr>
          <w:rFonts w:eastAsiaTheme="minorEastAsia" w:cs="Times New Roman"/>
          <w:iCs/>
          <w:noProof/>
        </w:rPr>
        <w:t>(Mills et al. 2009, 2012, Berg 2011)</w:t>
      </w:r>
      <w:r w:rsidR="00E678F9">
        <w:rPr>
          <w:rFonts w:eastAsiaTheme="minorEastAsia" w:cs="Times New Roman"/>
          <w:iCs/>
        </w:rPr>
        <w:t xml:space="preserve"> and intact upland forests </w:t>
      </w:r>
      <w:r w:rsidR="00E678F9" w:rsidRPr="00E678F9">
        <w:rPr>
          <w:rFonts w:eastAsiaTheme="minorEastAsia" w:cs="Times New Roman"/>
          <w:iCs/>
          <w:noProof/>
        </w:rPr>
        <w:t>(Frappier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 </w:t>
      </w:r>
      <w:r w:rsidR="00E678F9" w:rsidRPr="00E678F9">
        <w:rPr>
          <w:rFonts w:eastAsiaTheme="minorEastAsia" w:cs="Times New Roman"/>
          <w:iCs/>
          <w:noProof/>
        </w:rPr>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 </w:t>
      </w:r>
      <w:r w:rsidR="0049075C" w:rsidRPr="0049075C">
        <w:rPr>
          <w:rFonts w:eastAsiaTheme="minorEastAsia" w:cs="Times New Roman"/>
          <w:iCs/>
          <w:noProof/>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17E422FE"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Pr>
          <w:rFonts w:eastAsiaTheme="minorEastAsia" w:cs="Times New Roman"/>
          <w:iCs/>
        </w:rPr>
        <w:t xml:space="preserve"> </w:t>
      </w:r>
      <w:r w:rsidRPr="008B0C2B">
        <w:rPr>
          <w:rFonts w:eastAsiaTheme="minorEastAsia" w:cs="Times New Roman"/>
          <w:iCs/>
          <w:noProof/>
        </w:rPr>
        <w:t>(Ramula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361F91" w:rsidRPr="00361F91">
        <w:rPr>
          <w:rFonts w:eastAsiaTheme="minorEastAsia" w:cs="Times New Roman"/>
          <w:iCs/>
          <w:noProof/>
        </w:rPr>
        <w:lastRenderedPageBreak/>
        <w:t>(Mason et al. 2008)</w:t>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w:t>
      </w:r>
      <w:proofErr w:type="spellStart"/>
      <w:r w:rsidR="00CA5B08">
        <w:rPr>
          <w:rFonts w:eastAsiaTheme="minorEastAsia" w:cs="Times New Roman"/>
          <w:i/>
          <w:iCs/>
        </w:rPr>
        <w:t>alnus</w:t>
      </w:r>
      <w:proofErr w:type="spellEnd"/>
      <w:r w:rsidR="00CA5B08">
        <w:rPr>
          <w:rFonts w:eastAsiaTheme="minorEastAsia" w:cs="Times New Roman"/>
          <w:i/>
          <w:iCs/>
        </w:rPr>
        <w:t xml:space="preserve"> </w:t>
      </w:r>
      <w:r w:rsidR="00DD738A">
        <w:rPr>
          <w:rFonts w:eastAsiaTheme="minorEastAsia" w:cs="Times New Roman"/>
          <w:iCs/>
        </w:rPr>
        <w:t>outpacing recruitment of native species</w:t>
      </w:r>
      <w:r w:rsidR="002F5D6C">
        <w:rPr>
          <w:rFonts w:eastAsiaTheme="minorEastAsia" w:cs="Times New Roman"/>
          <w:iCs/>
        </w:rPr>
        <w:t xml:space="preserve"> </w:t>
      </w:r>
      <w:r w:rsidR="002F5D6C" w:rsidRPr="002F5D6C">
        <w:rPr>
          <w:rFonts w:eastAsiaTheme="minorEastAsia" w:cs="Times New Roman"/>
          <w:iCs/>
          <w:noProof/>
        </w:rPr>
        <w:t>(Medan 1994, Lee and Thompson 2012, Mills et al. 2012)</w:t>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827232">
        <w:rPr>
          <w:rFonts w:eastAsiaTheme="minorEastAsia" w:cs="Times New Roman"/>
          <w:iCs/>
        </w:rPr>
        <w:t xml:space="preserve"> </w:t>
      </w:r>
      <w:r w:rsidR="00827232" w:rsidRPr="00827232">
        <w:rPr>
          <w:rFonts w:eastAsiaTheme="minorEastAsia" w:cs="Times New Roman"/>
          <w:iCs/>
          <w:noProof/>
        </w:rPr>
        <w:t>(Cunard and Lee 2008)</w:t>
      </w:r>
      <w:r w:rsidR="00827232">
        <w:rPr>
          <w:rFonts w:eastAsiaTheme="minorEastAsia" w:cs="Times New Roman"/>
          <w:iCs/>
        </w:rPr>
        <w:t xml:space="preserve">. </w:t>
      </w:r>
    </w:p>
    <w:p w14:paraId="659EADA6" w14:textId="59EDB853"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8D4B86" w:rsidRPr="00910A69">
        <w:rPr>
          <w:rFonts w:cs="Times New Roman"/>
          <w:iCs/>
          <w:noProof/>
        </w:rPr>
        <w:t>(Pyšek and Hulme 2005)</w:t>
      </w:r>
      <w:r w:rsidR="008D4B86">
        <w:rPr>
          <w:rFonts w:cs="Times New Roman"/>
          <w:iCs/>
        </w:rPr>
        <w:t xml:space="preserve"> and can be critical to attaining good model fits in grid-based simulations </w:t>
      </w:r>
      <w:r w:rsidR="008D4B86" w:rsidRPr="00910A69">
        <w:rPr>
          <w:rFonts w:cs="Times New Roman"/>
          <w:iCs/>
          <w:noProof/>
        </w:rPr>
        <w:t>(Merow et al. 2011)</w:t>
      </w:r>
      <w:r w:rsidR="008D4B86">
        <w:rPr>
          <w:rFonts w:cs="Times New Roman"/>
          <w:iCs/>
        </w:rPr>
        <w:t>. LDD in particular has been shown to be important for predicting species spread</w:t>
      </w:r>
      <w:r w:rsidR="00FB6669">
        <w:rPr>
          <w:rFonts w:cs="Times New Roman"/>
          <w:iCs/>
        </w:rPr>
        <w:t xml:space="preserve"> </w:t>
      </w:r>
      <w:r w:rsidR="00FB6669" w:rsidRPr="00FB6669">
        <w:rPr>
          <w:rFonts w:cs="Times New Roman"/>
          <w:iCs/>
          <w:noProof/>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 xml:space="preserve">on the order of tens to hundreds of meters; </w:t>
      </w:r>
      <w:r w:rsidR="00234BD0" w:rsidRPr="00234BD0">
        <w:rPr>
          <w:rFonts w:cs="Times New Roman"/>
          <w:iCs/>
          <w:noProof/>
        </w:rPr>
        <w:t>(Frappier et al. 2003b, Hampe 2004, 2008, Berg 2011)</w:t>
      </w:r>
      <w:r w:rsidR="00530D11">
        <w:rPr>
          <w:rFonts w:cs="Times New Roman"/>
          <w:iCs/>
        </w:rPr>
        <w:t xml:space="preserve">. Further, though birds consume fruit and disperse seeds via defecation </w:t>
      </w:r>
      <w:r w:rsidR="00530D11" w:rsidRPr="00530D11">
        <w:rPr>
          <w:rFonts w:cs="Times New Roman"/>
          <w:iCs/>
          <w:noProof/>
        </w:rPr>
        <w:t>(Godwin 1943, Hampe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 xml:space="preserve">transport, as is the case for many invasive species </w:t>
      </w:r>
      <w:r w:rsidR="008D4B86" w:rsidRPr="00910A69">
        <w:rPr>
          <w:rFonts w:cs="Times New Roman"/>
          <w:iCs/>
          <w:noProof/>
        </w:rPr>
        <w:t>(Mack et al. 2000, Herron et al. 2007, Jongejans et al. 2008, Gavier-Pizarro et al. 2010, Sullivan et al. 2012</w:t>
      </w:r>
      <w:r w:rsidR="00CA5B08">
        <w:rPr>
          <w:rFonts w:cs="Times New Roman"/>
          <w:iCs/>
          <w:noProof/>
        </w:rPr>
        <w:t>, LARKIN 2011</w:t>
      </w:r>
      <w:r w:rsidR="008D4B86" w:rsidRPr="00910A69">
        <w:rPr>
          <w:rFonts w:cs="Times New Roman"/>
          <w:iCs/>
          <w:noProof/>
        </w:rPr>
        <w:t>)</w:t>
      </w:r>
      <w:r w:rsidR="008D7EE0">
        <w:rPr>
          <w:rFonts w:cs="Times New Roman"/>
          <w:iCs/>
        </w:rPr>
        <w:t xml:space="preserve">. </w:t>
      </w:r>
    </w:p>
    <w:p w14:paraId="20C6D5FF" w14:textId="57CC355B"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 xml:space="preserve">he IPM framework used for the demographic model does not readily incorporate the effects of demographic stochasticity </w:t>
      </w:r>
      <w:r w:rsidR="00910A69" w:rsidRPr="00910A69">
        <w:rPr>
          <w:noProof/>
        </w:rPr>
        <w:t>(Ellner and Rees 2007, Rees and Ellner 2009)</w:t>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 </w:t>
      </w:r>
      <w:r w:rsidR="00910A69" w:rsidRPr="00910A69">
        <w:rPr>
          <w:noProof/>
        </w:rPr>
        <w:t>(Vindenes et al. 2011)</w:t>
      </w:r>
      <w:r w:rsidR="00FF24C7">
        <w:t xml:space="preserve">, but </w:t>
      </w:r>
      <w:r w:rsidR="00336C73">
        <w:t>further development</w:t>
      </w:r>
      <w:r w:rsidR="00FF24C7">
        <w:t xml:space="preserve"> is needed.</w:t>
      </w:r>
      <w:r w:rsidR="00E70C9A">
        <w:t xml:space="preserve"> </w:t>
      </w:r>
    </w:p>
    <w:p w14:paraId="2EEF28C0" w14:textId="7777777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 xml:space="preserve">overall lower habitat suitability values. I chose the simpler model to avoid potential effects of over-fitting </w:t>
      </w:r>
      <w:r w:rsidR="00910A69" w:rsidRPr="00910A69">
        <w:rPr>
          <w:rFonts w:cs="Times New Roman"/>
          <w:iCs/>
          <w:noProof/>
        </w:rPr>
        <w:t>(Syfert et al. 2013, Merow et al. 2013b)</w:t>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6BAFA50F"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 </w:t>
      </w:r>
      <w:r w:rsidR="00910A69" w:rsidRPr="00910A69">
        <w:rPr>
          <w:rFonts w:cs="Times New Roman"/>
          <w:iCs/>
          <w:noProof/>
        </w:rPr>
        <w:t>(Adams 1927, Godwin 1936, Berg 2011)</w:t>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3E61DD6F" w14:textId="6BC00DAD" w:rsidR="00EE16B0" w:rsidRDefault="00FF24C7" w:rsidP="00B14AB9">
      <w:pPr>
        <w:spacing w:line="480" w:lineRule="auto"/>
        <w:rPr>
          <w:rFonts w:eastAsiaTheme="majorEastAsia" w:cstheme="majorBidi"/>
          <w:b/>
          <w:bCs/>
          <w:color w:val="4F81BD" w:themeColor="accent1"/>
          <w:szCs w:val="32"/>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seeds remain viable for upwards of three years </w:t>
      </w:r>
      <w:r w:rsidR="00910A69" w:rsidRPr="00910A69">
        <w:rPr>
          <w:rFonts w:cs="Times New Roman"/>
          <w:iCs/>
          <w:noProof/>
        </w:rPr>
        <w:t>(Godwin 1943, Granstrom 1988)</w:t>
      </w:r>
      <w:r>
        <w:rPr>
          <w:rFonts w:cs="Times New Roman"/>
          <w:iCs/>
        </w:rPr>
        <w:t xml:space="preserve"> and there is some evidence for a role for a seed bank after experimental removal </w:t>
      </w:r>
      <w:r w:rsidR="00910A69" w:rsidRPr="00910A69">
        <w:rPr>
          <w:rFonts w:cs="Times New Roman"/>
          <w:iCs/>
          <w:noProof/>
        </w:rPr>
        <w:t>(Frappier et al. 2004)</w:t>
      </w:r>
      <w:r>
        <w:rPr>
          <w:rFonts w:cs="Times New Roman"/>
          <w:iCs/>
        </w:rPr>
        <w:t xml:space="preserve">. However others have found no evidence for a role of seed banks in the population dynamics of this species </w:t>
      </w:r>
      <w:r w:rsidR="00910A69" w:rsidRPr="00910A69">
        <w:rPr>
          <w:rFonts w:cs="Times New Roman"/>
          <w:iCs/>
          <w:noProof/>
        </w:rPr>
        <w:t>(Kostel-Hughes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r w:rsidR="00EE16B0">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w:t>
            </w:r>
            <w:proofErr w:type="spellStart"/>
            <w:r w:rsidRPr="00DD5377">
              <w:rPr>
                <w:rFonts w:cs="Times New Roman"/>
                <w:sz w:val="22"/>
                <w:szCs w:val="22"/>
              </w:rPr>
              <w:t>affects</w:t>
            </w:r>
            <w:proofErr w:type="spellEnd"/>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6" w:name="OLE_LINK7"/>
            <w:bookmarkStart w:id="7" w:name="OLE_LINK8"/>
            <w:r w:rsidRPr="00DD5377">
              <w:rPr>
                <w:rFonts w:cs="Times New Roman"/>
                <w:sz w:val="22"/>
                <w:szCs w:val="22"/>
              </w:rPr>
              <w:t>Julian day number at start of growing season</w:t>
            </w:r>
            <w:bookmarkEnd w:id="6"/>
            <w:bookmarkEnd w:id="7"/>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B14AB9" w:rsidRPr="00111CAC" w:rsidRDefault="00B14AB9"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B14AB9" w:rsidRPr="00111CAC" w:rsidRDefault="00B14AB9"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B14AB9" w:rsidRPr="00111CAC" w:rsidRDefault="00B14AB9"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B14AB9" w:rsidRPr="00111CAC" w:rsidRDefault="00B14AB9"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B14AB9" w:rsidRPr="00111CAC" w:rsidRDefault="00B14AB9"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B14AB9" w:rsidRPr="00111CAC" w:rsidRDefault="00B14AB9"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B14AB9" w:rsidRPr="00111CAC" w:rsidRDefault="00B14AB9">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B14AB9" w:rsidRPr="00111CAC" w:rsidRDefault="00B14AB9">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1"/>
          <w:footerReference w:type="default" r:id="rId12"/>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3">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1FE9BCEA" w14:textId="77777777" w:rsidR="00FF24C7" w:rsidRDefault="00FF24C7" w:rsidP="00FF24C7">
      <w:commentRangeStart w:id="8"/>
      <w:r>
        <w:rPr>
          <w:b/>
        </w:rPr>
        <w:lastRenderedPageBreak/>
        <w:t>Figure 3</w:t>
      </w:r>
      <w:commentRangeEnd w:id="8"/>
      <w:r w:rsidR="009871BA">
        <w:rPr>
          <w:rStyle w:val="CommentReference"/>
        </w:rPr>
        <w:commentReference w:id="8"/>
      </w:r>
      <w:r w:rsidRPr="003C38F3">
        <w:rPr>
          <w:b/>
        </w:rPr>
        <w:t>.</w:t>
      </w:r>
      <w:r>
        <w:t xml:space="preserve"> Paired scatter plots, box plots, and histograms representing 500 randomly generated input parameter sets used in linked demographic and species distribution simulation models.</w:t>
      </w:r>
    </w:p>
    <w:p w14:paraId="65011CB2" w14:textId="77777777" w:rsidR="00FF24C7" w:rsidRPr="003C38F3" w:rsidRDefault="00FF24C7" w:rsidP="00FF24C7">
      <w:pPr>
        <w:rPr>
          <w:rFonts w:ascii="Times" w:eastAsiaTheme="minorEastAsia" w:hAnsi="Times" w:cs="Times New Roman"/>
        </w:rPr>
      </w:pPr>
      <w:r>
        <w:rPr>
          <w:rFonts w:ascii="Times" w:eastAsiaTheme="minorEastAsia" w:hAnsi="Times" w:cs="Times New Roman"/>
          <w:noProof/>
        </w:rPr>
        <w:drawing>
          <wp:inline distT="0" distB="0" distL="0" distR="0" wp14:anchorId="478264CC" wp14:editId="7061B7DA">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ens_Sim_Sens_gt_05.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B6C1A3" w14:textId="77777777" w:rsidR="00FF24C7" w:rsidRDefault="00FF24C7" w:rsidP="00FF24C7">
      <w:pPr>
        <w:rPr>
          <w:b/>
        </w:rPr>
      </w:pPr>
      <w:r>
        <w:rPr>
          <w:b/>
        </w:rPr>
        <w:br w:type="page"/>
      </w:r>
    </w:p>
    <w:p w14:paraId="5C2F7669" w14:textId="410B2ECD" w:rsidR="00FF24C7" w:rsidRPr="00174688" w:rsidRDefault="00FF24C7" w:rsidP="00FF24C7">
      <w:commentRangeStart w:id="9"/>
      <w:r w:rsidRPr="00642FC2">
        <w:rPr>
          <w:b/>
        </w:rPr>
        <w:lastRenderedPageBreak/>
        <w:t xml:space="preserve">Figure </w:t>
      </w:r>
      <w:r>
        <w:rPr>
          <w:b/>
        </w:rPr>
        <w:t>4</w:t>
      </w:r>
      <w:commentRangeEnd w:id="9"/>
      <w:r w:rsidR="009871BA">
        <w:rPr>
          <w:rStyle w:val="CommentReference"/>
        </w:rPr>
        <w:commentReference w:id="9"/>
      </w:r>
      <w:r>
        <w:rPr>
          <w:b/>
        </w:rPr>
        <w:t>.</w:t>
      </w:r>
      <w:r>
        <w:t xml:space="preserve"> Sensitivity of simulation models as calculated in 1925, 1950, 1975, and 2000. </w:t>
      </w:r>
      <w:bookmarkStart w:id="10" w:name="OLE_LINK3"/>
      <w:bookmarkStart w:id="11" w:name="OLE_LINK4"/>
      <w:r>
        <w:t xml:space="preserve">Simulations plotted here were those using plot effective density dependence, land-use change, and long-distance dispersal weighted by human population density. </w:t>
      </w:r>
      <w:bookmarkEnd w:id="10"/>
      <w:bookmarkEnd w:id="11"/>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 xml:space="preserve">Results from three different occupancy thresholds are represented by three different colors. </w:t>
      </w:r>
    </w:p>
    <w:p w14:paraId="23DE7F13" w14:textId="77777777" w:rsidR="00FF24C7" w:rsidRPr="001428D6" w:rsidRDefault="00FF24C7" w:rsidP="00FF24C7">
      <w:r w:rsidRPr="00CE786A">
        <w:rPr>
          <w:b/>
          <w:noProof/>
        </w:rPr>
        <w:drawing>
          <wp:inline distT="0" distB="0" distL="0" distR="0" wp14:anchorId="6FD72CEA" wp14:editId="7D291057">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r>
        <w:rPr>
          <w:b/>
        </w:rPr>
        <w:lastRenderedPageBreak/>
        <w:t>Figure 5.</w:t>
      </w:r>
      <w:r>
        <w:t xml:space="preserve"> Number of patches classified as occupied in 1925, 1950, 1975, and 2000. The total number of patches that could be potentially occupied was limited to those patches in which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or an associated species were observed in historically (total patches = 974).</w:t>
      </w:r>
      <w:r>
        <w:t xml:space="preserve"> Simulations plotted here were those using plot effective density dependence, land-use change, and random long-distance dispersal weighted by human population density. </w:t>
      </w:r>
      <w:bookmarkStart w:id="12" w:name="OLE_LINK5"/>
      <w:bookmarkStart w:id="13" w:name="OLE_LINK6"/>
      <w:r>
        <w:t xml:space="preserve">Results from three different occupancy thresholds are represented by three different colors. </w:t>
      </w:r>
      <w:bookmarkEnd w:id="12"/>
      <w:bookmarkEnd w:id="13"/>
      <w:r>
        <w:t xml:space="preserve">The total number of patches that were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based on collected occurrence records were: 1925 – 20, 1950 – 58, 1975 – 143, and 2000 – 267.</w:t>
      </w:r>
    </w:p>
    <w:p w14:paraId="29BDC915" w14:textId="77777777" w:rsidR="00FF24C7" w:rsidRDefault="00FF24C7" w:rsidP="00FF24C7">
      <w:pPr>
        <w:rPr>
          <w:b/>
          <w:u w:val="single"/>
        </w:rPr>
      </w:pPr>
      <w:r w:rsidRPr="007C527B">
        <w:rPr>
          <w:b/>
          <w:noProof/>
        </w:rPr>
        <w:drawing>
          <wp:inline distT="0" distB="0" distL="0" distR="0" wp14:anchorId="1B28BD44" wp14:editId="5D751B24">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pancy_DensEff_PopD_BoxPlot.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p>
    <w:p w14:paraId="06F4ED87" w14:textId="3057E8A7" w:rsidR="00C20F22" w:rsidRPr="00534F05" w:rsidRDefault="007F767B">
      <w:pPr>
        <w:spacing w:after="0"/>
      </w:pPr>
      <w:r>
        <w:rPr>
          <w:b/>
        </w:rPr>
        <w:lastRenderedPageBreak/>
        <w:t>Figure 6</w:t>
      </w:r>
      <w:r w:rsidR="00C20F22">
        <w:rPr>
          <w:b/>
        </w:rPr>
        <w:t xml:space="preserve">. </w:t>
      </w:r>
      <w:r w:rsidR="00534F05">
        <w:t xml:space="preserve">Sensitivity versus positive predictive power for simulations using plot effective density dependence, land-use change, and long-distance dispersal weighted by human population density. Model fit measures were calculated based on an occupancy threshold of 1000 individuals. Simulations classified as having a combined sensitivity and positive predictive power metric value of 1 (90 of 500 simulations) are </w:t>
      </w:r>
      <w:r w:rsidR="00DF0135">
        <w:t>black, all others are grey</w:t>
      </w:r>
      <w:bookmarkStart w:id="14" w:name="_GoBack"/>
      <w:bookmarkEnd w:id="14"/>
      <w:r w:rsidR="00534F05">
        <w:t>.</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60BD84B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20"/>
                    <a:stretch>
                      <a:fillRect/>
                    </a:stretch>
                  </pic:blipFill>
                  <pic:spPr>
                    <a:xfrm>
                      <a:off x="0" y="0"/>
                      <a:ext cx="5943600" cy="5943600"/>
                    </a:xfrm>
                    <a:prstGeom prst="rect">
                      <a:avLst/>
                    </a:prstGeom>
                  </pic:spPr>
                </pic:pic>
              </a:graphicData>
            </a:graphic>
          </wp:inline>
        </w:drawing>
      </w:r>
      <w:r w:rsidR="00C20F22">
        <w:rPr>
          <w:b/>
        </w:rPr>
        <w:br w:type="page"/>
      </w:r>
    </w:p>
    <w:p w14:paraId="70D7E18C" w14:textId="3DBE9466" w:rsidR="00FF24C7" w:rsidRDefault="007F767B" w:rsidP="00FF24C7">
      <w:r>
        <w:rPr>
          <w:b/>
        </w:rPr>
        <w:lastRenderedPageBreak/>
        <w:t>Figure 7</w:t>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Black line represents cumulative </w:t>
      </w:r>
      <w:r w:rsidR="00403E2C">
        <w:t xml:space="preserve">occupied area for </w:t>
      </w:r>
      <w:r w:rsidR="00403E2C">
        <w:rPr>
          <w:rFonts w:eastAsiaTheme="minorEastAsia" w:cs="Times New Roman"/>
          <w:i/>
          <w:iCs/>
        </w:rPr>
        <w:t xml:space="preserve">F. </w:t>
      </w:r>
      <w:proofErr w:type="spellStart"/>
      <w:r w:rsidR="00403E2C">
        <w:rPr>
          <w:rFonts w:eastAsiaTheme="minorEastAsia" w:cs="Times New Roman"/>
          <w:i/>
          <w:iCs/>
        </w:rPr>
        <w:t>alnus</w:t>
      </w:r>
      <w:proofErr w:type="spellEnd"/>
      <w:r w:rsidR="00FF24C7">
        <w:t xml:space="preserve"> based on historical occurrence records. Results from three different occupancy thresholds are represented by three different colors.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28AF0F4C">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B14AB9" w:rsidRPr="00352380" w:rsidRDefault="00B14AB9"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B14AB9" w:rsidRPr="00352380" w:rsidRDefault="00B14AB9"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B14AB9" w:rsidRPr="00B04956" w:rsidRDefault="00B14AB9"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B14AB9" w:rsidRPr="00B04956" w:rsidRDefault="00B14AB9"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B14AB9" w:rsidRPr="00352380" w:rsidRDefault="00B14AB9"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B14AB9" w:rsidRPr="00352380" w:rsidRDefault="00B14AB9"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2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B14AB9" w:rsidRPr="00B04956" w:rsidRDefault="00B14AB9"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B14AB9" w:rsidRPr="00B04956" w:rsidRDefault="00B14AB9"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65686715" w14:textId="1B558F8A"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Adams, J. 1927. The germination of the seeds of some plants with fleshy fruits. American Journal of Botany:415–428.</w:t>
      </w:r>
    </w:p>
    <w:p w14:paraId="71477E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Aiello-Lammens, M. E., M. L. Chu-Agor, M. Convertino, R. A. Fischer, I. Linkov, and H. R. Akçakaya. 2011. The impact of sea-level rise on Snowy Plovers in Florida: integrating geomorphological, habitat, and metapopulation models. Global Change Biology 17:3644–3654.</w:t>
      </w:r>
    </w:p>
    <w:p w14:paraId="5ECBCCB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2010a. Lag-phases in alien plant invasions: separating the facts from the artefacts. Oikos 119:370–378.</w:t>
      </w:r>
    </w:p>
    <w:p w14:paraId="4B7A2DF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2010b. Herbarium records identify the role of long-distance spread in the spatial distribution of alien plants in New Zealand. Journal of Biogeography 37:1740–1751.</w:t>
      </w:r>
    </w:p>
    <w:p w14:paraId="294295F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2000. Population viability analyses with demographically and spatially structured models. Ecological Bulletins:23–38.</w:t>
      </w:r>
    </w:p>
    <w:p w14:paraId="7A7F8C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2001. Linking population-level risk assessment with landscape and habitat models. The Science of the total environment 274:283–291.</w:t>
      </w:r>
    </w:p>
    <w:p w14:paraId="0A2DBE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2002. RAMAS GIS: Linking Spatial Data with Population Viability Analysis. Applied Biomathematics, Setauket.</w:t>
      </w:r>
    </w:p>
    <w:p w14:paraId="17EB2EB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V. C. Radeloff, D. J. Mladenoff, and H. S. He. 2004. Integrating landscape and metapopulation modeling approaches: viability of the sharp</w:t>
      </w:r>
      <w:r w:rsidRPr="004475C3">
        <w:rPr>
          <w:rFonts w:ascii="Cambria Math" w:hAnsi="Cambria Math" w:cs="Cambria Math"/>
          <w:noProof/>
        </w:rPr>
        <w:t>‐</w:t>
      </w:r>
      <w:r w:rsidRPr="004475C3">
        <w:rPr>
          <w:rFonts w:cs="Times New Roman"/>
          <w:noProof/>
        </w:rPr>
        <w:t>tailed grouse in a dynamic landscape. Conservation Biology 18:526–537.</w:t>
      </w:r>
    </w:p>
    <w:p w14:paraId="346C4E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Anderson, R. P. 2012. Harnessing the world’s biodiversity data: promise and peril in ecological niche modeling of species distributions. Annals of the New York Academy of Sciences 1260:66–80.</w:t>
      </w:r>
    </w:p>
    <w:p w14:paraId="3A0739D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Barney, J. N. 2006. North American history of two invasive plant species: phytogeographic distribution, dispersal vectors, and multiple introductions. Biological Invasions 8:703–717.</w:t>
      </w:r>
    </w:p>
    <w:p w14:paraId="4243218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Berg, J. 2011. Susceptibility of five wetland community types to invasion by Glossy Buckthorn (</w:t>
      </w:r>
      <w:r w:rsidRPr="004475C3">
        <w:rPr>
          <w:rFonts w:cs="Times New Roman"/>
          <w:i/>
          <w:iCs/>
          <w:noProof/>
        </w:rPr>
        <w:t>Frangula alnus</w:t>
      </w:r>
      <w:r w:rsidRPr="004475C3">
        <w:rPr>
          <w:rFonts w:cs="Times New Roman"/>
          <w:noProof/>
        </w:rPr>
        <w:t xml:space="preserve"> Mill.). University of Wisconsin-Milwaukee.</w:t>
      </w:r>
    </w:p>
    <w:p w14:paraId="246A473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Blackburn, T. M., P. Pyšek, S. Bacher, J. T. Carlton, R. P. Duncan, V. Jarošík, J. R. U. Wilson, and D. M. Richardson. 2011. A proposed unified framework for biological invasions. Trends in Ecology &amp; Evolution 26:333–339.</w:t>
      </w:r>
    </w:p>
    <w:p w14:paraId="1C3B80B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Boyce, M. S., P. R. Vernier, S. E. Nielsen, and F. K. A. Schmiegelow. 2002. Evaluating resource selection functions. Ecological Modelling 157:281–300.</w:t>
      </w:r>
    </w:p>
    <w:p w14:paraId="31C4F3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Brook, B. W., H. R. Akçakaya, D. A. Keith, G. M. Mace, R. G. Pearson, and M. B. Araújo. 2009. Integrating bioclimate with population models to improve forecasts of species extinctions under climate change. Biology Letters 5:723–725.</w:t>
      </w:r>
    </w:p>
    <w:p w14:paraId="6BBD3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Burnham, K. M., and T. D. Lee. 2009. Canopy gaps facilitate establishment, growth, and reproduction of invasive </w:t>
      </w:r>
      <w:r w:rsidRPr="004475C3">
        <w:rPr>
          <w:rFonts w:cs="Times New Roman"/>
          <w:i/>
          <w:iCs/>
          <w:noProof/>
        </w:rPr>
        <w:t>Frangula alnus</w:t>
      </w:r>
      <w:r w:rsidRPr="004475C3">
        <w:rPr>
          <w:rFonts w:cs="Times New Roman"/>
          <w:noProof/>
        </w:rPr>
        <w:t xml:space="preserve"> in a </w:t>
      </w:r>
      <w:r w:rsidRPr="004475C3">
        <w:rPr>
          <w:rFonts w:cs="Times New Roman"/>
          <w:i/>
          <w:iCs/>
          <w:noProof/>
        </w:rPr>
        <w:t>Tsuga canadensis</w:t>
      </w:r>
      <w:r w:rsidRPr="004475C3">
        <w:rPr>
          <w:rFonts w:cs="Times New Roman"/>
          <w:noProof/>
        </w:rPr>
        <w:t xml:space="preserve"> dominated forest. Biological </w:t>
      </w:r>
      <w:r w:rsidRPr="004475C3">
        <w:rPr>
          <w:rFonts w:cs="Times New Roman"/>
          <w:noProof/>
        </w:rPr>
        <w:lastRenderedPageBreak/>
        <w:t>Invasions 12:1509–1520.</w:t>
      </w:r>
    </w:p>
    <w:p w14:paraId="54B5D4E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Cadotte, M. W., and J. Lovett-Doust. 2001. Ecological and taxonomic differences between native and introduced plants of southwestern Ontario. Ecoscience 8:230–238.</w:t>
      </w:r>
    </w:p>
    <w:p w14:paraId="5EB690B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Caswell, H. 2006. Matrix Population Models: Construction, Analysis, and Interpretation. Second. Sinauer Associates, Sunderland, MA.</w:t>
      </w:r>
    </w:p>
    <w:p w14:paraId="1CD9B52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Catling, P. M., and Z. S. Porebski. 1994. The history of invasion and current status of glossy buckthorn, </w:t>
      </w:r>
      <w:r w:rsidRPr="004475C3">
        <w:rPr>
          <w:rFonts w:cs="Times New Roman"/>
          <w:i/>
          <w:iCs/>
          <w:noProof/>
        </w:rPr>
        <w:t>Rhamnus frangula</w:t>
      </w:r>
      <w:r w:rsidRPr="004475C3">
        <w:rPr>
          <w:rFonts w:cs="Times New Roman"/>
          <w:noProof/>
        </w:rPr>
        <w:t>, in southern Ontario. Canadian field-naturalist 108:305–310.</w:t>
      </w:r>
    </w:p>
    <w:p w14:paraId="6707BE1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Clark, J. S., M. Lewis, and L. Horvath. 2001. Invasion by extremes: population spread with variation in dispersal and reproduction. The American Naturalist 157:537–54.</w:t>
      </w:r>
    </w:p>
    <w:p w14:paraId="2F1423D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Comita, L., and S. Hubbell. 2009. Local neighborhood and species’ shade tolerance influence survival in a diverse seedling bank. Ecology 90:328–334.</w:t>
      </w:r>
    </w:p>
    <w:p w14:paraId="32AEC9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Coutts, S. R., and H. Yokomizo. 2013. Meta-models as a straightforward approach to the sensitivity analysis of complex models. Population Ecology 56:7–19.</w:t>
      </w:r>
    </w:p>
    <w:p w14:paraId="7683F5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Crone, E. E., E. S. Menges, M. M. Ellis, T. Bell, P. Bierzychudek, J. Ehrlén, T. N. Kaye, T. M. Knight, P. Lesica, W. F. Morris, G. Oostermeijer, P. F. Quintana-Ascencio, A. Stanley, T. Ticktin, T. Valverde, and J. L. Williams. 2010. How do plant ecologists use matrix population models? Ecology Letters 14:1–8.</w:t>
      </w:r>
    </w:p>
    <w:p w14:paraId="3F79F91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2005. Lag times and exotic species: the ecology and management of biological invasions in slow-motion. Ecoscience 12:316–329.</w:t>
      </w:r>
    </w:p>
    <w:p w14:paraId="4554C62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A., and M. E. Soulé. 1999. Lag times in population explosions of invasive species: causes and implications. Pages 103–125</w:t>
      </w:r>
      <w:r w:rsidRPr="004475C3">
        <w:rPr>
          <w:rFonts w:cs="Times New Roman"/>
          <w:i/>
          <w:iCs/>
          <w:noProof/>
        </w:rPr>
        <w:t>in</w:t>
      </w:r>
      <w:r w:rsidRPr="004475C3">
        <w:rPr>
          <w:rFonts w:cs="Times New Roman"/>
          <w:noProof/>
        </w:rPr>
        <w:t xml:space="preserve"> O. T. Sandlund, P. J. Schei, and A. Viken, editors.Invasive species and biodiversity management. Kluwer Academic Dordrecht, The Netherlands.</w:t>
      </w:r>
    </w:p>
    <w:p w14:paraId="6043DE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Cunard, C., and T. D. Lee. 2008. Is patience a virtue? Succession, light, and the death of invasive glossy buckthorn (</w:t>
      </w:r>
      <w:r w:rsidRPr="004475C3">
        <w:rPr>
          <w:rFonts w:cs="Times New Roman"/>
          <w:i/>
          <w:iCs/>
          <w:noProof/>
        </w:rPr>
        <w:t>Frangula alnus</w:t>
      </w:r>
      <w:r w:rsidRPr="004475C3">
        <w:rPr>
          <w:rFonts w:cs="Times New Roman"/>
          <w:noProof/>
        </w:rPr>
        <w:t>). Biological Invasions 11:577–586.</w:t>
      </w:r>
    </w:p>
    <w:p w14:paraId="26AB796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A. S., D. A. Landis, V. Nuzzo, B. Blossey, E. Gerber, and H. L. Hinz. 2006. Demographic models inform selection of biocontrol agents for garlic mustard (</w:t>
      </w:r>
      <w:r w:rsidRPr="004475C3">
        <w:rPr>
          <w:rFonts w:cs="Times New Roman"/>
          <w:i/>
          <w:iCs/>
          <w:noProof/>
        </w:rPr>
        <w:t>Alliaria petiolata</w:t>
      </w:r>
      <w:r w:rsidRPr="004475C3">
        <w:rPr>
          <w:rFonts w:cs="Times New Roman"/>
          <w:noProof/>
        </w:rPr>
        <w:t>). Ecological Applications 16:2399–2410.</w:t>
      </w:r>
    </w:p>
    <w:p w14:paraId="1B5D8A5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M., J. Grime, and K. Thompson. 2000. Fluctuating resources in plant communites: a general theory of invasibility. Journal of Ecology 88:528–534.</w:t>
      </w:r>
    </w:p>
    <w:p w14:paraId="6E8FD86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Delisle, F., C. Lavoie, M. Jean, and D. Lachance. 2003. Reconstructing the spread of invasive plants: taking into account biases associated with herbarium specimens. Journal of Biogeography 30:1033–1042.</w:t>
      </w:r>
    </w:p>
    <w:p w14:paraId="1F6CFF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Dietz, H., and P. J. Edwards. 2006. Recognition that causal processes change during plant invasion helps explain conflicts in evidence. Ecology 87:1359–1367.</w:t>
      </w:r>
    </w:p>
    <w:p w14:paraId="339B00B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Dwyer, J. M., R. J. Fensham, R. J. Fairfax, and Y. M. Buckley. 2010. Neighbourhood effects influence drought-induced mortality of savanna trees in Australia. Journal of Vegetation Science 21:573–585.</w:t>
      </w:r>
    </w:p>
    <w:p w14:paraId="5C76981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Easterling, M. R., S. P. Ellner, and P. M. Dixon. 2000. Size-specific sensitivity: applying a new structured population model. Ecology 81:694–708.</w:t>
      </w:r>
    </w:p>
    <w:p w14:paraId="4CB6562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EDDMapS. (n.d.). Early detection and distribution mapping system.</w:t>
      </w:r>
    </w:p>
    <w:p w14:paraId="0A1399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C. H. Graham, R. P. Anderson, M. Dudík, S. Ferrier, A. Guisan, R. J. Hijmans, F. Huettmann, J. R. Leathwick, and A. Lehmann. 2006. Novel methods improve prediction of species’ distributions from occurrence data. Ecography 29:129–151.</w:t>
      </w:r>
    </w:p>
    <w:p w14:paraId="2CF343C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J. R. Leathwick, and T. Hastie. 2008. A working guide to boosted regression trees. Journal of Animal Ecology 77:802–813.</w:t>
      </w:r>
    </w:p>
    <w:p w14:paraId="0B7BB8B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S. J. Phillips, T. Hastie, M. Dudík, Y. E. Chee, and C. J. Yates. 2010. A statistical explanation of MaxEnt for ecologists. Diversity and Distributions 17:43–57.</w:t>
      </w:r>
    </w:p>
    <w:p w14:paraId="246AA17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2006. Integral projection models for species with complex demography. The American Naturalist 167:410–428.</w:t>
      </w:r>
    </w:p>
    <w:p w14:paraId="29C05F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2007. Stochastic stable population growth in integral projection models: theory and application. Journal of mathematical biology 54:227–56.</w:t>
      </w:r>
    </w:p>
    <w:p w14:paraId="540EC1E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Ellstrand, N., and K. Schierenbeck. 2000. Hybridization as a stimulus for the evolution of invasiveness in plants? Proceedings of the National Academy of Sciences 97:7043–7050.</w:t>
      </w:r>
    </w:p>
    <w:p w14:paraId="5532260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Fagan, M. E., and D. R. Peart. 2004. Impact of the invasive shrub glossy buckthorn (</w:t>
      </w:r>
      <w:r w:rsidRPr="004475C3">
        <w:rPr>
          <w:rFonts w:cs="Times New Roman"/>
          <w:i/>
          <w:iCs/>
          <w:noProof/>
        </w:rPr>
        <w:t>Rhamnus frangula</w:t>
      </w:r>
      <w:r w:rsidRPr="004475C3">
        <w:rPr>
          <w:rFonts w:cs="Times New Roman"/>
          <w:noProof/>
        </w:rPr>
        <w:t xml:space="preserve"> L.) on juvenile recruitment by canopy trees. Forest Ecology and Management 194:95–107.</w:t>
      </w:r>
    </w:p>
    <w:p w14:paraId="7FEA4D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Fielding, A. H., and J. F. Bell. 1997. A review of methods for the assessment of prediction errors in conservation presence/absence models. Environmental Conservation 24:38–49.</w:t>
      </w:r>
    </w:p>
    <w:p w14:paraId="5AA79D3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and B. W. Brook. 2012. Modeling Range Shifts for Invasive Vertebrates in Response to Climate Change. Pages 1–31</w:t>
      </w:r>
      <w:r w:rsidRPr="004475C3">
        <w:rPr>
          <w:rFonts w:cs="Times New Roman"/>
          <w:i/>
          <w:iCs/>
          <w:noProof/>
        </w:rPr>
        <w:t>in</w:t>
      </w:r>
      <w:r w:rsidRPr="004475C3">
        <w:rPr>
          <w:rFonts w:cs="Times New Roman"/>
          <w:noProof/>
        </w:rPr>
        <w:t xml:space="preserve"> Brodie, editor.</w:t>
      </w:r>
    </w:p>
    <w:p w14:paraId="6B462C8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D. A. Keith, and B. W. Brook. 2013. Tools for integrating range change, extinction risk and climate change information into conservation management. Ecography 36:956–964.</w:t>
      </w:r>
    </w:p>
    <w:p w14:paraId="7E280F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Foster, B. L., and K. L. Gross. 1999. Temporal and spatial patterns of woody plant establishment in Michigan old fields. The American Midland Naturalist 142:229–243.</w:t>
      </w:r>
    </w:p>
    <w:p w14:paraId="61E9E85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2010. Moving beyond static species distribution models in support of conservation biogeography. Diversity and Distributions 16:321–330.</w:t>
      </w:r>
    </w:p>
    <w:p w14:paraId="65835A7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H. M. Regan, and A. D. Syphard. 2013. Linking spatially explicit species distribution and population models to plan for the persistence of plant species under global change. Environmental Conservation:1–13.</w:t>
      </w:r>
    </w:p>
    <w:p w14:paraId="7B33B4D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Frappier, B., R. T. Eckert, and T. D. Lee. 2003a. Potential impacts of the invasive exotic shrub Rhamnus frangula L. (glossy buckthorn) on forests of southern New Hampshire. Northeastern Naturalist 10:277–296.</w:t>
      </w:r>
    </w:p>
    <w:p w14:paraId="09AE96B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R. T. Eckert, and T. D. Lee. 2004. Experimental removal of the non-indigenous shrub </w:t>
      </w:r>
      <w:r w:rsidRPr="004475C3">
        <w:rPr>
          <w:rFonts w:cs="Times New Roman"/>
          <w:i/>
          <w:iCs/>
          <w:noProof/>
        </w:rPr>
        <w:t>Rhamnus frangula</w:t>
      </w:r>
      <w:r w:rsidRPr="004475C3">
        <w:rPr>
          <w:rFonts w:cs="Times New Roman"/>
          <w:noProof/>
        </w:rPr>
        <w:t xml:space="preserve"> (glossy buckthorn): Effects on native herbs and woody seedlings. Northeastern Naturalist 11:333–342.</w:t>
      </w:r>
    </w:p>
    <w:p w14:paraId="09D8E43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T. D. Lee, K. F. Olson, and R. T. Eckert. 2003b. Small-scale invasion pattern, spread rate, and lag-phase behavior of </w:t>
      </w:r>
      <w:r w:rsidRPr="004475C3">
        <w:rPr>
          <w:rFonts w:cs="Times New Roman"/>
          <w:i/>
          <w:iCs/>
          <w:noProof/>
        </w:rPr>
        <w:t>Rhamnus frangula</w:t>
      </w:r>
      <w:r w:rsidRPr="004475C3">
        <w:rPr>
          <w:rFonts w:cs="Times New Roman"/>
          <w:noProof/>
        </w:rPr>
        <w:t xml:space="preserve"> L. Forest Ecology and Management 186:1–6.</w:t>
      </w:r>
    </w:p>
    <w:p w14:paraId="60B8D8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Garske, S. 2010. GLIFWC Invasive Plant Model Risk Aassessment/ Priortization Models. Great Lakes Indian Fish and Wildlife Commission.</w:t>
      </w:r>
    </w:p>
    <w:p w14:paraId="2E5170A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and M. Falck. 2007. 2006 invasive plant survey of the Northern Highland-American Legion State Forest. Great Lakes Indian Fish and Wildlife Commission.</w:t>
      </w:r>
    </w:p>
    <w:p w14:paraId="055C97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Gavier-Pizarro, G. I., V. C. Radeloff, S. I. Stewart, C. D. Huebner, and N. S. Keuler. 2010. Housing is positively associated with invasive exotic plant species richness in New England, USA. Ecological Applications 20:1913–1925.</w:t>
      </w:r>
    </w:p>
    <w:p w14:paraId="4C2FF6D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Godwin, H. 1936. Studies in the ecology of Wicken Fen: III. the establishment and development of Fen Scrub (Carr). The Journal of Ecology:82–116.</w:t>
      </w:r>
    </w:p>
    <w:p w14:paraId="671D430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Godwin, H. 1943. </w:t>
      </w:r>
      <w:r w:rsidRPr="004475C3">
        <w:rPr>
          <w:rFonts w:cs="Times New Roman"/>
          <w:i/>
          <w:iCs/>
          <w:noProof/>
        </w:rPr>
        <w:t>Frangula alnus</w:t>
      </w:r>
      <w:r w:rsidRPr="004475C3">
        <w:rPr>
          <w:rFonts w:cs="Times New Roman"/>
          <w:noProof/>
        </w:rPr>
        <w:t xml:space="preserve"> Miller. Journal of Ecology 31:77–92.</w:t>
      </w:r>
    </w:p>
    <w:p w14:paraId="68A296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Graham, C. H., S. Ferrier, F. Huettman, C. Moritz, and A. T. Peterson. 2004. New developments in museum-based informatics and applications in biodiversity analysis. Trends in Ecology &amp; Evolution 19:497–503.</w:t>
      </w:r>
    </w:p>
    <w:p w14:paraId="406357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Granstrom, A. 1988. Seed banks at six open and afforested heathland sites in southern Sweden. Journal of Applied Ecology:297–306.</w:t>
      </w:r>
    </w:p>
    <w:p w14:paraId="3E1BD1D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Gurevitch, J., G. A. Fox, G. M. Wardle, Inderjit, and D. Taub. 2011. Emergent insights from the synthesis of conceptual frameworks for biological invasions. Ecology Letters 14:407–418.</w:t>
      </w:r>
    </w:p>
    <w:p w14:paraId="4C4F233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2004. Extensive hydrochory uncouples spatiotemporal patterns of seedfall and seedling recruitment in a “bird</w:t>
      </w:r>
      <w:r w:rsidRPr="004475C3">
        <w:rPr>
          <w:rFonts w:ascii="Cambria Math" w:hAnsi="Cambria Math" w:cs="Cambria Math"/>
          <w:noProof/>
        </w:rPr>
        <w:t>‐</w:t>
      </w:r>
      <w:r w:rsidRPr="004475C3">
        <w:rPr>
          <w:rFonts w:cs="Times New Roman"/>
          <w:noProof/>
        </w:rPr>
        <w:t>dispersed” riparian tree. Journal of Ecology 92:797–807.</w:t>
      </w:r>
    </w:p>
    <w:p w14:paraId="1307C31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2008. Fruit tracking, frugivore satiation, and their consequences for seed dispersal. Oecologia 156:137–145.</w:t>
      </w:r>
    </w:p>
    <w:p w14:paraId="2BD3FA5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J. Arroyo, P. Jordano, and R. J. Petit. 2003. Rangewide phylogeography of a bird-dispersed Eurasian shrub: contrasting Mediterranean and temperate glacial refugia. Molecular Ecology 12:3415–3426.</w:t>
      </w:r>
    </w:p>
    <w:p w14:paraId="7E386D5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and F. Bairlein. 2000. Modified dispersal</w:t>
      </w:r>
      <w:r w:rsidRPr="004475C3">
        <w:rPr>
          <w:rFonts w:ascii="Cambria Math" w:hAnsi="Cambria Math" w:cs="Cambria Math"/>
          <w:noProof/>
        </w:rPr>
        <w:t>‐</w:t>
      </w:r>
      <w:r w:rsidRPr="004475C3">
        <w:rPr>
          <w:rFonts w:cs="Times New Roman"/>
          <w:noProof/>
        </w:rPr>
        <w:t>related traits in disjunct populations of bird</w:t>
      </w:r>
      <w:r w:rsidRPr="004475C3">
        <w:rPr>
          <w:rFonts w:ascii="Cambria Math" w:hAnsi="Cambria Math" w:cs="Cambria Math"/>
          <w:noProof/>
        </w:rPr>
        <w:t>‐</w:t>
      </w:r>
      <w:r w:rsidRPr="004475C3">
        <w:rPr>
          <w:rFonts w:cs="Times New Roman"/>
          <w:noProof/>
        </w:rPr>
        <w:t xml:space="preserve">dispersed </w:t>
      </w:r>
      <w:r w:rsidRPr="004475C3">
        <w:rPr>
          <w:rFonts w:cs="Times New Roman"/>
          <w:i/>
          <w:iCs/>
          <w:noProof/>
        </w:rPr>
        <w:t>Frangula alnus</w:t>
      </w:r>
      <w:r w:rsidRPr="004475C3">
        <w:rPr>
          <w:rFonts w:cs="Times New Roman"/>
          <w:noProof/>
        </w:rPr>
        <w:t xml:space="preserve"> (Rhamnaceae): a result of its Quaternary distribution shifts? Ecography 23:603–613.</w:t>
      </w:r>
    </w:p>
    <w:p w14:paraId="55C6AA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Harris, C. M., K. J. Park, R. Atkinson, C. Edwards, and J. M. J. Travis. 2009. Invasive species control: Incorporating demographic data and seed dispersal into a management model for Rhododendron ponticum. Ecological Informatics 4:226–233.</w:t>
      </w:r>
    </w:p>
    <w:p w14:paraId="41903D1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Hastings, A., K. Cuddington, K. F. Davies, C. J. Dugaw, S. Elmendorf, A. Freestone, S. Harrison, M. Holland, J. Lambrinos, U. Malvadkar, B. A. Melbourne, K. Moore, C. Taylor, and D. Thomson. 2005. The spatial spread of invasions: new developments in theory and evidence. Ecology Letters 8:91–101.</w:t>
      </w:r>
    </w:p>
    <w:p w14:paraId="5583A86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Hengeveld, R. 1989. Dynamics of Biological Invasions. Chapman and Hall Ltd., New York, NY.</w:t>
      </w:r>
    </w:p>
    <w:p w14:paraId="36E0D24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Herron, P. M., C. T. Martine, A. M. Latimer, and S. A. Leicht-Young. 2007. Invasive plants and their ecological strategies: prediction and explanation of woody plant invasion in New England. Diversity and Distributions 13:633–644.</w:t>
      </w:r>
    </w:p>
    <w:p w14:paraId="69F003F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Hesse, E., M. Rees, and H. Müller-Schärer. 2008. Life-history variation in contrasting habitats: flowering decisions in a clonal perennial herb (Veratrum album). The American Naturalist 172:196–213.</w:t>
      </w:r>
    </w:p>
    <w:p w14:paraId="37D45B6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Hijmans, R. J., S. E. Cameron, J. L. Parra, P. G. Jones, and A. Jarvis. 2005. Very high resolution interpolated climate surfaces for global land areas. International Journal of Climatology 25:1965–1978.</w:t>
      </w:r>
    </w:p>
    <w:p w14:paraId="68C3DF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Houlahan, J. E., and С. S. Findlay. 2004. Effect of invasive plant species on temperate wetland paint diversity. Conservation Biology 18:1132–1138.</w:t>
      </w:r>
    </w:p>
    <w:p w14:paraId="3D50E4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Howell, J. A., and W. H. J. Blackwell. 1977. The history of </w:t>
      </w:r>
      <w:r w:rsidRPr="004475C3">
        <w:rPr>
          <w:rFonts w:cs="Times New Roman"/>
          <w:i/>
          <w:iCs/>
          <w:noProof/>
        </w:rPr>
        <w:t>Rhamnus frangula</w:t>
      </w:r>
      <w:r w:rsidRPr="004475C3">
        <w:rPr>
          <w:rFonts w:cs="Times New Roman"/>
          <w:noProof/>
        </w:rPr>
        <w:t xml:space="preserve"> (glossy buckthorn) in the Ohio flora. Castanea 42:111–115.</w:t>
      </w:r>
    </w:p>
    <w:p w14:paraId="636DB3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Huebner, C. D., R. S. Morin, A. Zurbriggen, R. L. White, A. Moore, and D. Twardus. 2009. Patterns of exotic plant invasions in Pennsylvania’s Allegheny National Forest using intensive Forest Inventory and Analysis plots. Forest Ecology and Management 257:258–270.</w:t>
      </w:r>
    </w:p>
    <w:p w14:paraId="029F21A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Jongejans, E., K. Shea, O. Skarpaas, D. Kelly, A. W. Sheppard, and T. L. Woodburn. 2008. Dispersal and demography contributions to population spread of </w:t>
      </w:r>
      <w:r w:rsidRPr="004475C3">
        <w:rPr>
          <w:rFonts w:cs="Times New Roman"/>
          <w:i/>
          <w:iCs/>
          <w:noProof/>
        </w:rPr>
        <w:t>Carduus nutansin</w:t>
      </w:r>
      <w:r w:rsidRPr="004475C3">
        <w:rPr>
          <w:rFonts w:cs="Times New Roman"/>
          <w:noProof/>
        </w:rPr>
        <w:t xml:space="preserve"> its native and invaded ranges. Journal of Ecology 96:687–697.</w:t>
      </w:r>
    </w:p>
    <w:p w14:paraId="2DDB636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Keith, D. A., H. R. Akçakaya, W. Thuiller, G. F. Midgley, R. G. Pearson, S. J. Phillips, H. M. Regan, M. B. Araújo, and T. G. Rebelo. 2008. Predicting extinction risks under climate change: coupling stochastic population models with dynamic bioclimatic habitat models. Biology Letters 4:560–563.</w:t>
      </w:r>
    </w:p>
    <w:p w14:paraId="54814E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Klein Goldewijk, K., A. Beusen, G. Van Drecht, and M. De Vos. 2010. The HYDE 3.1 spatially explicit database of human-induced global land-use change over the past 12,000 years. Global Ecology and Biogeography 20:73–86.</w:t>
      </w:r>
    </w:p>
    <w:p w14:paraId="7FB8B3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Knight, T. M., K. Havens, and P. Vitt. 2011. Will the use of less fecund cultivars reduce the invasiveness of perennial plants? BioScience 61:816–822.</w:t>
      </w:r>
    </w:p>
    <w:p w14:paraId="6BCD71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Kostel-Hughes, F., T. P. Young, and M. J. McDonnell. 1998. The soil seed bank and its relationship to the aboveground vegetation in deciduous forests in New York City. Urban Ecosystems 2:43–59.</w:t>
      </w:r>
    </w:p>
    <w:p w14:paraId="4392D0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Kowarik, I. 1995. Time lags in biological invasions with regard to success and failure of alien species. Pages 15–38</w:t>
      </w:r>
      <w:r w:rsidRPr="004475C3">
        <w:rPr>
          <w:rFonts w:cs="Times New Roman"/>
          <w:i/>
          <w:iCs/>
          <w:noProof/>
        </w:rPr>
        <w:t>in</w:t>
      </w:r>
      <w:r w:rsidRPr="004475C3">
        <w:rPr>
          <w:rFonts w:cs="Times New Roman"/>
          <w:noProof/>
        </w:rPr>
        <w:t xml:space="preserve"> P. Pyšek, K. Prach, M. Rejmánek, and M. Wade, editors.Plant invasions: General aspects and special problems. SPB Adademic Publishing, Amsterdam.</w:t>
      </w:r>
    </w:p>
    <w:p w14:paraId="7261763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Larkin, D. J. 2011. Lengths and correlates of lag phases in upper-Midwest plant invasions. Biological Invasions 14:827–838.</w:t>
      </w:r>
    </w:p>
    <w:p w14:paraId="200197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Lavoie, C. 2012. Biological collections in an ever changing world: herbaria as tools for biogeographical and environmental studies. Perspectives in Plant Ecology, Evolution and Systematics 15:68–76.</w:t>
      </w:r>
    </w:p>
    <w:p w14:paraId="782CD3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Lee, T. D., and J. H. Thompson. 2012. Effects of logging history on invasion of eastern white pine forests by exotic glossy buckthorn (</w:t>
      </w:r>
      <w:r w:rsidRPr="004475C3">
        <w:rPr>
          <w:rFonts w:cs="Times New Roman"/>
          <w:i/>
          <w:iCs/>
          <w:noProof/>
        </w:rPr>
        <w:t>Frangula alnus</w:t>
      </w:r>
      <w:r w:rsidRPr="004475C3">
        <w:rPr>
          <w:rFonts w:cs="Times New Roman"/>
          <w:noProof/>
        </w:rPr>
        <w:t xml:space="preserve"> P. Mill.). Forest Ecology and Management 265:201–210.</w:t>
      </w:r>
    </w:p>
    <w:p w14:paraId="6AB60A0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Mack, R. N., D. Simberloff, W. Mark Lonsdale, H. Evans, M. Clout, and F. A. Bazzaz. 2000. Biotic invasions: causes, epidemiology, global consequences, and control. Ecological Applications 10:689–710.</w:t>
      </w:r>
    </w:p>
    <w:p w14:paraId="64AA93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Mason, R. a. B., J. Cooke, A. T. Moles, and M. R. Leishman. 2008. Reproductive output of </w:t>
      </w:r>
      <w:r w:rsidRPr="004475C3">
        <w:rPr>
          <w:rFonts w:cs="Times New Roman"/>
          <w:noProof/>
        </w:rPr>
        <w:lastRenderedPageBreak/>
        <w:t>invasive versus native plants. Global Ecology and Biogeography 17:633–640.</w:t>
      </w:r>
    </w:p>
    <w:p w14:paraId="7EDE906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McDonald, R. I., G. Motzkin, and D. R. Foster. 2008. Assessing the influence of historical factors, contemporary processes, and environmental conditions on the distribution of invasive species. The Journal of the Torrey Botanical Society 135:260–271.</w:t>
      </w:r>
    </w:p>
    <w:p w14:paraId="3B57919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M. F. Hutchinson, P. Papadopol, K. Lawrence, J. H. Pedlar, K. Campbell, E. Milewska, R. F. Hopkinson, D. Price, and T. Owen. 2011. Customized spatial climate models for North America. Bulletin of the American Meteorological Society 92:1611–1622.</w:t>
      </w:r>
    </w:p>
    <w:p w14:paraId="29785E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W., J. H. Pedlar, P. Papadopol, and M. F. Hutchinson. 2006. The development of 1901–2000 historical monthly climate models for Canada and the United States. Agricultural and Forest Meteorology 138:69–81.</w:t>
      </w:r>
    </w:p>
    <w:p w14:paraId="09C0453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Medan, D. 1994. Reproductive biology of </w:t>
      </w:r>
      <w:r w:rsidRPr="004475C3">
        <w:rPr>
          <w:rFonts w:cs="Times New Roman"/>
          <w:i/>
          <w:iCs/>
          <w:noProof/>
        </w:rPr>
        <w:t>Frangula alnus</w:t>
      </w:r>
      <w:r w:rsidRPr="004475C3">
        <w:rPr>
          <w:rFonts w:cs="Times New Roman"/>
          <w:noProof/>
        </w:rPr>
        <w:t xml:space="preserve"> (Rhamnaceae) in southern Spain. Plant Systematics and Evolution 193:173–186.</w:t>
      </w:r>
    </w:p>
    <w:p w14:paraId="302C7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Mehrhoff, L. J., J. A. Silander Jr, S. A. Leicht, E. S. Mosher, and N. M. Tabak. 2003. IPANE: Invasive Plant Atlas of New England. Department of Ecology &amp; Evolutionary Biology, University of Connecticut, Storrs, CT, USA, Department of Ecology &amp; Evolutionary Biology, University of Connecticut, Storrs, CT, USA.</w:t>
      </w:r>
    </w:p>
    <w:p w14:paraId="346150A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Menges, E. S. 2000. Population viability analyses in plants: challenges and opportunities. Trends in Ecology &amp; Evolution 15:51–56.</w:t>
      </w:r>
    </w:p>
    <w:p w14:paraId="145F466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J. P. Dahlgren, C. J. E. Metcalf, D. Z. Childs, M. E. K. Evans, E. Jongejans, S. Record, M. Rees, R. Salguero-Gómez, and S. M. McMahon. 2013a. Advancing population ecology with integral projection models: a practical guide. Methods in Ecology and Evolution In Press.</w:t>
      </w:r>
    </w:p>
    <w:p w14:paraId="261D62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N. LaFleur, J. A. Silander Jr, A. M. Wilson, and M. Rubega. 2011. Developing dynamic mechanistic species distribution models: predicting bird-mediated spread of invasive plants across northeastern North America. The American Naturalist 178:30–43.</w:t>
      </w:r>
    </w:p>
    <w:p w14:paraId="5057692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M. J. Smith, and J. A. Silander Jr. 2013b. A practical guide to MaxEnt for modeling species’ distributions: what it does, and why inputs and settings matter. Ecography:In press.</w:t>
      </w:r>
    </w:p>
    <w:p w14:paraId="446951D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Mihulka, S., and P. Pyšek. 2001. Invasion history of Oenothera congeners in Europe: a comparative study of spreading rates in the last 200 years. Journal of Biogeography 28:597–609.</w:t>
      </w:r>
    </w:p>
    <w:p w14:paraId="17763F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G. A. Meyer, and J. A. Reinartz. 2012. An exotic invasive shrub has greater recruitment than native shrub species within a large undisturbed wetland. Plant Ecology 213:1425–1436.</w:t>
      </w:r>
    </w:p>
    <w:p w14:paraId="2E63CFB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J. A. Reinartz, G. A. Meyer, and E. B. Young. 2009. Exotic shrub invasion in an undisturbed wetland has little community-level effect over a 15-year period. Biological Invasions 11:1803–1820.</w:t>
      </w:r>
    </w:p>
    <w:p w14:paraId="462546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Mosher, E. S., J. A. Silander Jr, and A. M. Latimer. 2009. The role of land-use history in major invasions by woody plant species in the northeastern North American landscape. Biological Invasions 11:2317–2328.</w:t>
      </w:r>
    </w:p>
    <w:p w14:paraId="1F07AEA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Nehrbass, N., E. Winkler, J. Müllerová, J. Pergl, P. Pyšek, and I. Perglová. 2006. A simulation model of plant invasion: long-distance dispersal determines the pattern of spread. Biological </w:t>
      </w:r>
      <w:r w:rsidRPr="004475C3">
        <w:rPr>
          <w:rFonts w:cs="Times New Roman"/>
          <w:noProof/>
        </w:rPr>
        <w:lastRenderedPageBreak/>
        <w:t>Invasions 9:383–395.</w:t>
      </w:r>
    </w:p>
    <w:p w14:paraId="04C30D1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Olson, E., L. S. Kenefic, A. C. Dibble, and J. C. Brissette. 2011. Nonnative invasive plants in the Penobscot Experimental Forest in Maine, USA: Influence of site, silviculture, and land use history. The Journal of the Torrey Botanical Society 138:453–464.</w:t>
      </w:r>
    </w:p>
    <w:p w14:paraId="49DAD4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Pardini, E. A., J. M. Drake, J. M. Chase, and T. M. Knight. 2009. Complex population dynamics and control of the invasive biennial </w:t>
      </w:r>
      <w:r w:rsidRPr="004475C3">
        <w:rPr>
          <w:rFonts w:cs="Times New Roman"/>
          <w:i/>
          <w:iCs/>
          <w:noProof/>
        </w:rPr>
        <w:t>Alliaria petiolata</w:t>
      </w:r>
      <w:r w:rsidRPr="004475C3">
        <w:rPr>
          <w:rFonts w:cs="Times New Roman"/>
          <w:noProof/>
        </w:rPr>
        <w:t xml:space="preserve"> (garlic mustard). Ecological Applications 19:387–397.</w:t>
      </w:r>
    </w:p>
    <w:p w14:paraId="6B291A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Pearson, R. G., J. C. Stanton, K. T. Shoemaker, M. E. Aiello-Lammens, P. J. Ersts, N. Horning, D. A. Fordham, C. J. Raxworthy, H. Y. Ryu, J. Mcnees, and H. R. Akçakaya. 2014. Life history and spatial traits predict extinction risk due to climate change. Nature Climate Change 4:217–221.</w:t>
      </w:r>
    </w:p>
    <w:p w14:paraId="22DF8DF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Peterson, A. T., J. Soberón, R. G. Pearson, R. P. Anderson, E. Martínez-Meyer, M. Nakamura, and M. B. Araújo. 2011. Ecological niches and geographic distributions (MPB-49). Princeton University Press, Princeton.</w:t>
      </w:r>
    </w:p>
    <w:p w14:paraId="755527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R. P. Anderson, and R. E. Schapire. 2006. Maximum entropy modeling of species geographic distributions. Ecological Modelling 190:231–259.</w:t>
      </w:r>
    </w:p>
    <w:p w14:paraId="5EEC4C7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and M. Dudík. 2008. Modeling of species distributions with Maxent: new extensions and a comprehensive evaluation. Ecography 31:161–175.</w:t>
      </w:r>
    </w:p>
    <w:p w14:paraId="2A3F0BC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Possessky, S. L., C. E. Williams, and W. J. Moriarity. 2000. Glossy buckthorn, </w:t>
      </w:r>
      <w:r w:rsidRPr="004475C3">
        <w:rPr>
          <w:rFonts w:cs="Times New Roman"/>
          <w:i/>
          <w:iCs/>
          <w:noProof/>
        </w:rPr>
        <w:t>Rhamnus frangula</w:t>
      </w:r>
      <w:r w:rsidRPr="004475C3">
        <w:rPr>
          <w:rFonts w:cs="Times New Roman"/>
          <w:noProof/>
        </w:rPr>
        <w:t xml:space="preserve"> L.: A threat to riparian plant communities of the northern Allegheny Plateau (USA). Natural Areas Journal 20:290–292.</w:t>
      </w:r>
    </w:p>
    <w:p w14:paraId="4FB3F6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Prowse, T. A. A., C. N. Johnson, R. C. Lacy, C. J. A. Bradshaw, J. P. Pollak, M. J. Watts, and B. W. Brook. 2013. No need for disease: Testing extinction hypotheses for the thylacine using multi-species metamodels. Journal of Animal Ecology 82:355–364.</w:t>
      </w:r>
    </w:p>
    <w:p w14:paraId="4607A6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P. E. Hulme. 2005. Spatio-temporal dynamics of plant invasions: linking pattern to process. Ecoscience 12:302–315.</w:t>
      </w:r>
    </w:p>
    <w:p w14:paraId="2E968C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K. Prach. 1993. Plant invasions and the role of riparian habitats: a comparison of four species alien to central Europe. Journal of Biogeography 20:413–420.</w:t>
      </w:r>
    </w:p>
    <w:p w14:paraId="60979F7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D. M. Richardson. 2007. Traits associated with invasiveness in alien plants: where do we stand? Pages 97–125</w:t>
      </w:r>
      <w:r w:rsidRPr="004475C3">
        <w:rPr>
          <w:rFonts w:cs="Times New Roman"/>
          <w:i/>
          <w:iCs/>
          <w:noProof/>
        </w:rPr>
        <w:t>in</w:t>
      </w:r>
      <w:r w:rsidRPr="004475C3">
        <w:rPr>
          <w:rFonts w:cs="Times New Roman"/>
          <w:noProof/>
        </w:rPr>
        <w:t xml:space="preserve"> W. Nentwig, editor.Biological Invasions. Springer, Berlin.</w:t>
      </w:r>
    </w:p>
    <w:p w14:paraId="33CCE00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and Y. M. Buckley. 2010. Management recommendations for short-lived weeds depend on model structure and explicit characterization of density dependence. Methods in Ecology and Evolution 1:158–167.</w:t>
      </w:r>
    </w:p>
    <w:p w14:paraId="55BB8A4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T. M. Knight, J. H. Burns, and Y. M. Buckley. 2008. General guidelines for invasive plant management based on comparative demography of invasive and native plant populations. Journal of Applied Ecology 45:1124–1133.</w:t>
      </w:r>
    </w:p>
    <w:p w14:paraId="16B43A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D. Z. Childs, and S. P. Ellner. 2014. Building Integral Projection Models: a User’s Guide. Journal of Animal Ecology:1–22.</w:t>
      </w:r>
    </w:p>
    <w:p w14:paraId="1B25EAC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and S. P. Ellner. 2009. Integral projection models for populations in temporally varying environments. Ecological Monographs 79:575–594.</w:t>
      </w:r>
    </w:p>
    <w:p w14:paraId="18AC033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Sakai, A. K., F. W. Allendorf, J. S. Holt, D. M. Lodge, J. Molofsky, K. A. With, S. Baughman, </w:t>
      </w:r>
      <w:r w:rsidRPr="004475C3">
        <w:rPr>
          <w:rFonts w:cs="Times New Roman"/>
          <w:noProof/>
        </w:rPr>
        <w:lastRenderedPageBreak/>
        <w:t>R. J. Cabin, J. E. Cohen, N. C. Ellstrand, D. E. McCauley, P. O’Neil, I. M. Parker, J. N. Thompson, and S. G. Weller. 2001. The population biology of invasive species. Annual Review of Ecology and Systematics 32:305–332.</w:t>
      </w:r>
    </w:p>
    <w:p w14:paraId="1A04670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Searcy, K. B., C. Pucko, and D. McClelland. 2006. The distribution and habitat preferences of introduced species in the Mount Holyoke Range, Hampshire Co., Massachusetts. Rhodora 108:43–61.</w:t>
      </w:r>
    </w:p>
    <w:p w14:paraId="35F0DE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Sullivan, M. J. P., R. G. Davies, L. Reino, and A. M. a. Franco. 2012. Using dispersal information to model the species-environment relationship of spreading non-native species. Methods in Ecology and Evolution 3:870–879.</w:t>
      </w:r>
    </w:p>
    <w:p w14:paraId="74A69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Syfert, M. M., M. J. Smith, and D. A. Coomes. 2013. The effects of sampling bias and model complexity on the predictive performance of MaxEnt species distribution models. PLoS ONE 8:e55158.</w:t>
      </w:r>
    </w:p>
    <w:p w14:paraId="357F2D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Theoharides, K. A., and J. S. Dukes. 2007. Plant invasion across space and time: factors affecting nonindigenous species success during four stages of invasion. New Phytologist 176:256–273.</w:t>
      </w:r>
    </w:p>
    <w:p w14:paraId="6B0BFD0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Urban, M. C., B. L. Phillips, D. K. Skelly, and R. Shine. 2007. The cane toad’s </w:t>
      </w:r>
      <w:r w:rsidRPr="004475C3">
        <w:rPr>
          <w:rFonts w:cs="Times New Roman"/>
          <w:i/>
          <w:iCs/>
          <w:noProof/>
        </w:rPr>
        <w:t>(Chaunus [Bufo] marinus)</w:t>
      </w:r>
      <w:r w:rsidRPr="004475C3">
        <w:rPr>
          <w:rFonts w:cs="Times New Roman"/>
          <w:noProof/>
        </w:rPr>
        <w:t xml:space="preserve"> increasing ability to invade Australia is revealed by a dynamically updated range model. Proceedings of the Royal Society B: Biological Sciences 274:1413–9.</w:t>
      </w:r>
    </w:p>
    <w:p w14:paraId="45F748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VanDerWal, J., L. P. Shoo, C. N. Johnson, and S. E. Williams. 2009. Abundance and the environmental niche: environmental suitability estimated from niche models predicts the upper limit of local abundance. The American Naturalist 174:282–91.</w:t>
      </w:r>
    </w:p>
    <w:p w14:paraId="3AB8028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Vindenes, Y., S. Engen, and B.-E. Saether. 2011. Integral projection models for finite populations in a stochastic environment. Ecology 92:1146–56.</w:t>
      </w:r>
    </w:p>
    <w:p w14:paraId="4045CF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Wangen, S. R., and C. R. Webster. 2006. Potential for multiple lag phases during biotic invasions: reconstructing an invasion of the exotic tree Acer platanoides. Journal of Applied Ecology 43:258–268.</w:t>
      </w:r>
    </w:p>
    <w:p w14:paraId="51272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Weber, E. 1998. The dynamics of plant invasions: a case study of three exotic goldenrod species (</w:t>
      </w:r>
      <w:r w:rsidRPr="004475C3">
        <w:rPr>
          <w:rFonts w:cs="Times New Roman"/>
          <w:i/>
          <w:iCs/>
          <w:noProof/>
        </w:rPr>
        <w:t>Solidago</w:t>
      </w:r>
      <w:r w:rsidRPr="004475C3">
        <w:rPr>
          <w:rFonts w:cs="Times New Roman"/>
          <w:noProof/>
        </w:rPr>
        <w:t xml:space="preserve"> L.) in Europe. Journal of Biogeography 25:147–154.</w:t>
      </w:r>
    </w:p>
    <w:p w14:paraId="65D213F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2002. The Landscape Ecology of Invasive Spread. Conservation Biology 16:1192–1203.</w:t>
      </w:r>
    </w:p>
    <w:p w14:paraId="4755C69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2004. Assessing the risk of invasive spread in fragmented landscapes. Risk Analysis 24:803–815.</w:t>
      </w:r>
    </w:p>
    <w:p w14:paraId="1B29701C" w14:textId="68EE5C3D" w:rsidR="00FF24C7" w:rsidRPr="009E7BDA" w:rsidRDefault="00FF24C7" w:rsidP="004475C3">
      <w:pPr>
        <w:widowControl w:val="0"/>
        <w:autoSpaceDE w:val="0"/>
        <w:autoSpaceDN w:val="0"/>
        <w:adjustRightInd w:val="0"/>
        <w:spacing w:before="100" w:after="100"/>
        <w:ind w:left="480" w:hanging="480"/>
      </w:pPr>
    </w:p>
    <w:p w14:paraId="1FBE9CFE" w14:textId="77777777" w:rsidR="00FF24C7" w:rsidRPr="006F1F95" w:rsidRDefault="00FF24C7" w:rsidP="00FF24C7"/>
    <w:p w14:paraId="6E99864D" w14:textId="77777777" w:rsidR="00A5249C" w:rsidRDefault="00A5249C"/>
    <w:sectPr w:rsidR="00A5249C" w:rsidSect="00930C9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Aiello-Lammens, Matthew E." w:date="2019-09-10T11:12:00Z" w:initials="AME">
    <w:p w14:paraId="77E3CFC8" w14:textId="5359CF09" w:rsidR="009871BA" w:rsidRDefault="009871BA">
      <w:pPr>
        <w:pStyle w:val="CommentText"/>
      </w:pPr>
      <w:r>
        <w:rPr>
          <w:rStyle w:val="CommentReference"/>
        </w:rPr>
        <w:annotationRef/>
      </w:r>
      <w:r>
        <w:t>Move to appendix.</w:t>
      </w:r>
    </w:p>
  </w:comment>
  <w:comment w:id="9" w:author="Aiello-Lammens, Matthew E." w:date="2019-09-10T11:14:00Z" w:initials="AME">
    <w:p w14:paraId="37686596" w14:textId="7A745770" w:rsidR="009871BA" w:rsidRDefault="009871BA">
      <w:pPr>
        <w:pStyle w:val="CommentText"/>
      </w:pPr>
      <w:r>
        <w:rPr>
          <w:rStyle w:val="CommentReference"/>
        </w:rPr>
        <w:annotationRef/>
      </w:r>
      <w:r>
        <w:t>Combine Figures 4 and 5 into two-panel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E3CFC8" w15:done="0"/>
  <w15:commentEx w15:paraId="376865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3CFC8" w16cid:durableId="2122038A"/>
  <w16cid:commentId w16cid:paraId="37686596" w16cid:durableId="212204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85876" w14:textId="77777777" w:rsidR="002D097D" w:rsidRDefault="002D097D" w:rsidP="009B5309">
      <w:pPr>
        <w:spacing w:after="0"/>
      </w:pPr>
      <w:r>
        <w:separator/>
      </w:r>
    </w:p>
  </w:endnote>
  <w:endnote w:type="continuationSeparator" w:id="0">
    <w:p w14:paraId="31A243D9" w14:textId="77777777" w:rsidR="002D097D" w:rsidRDefault="002D097D"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2AFF" w:usb1="D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B14AB9" w:rsidRDefault="00B14AB9"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B14AB9" w:rsidRDefault="00B14AB9"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B14AB9" w:rsidRDefault="00B14AB9"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B14AB9" w:rsidRDefault="00B14AB9"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E87250" w14:textId="77777777" w:rsidR="002D097D" w:rsidRDefault="002D097D" w:rsidP="009B5309">
      <w:pPr>
        <w:spacing w:after="0"/>
      </w:pPr>
      <w:r>
        <w:separator/>
      </w:r>
    </w:p>
  </w:footnote>
  <w:footnote w:type="continuationSeparator" w:id="0">
    <w:p w14:paraId="42012DFB" w14:textId="77777777" w:rsidR="002D097D" w:rsidRDefault="002D097D"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iello-Lammens, Matthew E.">
    <w15:presenceInfo w15:providerId="AD" w15:userId="S::maiellolammens@pace.edu::8fccb1cb-06c4-43ec-ac45-9f889263c1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2429"/>
    <w:rsid w:val="00033485"/>
    <w:rsid w:val="00041B32"/>
    <w:rsid w:val="000435C7"/>
    <w:rsid w:val="00044D47"/>
    <w:rsid w:val="00060412"/>
    <w:rsid w:val="00063458"/>
    <w:rsid w:val="000655B2"/>
    <w:rsid w:val="00066A19"/>
    <w:rsid w:val="00072866"/>
    <w:rsid w:val="0007654D"/>
    <w:rsid w:val="00081983"/>
    <w:rsid w:val="00093FAC"/>
    <w:rsid w:val="00094D33"/>
    <w:rsid w:val="00096DB3"/>
    <w:rsid w:val="000974EC"/>
    <w:rsid w:val="000A083F"/>
    <w:rsid w:val="000A22B2"/>
    <w:rsid w:val="000A48D1"/>
    <w:rsid w:val="000B1DDE"/>
    <w:rsid w:val="000B1EF0"/>
    <w:rsid w:val="000B5C64"/>
    <w:rsid w:val="000C167C"/>
    <w:rsid w:val="000C2E2A"/>
    <w:rsid w:val="000C3E2F"/>
    <w:rsid w:val="000D138D"/>
    <w:rsid w:val="000D2B5E"/>
    <w:rsid w:val="000D6063"/>
    <w:rsid w:val="000E0B57"/>
    <w:rsid w:val="000E4C18"/>
    <w:rsid w:val="000E5404"/>
    <w:rsid w:val="000F20BC"/>
    <w:rsid w:val="000F318E"/>
    <w:rsid w:val="00100848"/>
    <w:rsid w:val="001014C1"/>
    <w:rsid w:val="0010180E"/>
    <w:rsid w:val="00101BBA"/>
    <w:rsid w:val="001033EC"/>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7D80"/>
    <w:rsid w:val="001C10A5"/>
    <w:rsid w:val="001C1947"/>
    <w:rsid w:val="001C28A5"/>
    <w:rsid w:val="001C54A5"/>
    <w:rsid w:val="001C73B7"/>
    <w:rsid w:val="001D21F3"/>
    <w:rsid w:val="001D4AA3"/>
    <w:rsid w:val="001D5054"/>
    <w:rsid w:val="001D6609"/>
    <w:rsid w:val="001E3B84"/>
    <w:rsid w:val="001E79FC"/>
    <w:rsid w:val="001F20DD"/>
    <w:rsid w:val="00200D62"/>
    <w:rsid w:val="00205410"/>
    <w:rsid w:val="002128E3"/>
    <w:rsid w:val="002131FB"/>
    <w:rsid w:val="00216FE6"/>
    <w:rsid w:val="00224AC9"/>
    <w:rsid w:val="002256D3"/>
    <w:rsid w:val="00227A8D"/>
    <w:rsid w:val="00231831"/>
    <w:rsid w:val="00231C35"/>
    <w:rsid w:val="002349B1"/>
    <w:rsid w:val="00234BD0"/>
    <w:rsid w:val="002366A2"/>
    <w:rsid w:val="00236A90"/>
    <w:rsid w:val="00240344"/>
    <w:rsid w:val="0025074E"/>
    <w:rsid w:val="00251499"/>
    <w:rsid w:val="00255708"/>
    <w:rsid w:val="00256E04"/>
    <w:rsid w:val="00263874"/>
    <w:rsid w:val="0026696D"/>
    <w:rsid w:val="00274152"/>
    <w:rsid w:val="00281577"/>
    <w:rsid w:val="002904B0"/>
    <w:rsid w:val="00291606"/>
    <w:rsid w:val="00294492"/>
    <w:rsid w:val="00296588"/>
    <w:rsid w:val="002A1500"/>
    <w:rsid w:val="002A4818"/>
    <w:rsid w:val="002A5F68"/>
    <w:rsid w:val="002B2C69"/>
    <w:rsid w:val="002C0650"/>
    <w:rsid w:val="002C1390"/>
    <w:rsid w:val="002C1C31"/>
    <w:rsid w:val="002C6315"/>
    <w:rsid w:val="002C7340"/>
    <w:rsid w:val="002D097D"/>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615AD"/>
    <w:rsid w:val="00361EC1"/>
    <w:rsid w:val="00361F91"/>
    <w:rsid w:val="003679E2"/>
    <w:rsid w:val="00367DC6"/>
    <w:rsid w:val="00375D20"/>
    <w:rsid w:val="0037719E"/>
    <w:rsid w:val="003963B4"/>
    <w:rsid w:val="003A1D75"/>
    <w:rsid w:val="003A473D"/>
    <w:rsid w:val="003B1761"/>
    <w:rsid w:val="003B3C3E"/>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B3A"/>
    <w:rsid w:val="00460CD6"/>
    <w:rsid w:val="004639BE"/>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F1A91"/>
    <w:rsid w:val="00504B0B"/>
    <w:rsid w:val="005055DA"/>
    <w:rsid w:val="005064B8"/>
    <w:rsid w:val="005142E9"/>
    <w:rsid w:val="005143FE"/>
    <w:rsid w:val="00515162"/>
    <w:rsid w:val="00517F9A"/>
    <w:rsid w:val="00524267"/>
    <w:rsid w:val="005250B5"/>
    <w:rsid w:val="00527BFD"/>
    <w:rsid w:val="00530D11"/>
    <w:rsid w:val="00534F05"/>
    <w:rsid w:val="00540002"/>
    <w:rsid w:val="00542040"/>
    <w:rsid w:val="00545D7D"/>
    <w:rsid w:val="005533EE"/>
    <w:rsid w:val="0055552A"/>
    <w:rsid w:val="005561E6"/>
    <w:rsid w:val="00557691"/>
    <w:rsid w:val="00565266"/>
    <w:rsid w:val="00567FAF"/>
    <w:rsid w:val="00575D59"/>
    <w:rsid w:val="005826E8"/>
    <w:rsid w:val="005846B3"/>
    <w:rsid w:val="00584E00"/>
    <w:rsid w:val="0059229F"/>
    <w:rsid w:val="005923D8"/>
    <w:rsid w:val="005A0452"/>
    <w:rsid w:val="005A65F3"/>
    <w:rsid w:val="005A6FC6"/>
    <w:rsid w:val="005B08EA"/>
    <w:rsid w:val="005B391B"/>
    <w:rsid w:val="005B782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DA7"/>
    <w:rsid w:val="006643DF"/>
    <w:rsid w:val="006653CD"/>
    <w:rsid w:val="00683170"/>
    <w:rsid w:val="00686143"/>
    <w:rsid w:val="00693805"/>
    <w:rsid w:val="00697B2E"/>
    <w:rsid w:val="006A1E96"/>
    <w:rsid w:val="006A2E17"/>
    <w:rsid w:val="006A3E38"/>
    <w:rsid w:val="006A51F4"/>
    <w:rsid w:val="006B18B4"/>
    <w:rsid w:val="006B2BEE"/>
    <w:rsid w:val="006B306D"/>
    <w:rsid w:val="006B5678"/>
    <w:rsid w:val="006B5843"/>
    <w:rsid w:val="006C0A27"/>
    <w:rsid w:val="006C2AB8"/>
    <w:rsid w:val="006C642D"/>
    <w:rsid w:val="006C7749"/>
    <w:rsid w:val="006D52C8"/>
    <w:rsid w:val="006E6178"/>
    <w:rsid w:val="006F48A0"/>
    <w:rsid w:val="006F52B5"/>
    <w:rsid w:val="00700B84"/>
    <w:rsid w:val="00702308"/>
    <w:rsid w:val="00707134"/>
    <w:rsid w:val="0070716F"/>
    <w:rsid w:val="00707E7B"/>
    <w:rsid w:val="00720151"/>
    <w:rsid w:val="00734A80"/>
    <w:rsid w:val="007435B8"/>
    <w:rsid w:val="00744B34"/>
    <w:rsid w:val="00746F30"/>
    <w:rsid w:val="00753B48"/>
    <w:rsid w:val="00754D6B"/>
    <w:rsid w:val="0075724C"/>
    <w:rsid w:val="007641B7"/>
    <w:rsid w:val="00770BF9"/>
    <w:rsid w:val="00772767"/>
    <w:rsid w:val="00772BFC"/>
    <w:rsid w:val="00773DE8"/>
    <w:rsid w:val="00782B14"/>
    <w:rsid w:val="0079674D"/>
    <w:rsid w:val="007A476C"/>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D0EE8"/>
    <w:rsid w:val="008D2709"/>
    <w:rsid w:val="008D3571"/>
    <w:rsid w:val="008D4B86"/>
    <w:rsid w:val="008D68B5"/>
    <w:rsid w:val="008D7EE0"/>
    <w:rsid w:val="008E6AEE"/>
    <w:rsid w:val="008F3216"/>
    <w:rsid w:val="008F4CF7"/>
    <w:rsid w:val="0090062C"/>
    <w:rsid w:val="00910A69"/>
    <w:rsid w:val="009163CC"/>
    <w:rsid w:val="00921DA1"/>
    <w:rsid w:val="0092264B"/>
    <w:rsid w:val="00930A53"/>
    <w:rsid w:val="00930C91"/>
    <w:rsid w:val="009348BE"/>
    <w:rsid w:val="009368C0"/>
    <w:rsid w:val="00941DD1"/>
    <w:rsid w:val="00942DC8"/>
    <w:rsid w:val="00946CCB"/>
    <w:rsid w:val="00947355"/>
    <w:rsid w:val="00956E61"/>
    <w:rsid w:val="0095780C"/>
    <w:rsid w:val="00962BE0"/>
    <w:rsid w:val="0096577B"/>
    <w:rsid w:val="009724BF"/>
    <w:rsid w:val="009748DD"/>
    <w:rsid w:val="00975813"/>
    <w:rsid w:val="009763EC"/>
    <w:rsid w:val="009871BA"/>
    <w:rsid w:val="00997435"/>
    <w:rsid w:val="009A22B7"/>
    <w:rsid w:val="009A3162"/>
    <w:rsid w:val="009A3F84"/>
    <w:rsid w:val="009A55DF"/>
    <w:rsid w:val="009B5309"/>
    <w:rsid w:val="009B5DE0"/>
    <w:rsid w:val="009B5F6D"/>
    <w:rsid w:val="009B7D2D"/>
    <w:rsid w:val="009D2ED8"/>
    <w:rsid w:val="009D4EF8"/>
    <w:rsid w:val="009E10E3"/>
    <w:rsid w:val="009E1AFD"/>
    <w:rsid w:val="009E3FEF"/>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87887"/>
    <w:rsid w:val="00A90AD9"/>
    <w:rsid w:val="00A9356D"/>
    <w:rsid w:val="00AB246E"/>
    <w:rsid w:val="00AC6CA5"/>
    <w:rsid w:val="00AD0E46"/>
    <w:rsid w:val="00AD7781"/>
    <w:rsid w:val="00AF23BE"/>
    <w:rsid w:val="00AF4609"/>
    <w:rsid w:val="00AF4977"/>
    <w:rsid w:val="00B04956"/>
    <w:rsid w:val="00B064ED"/>
    <w:rsid w:val="00B10B30"/>
    <w:rsid w:val="00B132D5"/>
    <w:rsid w:val="00B1455F"/>
    <w:rsid w:val="00B14AB9"/>
    <w:rsid w:val="00B160FD"/>
    <w:rsid w:val="00B25D2F"/>
    <w:rsid w:val="00B3260D"/>
    <w:rsid w:val="00B37A71"/>
    <w:rsid w:val="00B45D81"/>
    <w:rsid w:val="00B5210E"/>
    <w:rsid w:val="00B5338D"/>
    <w:rsid w:val="00B55DE5"/>
    <w:rsid w:val="00B74D66"/>
    <w:rsid w:val="00B77B62"/>
    <w:rsid w:val="00BA57DB"/>
    <w:rsid w:val="00BB23C0"/>
    <w:rsid w:val="00BB37C0"/>
    <w:rsid w:val="00BB7687"/>
    <w:rsid w:val="00BC5214"/>
    <w:rsid w:val="00BC5580"/>
    <w:rsid w:val="00BD4C44"/>
    <w:rsid w:val="00BD72B9"/>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20F22"/>
    <w:rsid w:val="00C241D6"/>
    <w:rsid w:val="00C247D7"/>
    <w:rsid w:val="00C256EF"/>
    <w:rsid w:val="00C26E79"/>
    <w:rsid w:val="00C315F9"/>
    <w:rsid w:val="00C32E8B"/>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A28FA"/>
    <w:rsid w:val="00CA2C55"/>
    <w:rsid w:val="00CA383E"/>
    <w:rsid w:val="00CA5B08"/>
    <w:rsid w:val="00CA793A"/>
    <w:rsid w:val="00CB59E4"/>
    <w:rsid w:val="00CB7959"/>
    <w:rsid w:val="00CF11FF"/>
    <w:rsid w:val="00D01097"/>
    <w:rsid w:val="00D0677E"/>
    <w:rsid w:val="00D0747E"/>
    <w:rsid w:val="00D11A38"/>
    <w:rsid w:val="00D21EA2"/>
    <w:rsid w:val="00D222EB"/>
    <w:rsid w:val="00D25379"/>
    <w:rsid w:val="00D254CA"/>
    <w:rsid w:val="00D43BC0"/>
    <w:rsid w:val="00D43EDD"/>
    <w:rsid w:val="00D564B9"/>
    <w:rsid w:val="00D61753"/>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135"/>
    <w:rsid w:val="00DF082E"/>
    <w:rsid w:val="00DF4389"/>
    <w:rsid w:val="00E06989"/>
    <w:rsid w:val="00E14F0F"/>
    <w:rsid w:val="00E154F8"/>
    <w:rsid w:val="00E218B9"/>
    <w:rsid w:val="00E2291B"/>
    <w:rsid w:val="00E25BAA"/>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B67"/>
    <w:rsid w:val="00E929D1"/>
    <w:rsid w:val="00E978C5"/>
    <w:rsid w:val="00E97900"/>
    <w:rsid w:val="00EB4173"/>
    <w:rsid w:val="00EB63B6"/>
    <w:rsid w:val="00EB69B0"/>
    <w:rsid w:val="00ED0ECB"/>
    <w:rsid w:val="00ED2041"/>
    <w:rsid w:val="00ED3955"/>
    <w:rsid w:val="00ED7651"/>
    <w:rsid w:val="00EE0C50"/>
    <w:rsid w:val="00EE16B0"/>
    <w:rsid w:val="00EE3362"/>
    <w:rsid w:val="00EF11DC"/>
    <w:rsid w:val="00EF395B"/>
    <w:rsid w:val="00EF3EF4"/>
    <w:rsid w:val="00EF6CD3"/>
    <w:rsid w:val="00F109B5"/>
    <w:rsid w:val="00F110BE"/>
    <w:rsid w:val="00F153A6"/>
    <w:rsid w:val="00F171E6"/>
    <w:rsid w:val="00F24712"/>
    <w:rsid w:val="00F26FAB"/>
    <w:rsid w:val="00F332AF"/>
    <w:rsid w:val="00F36722"/>
    <w:rsid w:val="00F436B6"/>
    <w:rsid w:val="00F47EF9"/>
    <w:rsid w:val="00F53B48"/>
    <w:rsid w:val="00F557C1"/>
    <w:rsid w:val="00F56DFA"/>
    <w:rsid w:val="00F65E6B"/>
    <w:rsid w:val="00F7099B"/>
    <w:rsid w:val="00FA1EA9"/>
    <w:rsid w:val="00FA5A52"/>
    <w:rsid w:val="00FB05FB"/>
    <w:rsid w:val="00FB3F43"/>
    <w:rsid w:val="00FB6669"/>
    <w:rsid w:val="00FC15F8"/>
    <w:rsid w:val="00FC75F9"/>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048758">
      <w:bodyDiv w:val="1"/>
      <w:marLeft w:val="0"/>
      <w:marRight w:val="0"/>
      <w:marTop w:val="0"/>
      <w:marBottom w:val="0"/>
      <w:divBdr>
        <w:top w:val="none" w:sz="0" w:space="0" w:color="auto"/>
        <w:left w:val="none" w:sz="0" w:space="0" w:color="auto"/>
        <w:bottom w:val="none" w:sz="0" w:space="0" w:color="auto"/>
        <w:right w:val="none" w:sz="0" w:space="0" w:color="auto"/>
      </w:divBdr>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 w:id="1670979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5.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emf"/><Relationship Id="rId10" Type="http://schemas.openxmlformats.org/officeDocument/2006/relationships/image" Target="media/image2.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comments" Target="comments.xml"/><Relationship Id="rId22" Type="http://schemas.openxmlformats.org/officeDocument/2006/relationships/image" Target="media/image9.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2D215-CE75-704E-BBC7-CDAE2FA22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7336</TotalTime>
  <Pages>50</Pages>
  <Words>12307</Words>
  <Characters>70155</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422</cp:revision>
  <cp:lastPrinted>2014-03-02T16:51:00Z</cp:lastPrinted>
  <dcterms:created xsi:type="dcterms:W3CDTF">2014-02-25T13:27:00Z</dcterms:created>
  <dcterms:modified xsi:type="dcterms:W3CDTF">2019-09-11T17:35:00Z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zotero-version="5.0.74"&gt;&lt;session id="wyFHRrzP"/&gt;&lt;style id="" hasBibliography="0" bibliographyStyleHasBeenSet="0"/&gt;&lt;prefs/&gt;&lt;/data&gt;</vt:lpwstr>
  </property>
</Properties>
</file>