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1A12C592"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w:t>
      </w:r>
      <w:r w:rsidR="001D4AA3">
        <w:lastRenderedPageBreak/>
        <w:t xml:space="preserve">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361DF7C3" w:rsidR="007641B7" w:rsidRDefault="007641B7" w:rsidP="007641B7">
      <w:pPr>
        <w:spacing w:line="480" w:lineRule="auto"/>
        <w:ind w:firstLine="720"/>
        <w:rPr>
          <w:rFonts w:cs="Times New Roman"/>
        </w:rPr>
      </w:pPr>
      <w:r>
        <w:rPr>
          <w:rFonts w:cs="Times New Roman"/>
        </w:rPr>
        <w:t>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govern</w:t>
      </w:r>
      <w:r w:rsidR="00975813">
        <w:rPr>
          <w:rFonts w:cs="Times New Roman"/>
        </w:rPr>
        <w:t>ing</w:t>
      </w:r>
      <w:r>
        <w:rPr>
          <w:rFonts w:cs="Times New Roman"/>
        </w:rPr>
        <w:t xml:space="preserve"> native species </w:t>
      </w:r>
      <w:r w:rsidRPr="00910A69">
        <w:rPr>
          <w:rFonts w:cs="Times New Roman"/>
          <w:noProof/>
        </w:rPr>
        <w:t>(Gurevitch et al. 2011)</w:t>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201877C8" w14:textId="3DB2E2E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 xml:space="preserve">population colonization and extinction </w:t>
      </w:r>
      <w:r w:rsidR="00910A69" w:rsidRPr="00910A69">
        <w:rPr>
          <w:rFonts w:cs="Times New Roman"/>
          <w:noProof/>
        </w:rPr>
        <w:t>(Akçakaya 2000, 2001</w:t>
      </w:r>
      <w:r w:rsidR="00F109B5">
        <w:rPr>
          <w:rFonts w:cs="Times New Roman"/>
          <w:noProof/>
        </w:rPr>
        <w:t xml:space="preserve">; </w:t>
      </w:r>
      <w:r w:rsidR="00F109B5" w:rsidRPr="00910A69">
        <w:rPr>
          <w:rFonts w:cs="Times New Roman"/>
          <w:noProof/>
        </w:rPr>
        <w:t>Akçakaya 2001, Akçakaya et al. 2004, Franklin 2010</w:t>
      </w:r>
      <w:r w:rsidR="00910A69" w:rsidRPr="00910A69">
        <w:rPr>
          <w:rFonts w:cs="Times New Roman"/>
          <w:noProof/>
        </w:rPr>
        <w:t>)</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F109B5" w:rsidRPr="00163C0A">
        <w:rPr>
          <w:rFonts w:cs="Times New Roman"/>
          <w:noProof/>
        </w:rPr>
        <w:t>Keith et al. 2008, Brook et al. 2009, Aiello-Lammens et al. 2011, Pearson et al. 2014</w:t>
      </w:r>
      <w:r w:rsidR="00F109B5">
        <w:rPr>
          <w:rFonts w:cs="Times New Roman"/>
          <w:noProof/>
        </w:rPr>
        <w:t xml:space="preserve">, </w:t>
      </w:r>
      <w:r w:rsidR="00F109B5" w:rsidRPr="00910A69">
        <w:rPr>
          <w:noProof/>
        </w:rPr>
        <w:t>Fordham et al. 2013, Franklin et al. 2013</w:t>
      </w:r>
      <w:r w:rsidR="00263874">
        <w:rPr>
          <w:noProof/>
        </w:rPr>
        <w:t xml:space="preserve">, </w:t>
      </w:r>
      <w:r w:rsidR="00263874" w:rsidRPr="00910A69">
        <w:rPr>
          <w:rFonts w:cs="Times New Roman"/>
          <w:noProof/>
        </w:rPr>
        <w:t>Urban et al. 2007, Fordham et al. 2012</w:t>
      </w:r>
      <w:r w:rsidR="00F109B5">
        <w:rPr>
          <w:noProof/>
        </w:rPr>
        <w:t>)</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 (REF)</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03420E8F"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Pr="00910A69">
        <w:rPr>
          <w:rFonts w:cs="Times New Roman"/>
          <w:noProof/>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 </w:t>
      </w:r>
      <w:r>
        <w:rPr>
          <w:rFonts w:cs="Times New Roman"/>
        </w:rPr>
        <w:t>(</w:t>
      </w:r>
      <w:r w:rsidRPr="00255708">
        <w:rPr>
          <w:rFonts w:cs="Times New Roman"/>
          <w:shd w:val="clear" w:color="auto" w:fill="FFFF00"/>
        </w:rPr>
        <w:t>STANTON REF, THYOLOCINE REF</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w:t>
      </w:r>
      <w:r w:rsidR="007641B7">
        <w:rPr>
          <w:rFonts w:cs="Times New Roman"/>
        </w:rPr>
        <w:lastRenderedPageBreak/>
        <w:t>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w:t>
      </w:r>
      <w:proofErr w:type="spellStart"/>
      <w:r w:rsidR="007641B7" w:rsidRPr="00400423">
        <w:rPr>
          <w:rFonts w:cs="Times New Roman"/>
        </w:rPr>
        <w:t>Kowarik</w:t>
      </w:r>
      <w:proofErr w:type="spellEnd"/>
      <w:r w:rsidR="007641B7" w:rsidRPr="00400423">
        <w:rPr>
          <w:rFonts w:cs="Times New Roman"/>
        </w:rPr>
        <w:t xml:space="preserve"> 1995, Crooks and </w:t>
      </w:r>
      <w:proofErr w:type="spellStart"/>
      <w:r w:rsidR="007641B7" w:rsidRPr="00400423">
        <w:rPr>
          <w:rFonts w:cs="Times New Roman"/>
        </w:rPr>
        <w:t>Soulé</w:t>
      </w:r>
      <w:proofErr w:type="spellEnd"/>
      <w:r w:rsidR="007641B7" w:rsidRPr="00400423">
        <w:rPr>
          <w:rFonts w:cs="Times New Roman"/>
        </w:rPr>
        <w:t xml:space="preserve"> 1999, Sakai et al. 2001, </w:t>
      </w:r>
      <w:proofErr w:type="spellStart"/>
      <w:r w:rsidR="007641B7" w:rsidRPr="00400423">
        <w:rPr>
          <w:rFonts w:cs="Times New Roman"/>
        </w:rPr>
        <w:t>Pyšek</w:t>
      </w:r>
      <w:proofErr w:type="spellEnd"/>
      <w:r w:rsidR="007641B7" w:rsidRPr="00400423">
        <w:rPr>
          <w:rFonts w:cs="Times New Roman"/>
        </w:rPr>
        <w:t xml:space="preserve"> and </w:t>
      </w:r>
      <w:proofErr w:type="spellStart"/>
      <w:r w:rsidR="007641B7" w:rsidRPr="00400423">
        <w:rPr>
          <w:rFonts w:cs="Times New Roman"/>
        </w:rPr>
        <w:t>Hulme</w:t>
      </w:r>
      <w:proofErr w:type="spellEnd"/>
      <w:r w:rsidR="007641B7" w:rsidRPr="00400423">
        <w:rPr>
          <w:rFonts w:cs="Times New Roman"/>
        </w:rPr>
        <w:t xml:space="preserve"> 2005, </w:t>
      </w:r>
      <w:proofErr w:type="spellStart"/>
      <w:r w:rsidR="007641B7" w:rsidRPr="00400423">
        <w:rPr>
          <w:rFonts w:cs="Times New Roman"/>
        </w:rPr>
        <w:t>Theoharides</w:t>
      </w:r>
      <w:proofErr w:type="spellEnd"/>
      <w:r w:rsidR="007641B7" w:rsidRPr="00400423">
        <w:rPr>
          <w:rFonts w:cs="Times New Roman"/>
        </w:rPr>
        <w:t xml:space="preserve"> and Dukes 2007)</w:t>
      </w:r>
      <w:r w:rsidR="00473128">
        <w:rPr>
          <w:rFonts w:cs="Times New Roman"/>
        </w:rPr>
        <w:t xml:space="preserve">. </w:t>
      </w:r>
      <w:r w:rsidR="00C16D64">
        <w:rPr>
          <w:rFonts w:cs="Times New Roman"/>
        </w:rPr>
        <w:t>Similarly, i</w:t>
      </w:r>
      <w:r w:rsidR="0059229F">
        <w:rPr>
          <w:rFonts w:cs="Times New Roman"/>
        </w:rPr>
        <w:t xml:space="preserve">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41672DF9"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2A4FC1">
        <w:rPr>
          <w:rFonts w:cs="Times New Roman"/>
          <w:iCs/>
        </w:rPr>
        <w:t xml:space="preserve"> – Appendix 1</w:t>
      </w:r>
      <w:bookmarkStart w:id="2" w:name="_GoBack"/>
      <w:bookmarkEnd w:id="2"/>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68BC8B2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 xml:space="preserve">based on </w:t>
      </w:r>
      <w:r w:rsidR="00FF24C7" w:rsidRPr="00DD5377">
        <w:rPr>
          <w:rFonts w:cs="Times New Roman"/>
        </w:rPr>
        <w:lastRenderedPageBreak/>
        <w:t>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4AE669A1" w:rsidR="00FF24C7" w:rsidRDefault="00FF24C7" w:rsidP="008579EE">
      <w:pPr>
        <w:spacing w:line="480" w:lineRule="auto"/>
        <w:ind w:firstLine="720"/>
      </w:pPr>
      <w:r>
        <w:t>Randomly generated parameter sets resulted in good sampling coverage of input parameter uncertainty space (</w:t>
      </w:r>
      <w:r w:rsidR="008C70DB">
        <w:t>Online Resources Fig. AXXX</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0EBC33A3"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w:t>
      </w:r>
      <w:r w:rsidR="00F53B48">
        <w:rPr>
          <w:rFonts w:cs="Times New Roman"/>
          <w:iCs/>
        </w:rPr>
        <w:lastRenderedPageBreak/>
        <w:t>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Pr="00D62DB2">
        <w:rPr>
          <w:rFonts w:cs="Times New Roman"/>
          <w:iCs/>
          <w:highlight w:val="yellow"/>
        </w:rPr>
        <w:t xml:space="preserve">Figure </w:t>
      </w:r>
      <w:r w:rsidR="00D62DB2" w:rsidRPr="00D62DB2">
        <w:rPr>
          <w:rFonts w:cs="Times New Roman"/>
          <w:iCs/>
          <w:highlight w:val="yellow"/>
        </w:rPr>
        <w:t>7</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49EC3698"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 xml:space="preserve">variability (standard </w:t>
      </w:r>
      <w:r w:rsidR="004A75BE">
        <w:rPr>
          <w:rFonts w:cs="Times New Roman"/>
          <w:iCs/>
        </w:rPr>
        <w:lastRenderedPageBreak/>
        <w:t>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BC00DAD"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2A4FC1" w:rsidRPr="00111CAC" w:rsidRDefault="002A4FC1"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2A4FC1" w:rsidRPr="00111CAC" w:rsidRDefault="002A4FC1"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2A4FC1" w:rsidRPr="00111CAC" w:rsidRDefault="002A4FC1"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2A4FC1" w:rsidRPr="00111CAC" w:rsidRDefault="002A4FC1"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2A4FC1" w:rsidRPr="00111CAC" w:rsidRDefault="002A4FC1">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2A4FC1" w:rsidRPr="00111CAC" w:rsidRDefault="002A4FC1">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682A1B96" w:rsidR="00FF24C7" w:rsidRPr="00174688" w:rsidRDefault="00FF24C7" w:rsidP="00FF24C7">
      <w:r w:rsidRPr="00642FC2">
        <w:rPr>
          <w:b/>
        </w:rPr>
        <w:lastRenderedPageBreak/>
        <w:t xml:space="preserve">Figure </w:t>
      </w:r>
      <w:r>
        <w:rPr>
          <w:b/>
        </w:rPr>
        <w:t>4.</w:t>
      </w:r>
      <w:r>
        <w:t xml:space="preserve"> Sensitivity of simulation models </w:t>
      </w:r>
      <w:r w:rsidR="00DF68B6">
        <w:t>through time</w:t>
      </w:r>
      <w:r>
        <w:t xml:space="preserve">.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3"/>
                    <a:stretch>
                      <a:fillRect/>
                    </a:stretch>
                  </pic:blipFill>
                  <pic:spPr>
                    <a:xfrm>
                      <a:off x="0" y="0"/>
                      <a:ext cx="5943600" cy="5943600"/>
                    </a:xfrm>
                    <a:prstGeom prst="rect">
                      <a:avLst/>
                    </a:prstGeom>
                  </pic:spPr>
                </pic:pic>
              </a:graphicData>
            </a:graphic>
          </wp:inline>
        </w:drawing>
      </w:r>
      <w:r>
        <w:rPr>
          <w:b/>
          <w:u w:val="single"/>
        </w:rPr>
        <w:br w:type="page"/>
      </w:r>
    </w:p>
    <w:p w14:paraId="06F4ED87" w14:textId="3057E8A7" w:rsidR="00C20F22" w:rsidRPr="00534F05" w:rsidRDefault="007F767B">
      <w:pPr>
        <w:spacing w:after="0"/>
      </w:pPr>
      <w:r>
        <w:rPr>
          <w:b/>
        </w:rPr>
        <w:lastRenderedPageBreak/>
        <w:t>Figure 6</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4"/>
                    <a:stretch>
                      <a:fillRect/>
                    </a:stretch>
                  </pic:blipFill>
                  <pic:spPr>
                    <a:xfrm>
                      <a:off x="0" y="0"/>
                      <a:ext cx="5943600" cy="5943600"/>
                    </a:xfrm>
                    <a:prstGeom prst="rect">
                      <a:avLst/>
                    </a:prstGeom>
                  </pic:spPr>
                </pic:pic>
              </a:graphicData>
            </a:graphic>
          </wp:inline>
        </w:drawing>
      </w:r>
      <w:r w:rsidR="00C20F22">
        <w:rPr>
          <w:b/>
        </w:rPr>
        <w:br w:type="page"/>
      </w:r>
    </w:p>
    <w:p w14:paraId="70D7E18C" w14:textId="25FAE5B8"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w:t>
      </w:r>
      <w:r w:rsidR="0052606C">
        <w:t>The b</w:t>
      </w:r>
      <w:r w:rsidR="00FF24C7">
        <w:t xml:space="preserve">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r w:rsidR="00D24402">
        <w:t xml:space="preserve"> The red line represents the square-root of the maximum number of patches occupied, based on the historical observations.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700F36A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5"/>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2A4FC1" w:rsidRPr="00352380" w:rsidRDefault="002A4FC1"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2A4FC1" w:rsidRPr="00352380" w:rsidRDefault="002A4FC1"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2A4FC1" w:rsidRPr="00B04956" w:rsidRDefault="002A4FC1"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2A4FC1" w:rsidRPr="00B04956" w:rsidRDefault="002A4FC1"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2A4FC1" w:rsidRPr="00352380" w:rsidRDefault="002A4FC1"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2A4FC1" w:rsidRPr="00352380" w:rsidRDefault="002A4FC1"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2A4FC1" w:rsidRPr="00B04956" w:rsidRDefault="002A4FC1"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2A4FC1" w:rsidRPr="00B04956" w:rsidRDefault="002A4FC1"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B38EF" w14:textId="77777777" w:rsidR="008D05EE" w:rsidRDefault="008D05EE" w:rsidP="009B5309">
      <w:pPr>
        <w:spacing w:after="0"/>
      </w:pPr>
      <w:r>
        <w:separator/>
      </w:r>
    </w:p>
  </w:endnote>
  <w:endnote w:type="continuationSeparator" w:id="0">
    <w:p w14:paraId="63AF3937" w14:textId="77777777" w:rsidR="008D05EE" w:rsidRDefault="008D05EE"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2A4FC1" w:rsidRDefault="002A4FC1"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2A4FC1" w:rsidRDefault="002A4FC1"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4068F" w14:textId="77777777" w:rsidR="008D05EE" w:rsidRDefault="008D05EE" w:rsidP="009B5309">
      <w:pPr>
        <w:spacing w:after="0"/>
      </w:pPr>
      <w:r>
        <w:separator/>
      </w:r>
    </w:p>
  </w:footnote>
  <w:footnote w:type="continuationSeparator" w:id="0">
    <w:p w14:paraId="4DF24203" w14:textId="77777777" w:rsidR="008D05EE" w:rsidRDefault="008D05EE"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B2C69"/>
    <w:rsid w:val="002C0650"/>
    <w:rsid w:val="002C1390"/>
    <w:rsid w:val="002C1C31"/>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EC1"/>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55DA"/>
    <w:rsid w:val="005064B8"/>
    <w:rsid w:val="005142E9"/>
    <w:rsid w:val="005143FE"/>
    <w:rsid w:val="00515162"/>
    <w:rsid w:val="00517F9A"/>
    <w:rsid w:val="00524267"/>
    <w:rsid w:val="005250B5"/>
    <w:rsid w:val="0052606C"/>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20151"/>
    <w:rsid w:val="00734A80"/>
    <w:rsid w:val="007435B8"/>
    <w:rsid w:val="007441EF"/>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48DD"/>
    <w:rsid w:val="00975813"/>
    <w:rsid w:val="009763EC"/>
    <w:rsid w:val="009871BA"/>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4AB9"/>
    <w:rsid w:val="00B160FD"/>
    <w:rsid w:val="00B176A4"/>
    <w:rsid w:val="00B25D2F"/>
    <w:rsid w:val="00B3260D"/>
    <w:rsid w:val="00B37A71"/>
    <w:rsid w:val="00B45D81"/>
    <w:rsid w:val="00B5210E"/>
    <w:rsid w:val="00B5338D"/>
    <w:rsid w:val="00B55DE5"/>
    <w:rsid w:val="00B74D66"/>
    <w:rsid w:val="00B77B62"/>
    <w:rsid w:val="00BA57DB"/>
    <w:rsid w:val="00BB23C0"/>
    <w:rsid w:val="00BB37C0"/>
    <w:rsid w:val="00BB7687"/>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A28FA"/>
    <w:rsid w:val="00CA2C55"/>
    <w:rsid w:val="00CA383E"/>
    <w:rsid w:val="00CA5B08"/>
    <w:rsid w:val="00CA793A"/>
    <w:rsid w:val="00CB59E4"/>
    <w:rsid w:val="00CB7959"/>
    <w:rsid w:val="00CF11FF"/>
    <w:rsid w:val="00D01097"/>
    <w:rsid w:val="00D0677E"/>
    <w:rsid w:val="00D0747E"/>
    <w:rsid w:val="00D11A38"/>
    <w:rsid w:val="00D21EA2"/>
    <w:rsid w:val="00D222EB"/>
    <w:rsid w:val="00D24402"/>
    <w:rsid w:val="00D25379"/>
    <w:rsid w:val="00D254CA"/>
    <w:rsid w:val="00D43BC0"/>
    <w:rsid w:val="00D43EDD"/>
    <w:rsid w:val="00D564B9"/>
    <w:rsid w:val="00D61753"/>
    <w:rsid w:val="00D62DB2"/>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71E6"/>
    <w:rsid w:val="00F24712"/>
    <w:rsid w:val="00F26FAB"/>
    <w:rsid w:val="00F332AF"/>
    <w:rsid w:val="00F36722"/>
    <w:rsid w:val="00F436B6"/>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EA068-EDF7-5A42-8AB2-C2A98E097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7396</TotalTime>
  <Pages>49</Pages>
  <Words>12214</Words>
  <Characters>69626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438</cp:revision>
  <cp:lastPrinted>2014-03-02T16:51:00Z</cp:lastPrinted>
  <dcterms:created xsi:type="dcterms:W3CDTF">2014-02-25T13:27:00Z</dcterms:created>
  <dcterms:modified xsi:type="dcterms:W3CDTF">2019-09-17T13:44:00Z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