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1567B82B" w:rsidR="00FF24C7" w:rsidRPr="00612063" w:rsidRDefault="008579EE" w:rsidP="00FF24C7">
      <w:pPr>
        <w:pStyle w:val="Header"/>
        <w:jc w:val="center"/>
        <w:rPr>
          <w:rFonts w:cs="Times New Roman"/>
          <w:b/>
        </w:rPr>
      </w:pPr>
      <w:bookmarkStart w:id="0" w:name="introduction"/>
      <w:r>
        <w:rPr>
          <w:rFonts w:cs="Times New Roman"/>
          <w:b/>
        </w:rPr>
        <w:t xml:space="preserve">Testing invasion hypotheses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0F22056D" w:rsidR="00524267" w:rsidRPr="00524267" w:rsidRDefault="00DA3092" w:rsidP="00E978C5">
      <w:pPr>
        <w:spacing w:line="480" w:lineRule="auto"/>
        <w:ind w:firstLine="720"/>
      </w:pPr>
      <w:r>
        <w:t xml:space="preserve">The ecological processes that result in species distributions </w:t>
      </w:r>
      <w:r w:rsidR="00D61753">
        <w:t xml:space="preserve">occur </w:t>
      </w:r>
      <w:r w:rsidR="00E978C5">
        <w:t>over multiple</w:t>
      </w:r>
      <w:r w:rsidR="00D61753">
        <w:t xml:space="preserve"> spatial and temporal scales, from interactions between individual organisms to climatic effects on habitat quality. </w:t>
      </w:r>
      <w:r w:rsidR="00D61753" w:rsidRPr="00D61753">
        <w:t xml:space="preserve">Recent advances in species range modeling directly link </w:t>
      </w:r>
      <w:r w:rsidR="00D61753">
        <w:t xml:space="preserve">observations of </w:t>
      </w:r>
      <w:r w:rsidR="00D61753" w:rsidRPr="00D61753">
        <w:t xml:space="preserve">different life history </w:t>
      </w:r>
      <w:r w:rsidR="00D61753">
        <w:t>characteristics</w:t>
      </w:r>
      <w:r w:rsidR="00D61753" w:rsidRPr="00D61753">
        <w:t xml:space="preserve"> to environmental gradients</w:t>
      </w:r>
      <w:r w:rsidR="000319B8">
        <w:t xml:space="preserve">, providing a way to integrate the processes that shape patterns of biogeography. Application of these methods is increasing in conservation biology related studies, but </w:t>
      </w:r>
      <w:r w:rsidR="00E978C5">
        <w:t>are underutilized</w:t>
      </w:r>
      <w:r w:rsidR="000319B8">
        <w:t xml:space="preserve"> in invasion biology. As a demonstration of the utility of these methods</w:t>
      </w:r>
      <w:r w:rsidR="004B7E65">
        <w:t xml:space="preserve">, I developed a linked </w:t>
      </w:r>
      <w:r w:rsidR="000319B8">
        <w:t xml:space="preserve">demographic and species distribution model for the invasive species </w:t>
      </w:r>
      <w:r w:rsidR="000319B8">
        <w:rPr>
          <w:rFonts w:cs="Times New Roman"/>
          <w:i/>
          <w:iCs/>
        </w:rPr>
        <w:t xml:space="preserve">Frangula </w:t>
      </w:r>
      <w:proofErr w:type="spellStart"/>
      <w:r w:rsidR="000319B8">
        <w:rPr>
          <w:rFonts w:cs="Times New Roman"/>
          <w:i/>
          <w:iCs/>
        </w:rPr>
        <w:t>alnus</w:t>
      </w:r>
      <w:proofErr w:type="spellEnd"/>
      <w:r w:rsidR="000319B8">
        <w:rPr>
          <w:rFonts w:cs="Times New Roman"/>
          <w:iCs/>
        </w:rPr>
        <w:t xml:space="preserve">. </w:t>
      </w:r>
      <w:r w:rsidR="00E978C5">
        <w:rPr>
          <w:rFonts w:cs="Times New Roman"/>
          <w:iCs/>
        </w:rPr>
        <w:t>Using a</w:t>
      </w:r>
      <w:r w:rsidR="000319B8">
        <w:t xml:space="preserve"> global sensitivity analysis approach</w:t>
      </w:r>
      <w:r w:rsidR="00E978C5">
        <w:t>, I</w:t>
      </w:r>
      <w:r w:rsidR="000319B8">
        <w:t xml:space="preserve"> create</w:t>
      </w:r>
      <w:r w:rsidR="00E978C5">
        <w:t>d</w:t>
      </w:r>
      <w:r w:rsidR="000319B8">
        <w:t xml:space="preserve"> simulations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rsidR="004B7E65">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70B054B2" w:rsidR="007641B7" w:rsidRDefault="007641B7" w:rsidP="007641B7">
      <w:pPr>
        <w:spacing w:line="480" w:lineRule="auto"/>
        <w:ind w:firstLine="720"/>
        <w:rPr>
          <w:rFonts w:cs="Times New Roman"/>
        </w:rPr>
      </w:pPr>
      <w:r>
        <w:rPr>
          <w:rFonts w:cs="Times New Roman"/>
        </w:rPr>
        <w:t>Understanding the processes associated with successful establishment and spread of novel species is a major goal of invasion ecology. Over the past 50 years, numerous theories explaining why some species are invasive and other are not have been proposed, tested, and refined (LOWRY). Fundamentally the processes governing dynamics of invasive species are the same as those govern</w:t>
      </w:r>
      <w:r w:rsidR="00975813">
        <w:rPr>
          <w:rFonts w:cs="Times New Roman"/>
        </w:rPr>
        <w:t>ing</w:t>
      </w:r>
      <w:r>
        <w:rPr>
          <w:rFonts w:cs="Times New Roman"/>
        </w:rPr>
        <w:t xml:space="preserve"> native species </w:t>
      </w:r>
      <w:r w:rsidRPr="00910A69">
        <w:rPr>
          <w:rFonts w:cs="Times New Roman"/>
          <w:noProof/>
        </w:rPr>
        <w:t>(Gurevitch et al. 2011)</w:t>
      </w:r>
      <w:r>
        <w:rPr>
          <w:rFonts w:cs="Times New Roman"/>
        </w:rPr>
        <w:t xml:space="preserve">. As such, </w:t>
      </w:r>
      <w:r w:rsidR="00975813">
        <w:rPr>
          <w:rFonts w:cs="Times New Roman"/>
        </w:rPr>
        <w:t xml:space="preserve">using well established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 </w:t>
      </w:r>
      <w:r w:rsidRPr="00910A69">
        <w:rPr>
          <w:rFonts w:cs="Times New Roman"/>
          <w:noProof/>
        </w:rPr>
        <w:t>(Pyšek and Hulme 2005)</w:t>
      </w:r>
      <w:r>
        <w:rPr>
          <w:rFonts w:cs="Times New Roman"/>
        </w:rPr>
        <w:t xml:space="preserve">. </w:t>
      </w:r>
    </w:p>
    <w:p w14:paraId="201877C8" w14:textId="78CA62C8"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local populations</w:t>
      </w:r>
      <w:r w:rsidR="00EE3362">
        <w:rPr>
          <w:rFonts w:cs="Times New Roman"/>
        </w:rPr>
        <w:t xml:space="preserve"> and</w:t>
      </w:r>
      <w:r>
        <w:rPr>
          <w:rFonts w:cs="Times New Roman"/>
        </w:rPr>
        <w:t xml:space="preserve"> population colonization and extinction </w:t>
      </w:r>
      <w:r w:rsidR="00910A69" w:rsidRPr="00910A69">
        <w:rPr>
          <w:rFonts w:cs="Times New Roman"/>
          <w:noProof/>
        </w:rPr>
        <w:t>(Akçakaya 2000, 2001</w:t>
      </w:r>
      <w:r w:rsidR="00F109B5">
        <w:rPr>
          <w:rFonts w:cs="Times New Roman"/>
          <w:noProof/>
        </w:rPr>
        <w:t xml:space="preserve">; </w:t>
      </w:r>
      <w:r w:rsidR="00F109B5" w:rsidRPr="00910A69">
        <w:rPr>
          <w:rFonts w:cs="Times New Roman"/>
          <w:noProof/>
        </w:rPr>
        <w:t>Akçakaya 2001, Akçakaya et al. 2004, Franklin 2010, Fordham et al. 2013</w:t>
      </w:r>
      <w:r w:rsidR="00910A69" w:rsidRPr="00910A69">
        <w:rPr>
          <w:rFonts w:cs="Times New Roman"/>
          <w:noProof/>
        </w:rPr>
        <w:t>)</w:t>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F109B5" w:rsidRPr="00163C0A">
        <w:rPr>
          <w:rFonts w:cs="Times New Roman"/>
          <w:noProof/>
        </w:rPr>
        <w:t>Keith et al. 2008, Brook et al. 2009, Aiello-Lammens et al. 2011, Pearson et al. 2014</w:t>
      </w:r>
      <w:r w:rsidR="00F109B5">
        <w:rPr>
          <w:rFonts w:cs="Times New Roman"/>
          <w:noProof/>
        </w:rPr>
        <w:t xml:space="preserve">, </w:t>
      </w:r>
      <w:r w:rsidR="00F109B5" w:rsidRPr="00910A69">
        <w:rPr>
          <w:noProof/>
        </w:rPr>
        <w:t>Fordham et al. 2013, Franklin et al. 2013</w:t>
      </w:r>
      <w:r w:rsidR="00263874">
        <w:rPr>
          <w:noProof/>
        </w:rPr>
        <w:t xml:space="preserve">, </w:t>
      </w:r>
      <w:r w:rsidR="00263874" w:rsidRPr="00910A69">
        <w:rPr>
          <w:rFonts w:cs="Times New Roman"/>
          <w:noProof/>
        </w:rPr>
        <w:t>Urban et al. 2007, Fordham et al. 2012</w:t>
      </w:r>
      <w:r w:rsidR="00F109B5">
        <w:rPr>
          <w:noProof/>
        </w:rPr>
        <w:t>)</w:t>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 (REF)</w:t>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22E6F1B2"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Pr="00910A69">
        <w:rPr>
          <w:rFonts w:cs="Times New Roman"/>
          <w:noProof/>
        </w:rPr>
        <w:t>(Hastings et al. 2005)</w:t>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 (</w:t>
      </w:r>
      <w:r w:rsidR="00FA1EA9" w:rsidRPr="00910A69">
        <w:rPr>
          <w:rFonts w:cs="Times New Roman"/>
          <w:noProof/>
        </w:rPr>
        <w:t>Sakai et al. 2001, Theoharides and Dukes 2007, Blackburn et al. 2011</w:t>
      </w:r>
      <w:r w:rsidR="00FA1EA9">
        <w:rPr>
          <w:rFonts w:cs="Times New Roman"/>
          <w:noProof/>
        </w:rPr>
        <w:t xml:space="preserve">), and thus the </w:t>
      </w:r>
      <w:r w:rsidR="00FA1EA9">
        <w:rPr>
          <w:rFonts w:cs="Times New Roman"/>
        </w:rPr>
        <w:t>utility of analysis tools that allow for investigation across multiple scale levels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spread, </w:t>
      </w:r>
      <w:r w:rsidR="00263874">
        <w:rPr>
          <w:rFonts w:cs="Times New Roman"/>
        </w:rPr>
        <w:t xml:space="preserve">retrospective analyses offers an important tool for testing hypotheses of species spread. Such analyses have already been applied to understand causes of species </w:t>
      </w:r>
      <w:proofErr w:type="spellStart"/>
      <w:r w:rsidR="00263874">
        <w:rPr>
          <w:rFonts w:cs="Times New Roman"/>
        </w:rPr>
        <w:t>delinces</w:t>
      </w:r>
      <w:proofErr w:type="spellEnd"/>
      <w:r w:rsidR="00263874">
        <w:rPr>
          <w:rFonts w:cs="Times New Roman"/>
        </w:rPr>
        <w:t xml:space="preserve"> and extinctions </w:t>
      </w:r>
      <w:r>
        <w:rPr>
          <w:rFonts w:cs="Times New Roman"/>
        </w:rPr>
        <w:t>(</w:t>
      </w:r>
      <w:r w:rsidRPr="00255708">
        <w:rPr>
          <w:rFonts w:cs="Times New Roman"/>
          <w:shd w:val="clear" w:color="auto" w:fill="FFFF00"/>
        </w:rPr>
        <w:t>STANTON REF, THYOLOCINE REF</w:t>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(reviewed in SIMBERLOFF REF), leading some to suggest </w:t>
      </w:r>
      <w:r w:rsidR="007641B7">
        <w:rPr>
          <w:rFonts w:cs="Times New Roman"/>
        </w:rPr>
        <w:t xml:space="preserve">that mathematical parameterizations of propagule pressure could serve as a </w:t>
      </w:r>
      <w:r w:rsidR="00CB59E4">
        <w:rPr>
          <w:rFonts w:cs="Times New Roman"/>
        </w:rPr>
        <w:t xml:space="preserve">null model of invasion </w:t>
      </w:r>
      <w:r w:rsidR="0059229F">
        <w:rPr>
          <w:rFonts w:cs="Times New Roman"/>
        </w:rPr>
        <w:t xml:space="preserve">(COLAUTTI ET AL REF).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w:t>
      </w:r>
      <w:r w:rsidR="007641B7">
        <w:rPr>
          <w:rFonts w:cs="Times New Roman"/>
        </w:rPr>
        <w:lastRenderedPageBreak/>
        <w:t>temporal lags between stages of invasion</w:t>
      </w:r>
      <w:r w:rsidR="00473128">
        <w:rPr>
          <w:rFonts w:cs="Times New Roman"/>
        </w:rPr>
        <w:t>, incorporating a mix of population ecology, biogeography, and evolution</w:t>
      </w:r>
      <w:r w:rsidR="007641B7">
        <w:rPr>
          <w:rFonts w:cs="Times New Roman"/>
        </w:rPr>
        <w:t xml:space="preserve"> </w:t>
      </w:r>
      <w:r w:rsidR="007641B7" w:rsidRPr="00400423">
        <w:rPr>
          <w:rFonts w:cs="Times New Roman"/>
        </w:rPr>
        <w:t>(</w:t>
      </w:r>
      <w:proofErr w:type="spellStart"/>
      <w:r w:rsidR="007641B7" w:rsidRPr="00400423">
        <w:rPr>
          <w:rFonts w:cs="Times New Roman"/>
        </w:rPr>
        <w:t>Kowarik</w:t>
      </w:r>
      <w:proofErr w:type="spellEnd"/>
      <w:r w:rsidR="007641B7" w:rsidRPr="00400423">
        <w:rPr>
          <w:rFonts w:cs="Times New Roman"/>
        </w:rPr>
        <w:t xml:space="preserve"> 1995, Crooks and </w:t>
      </w:r>
      <w:proofErr w:type="spellStart"/>
      <w:r w:rsidR="007641B7" w:rsidRPr="00400423">
        <w:rPr>
          <w:rFonts w:cs="Times New Roman"/>
        </w:rPr>
        <w:t>Soulé</w:t>
      </w:r>
      <w:proofErr w:type="spellEnd"/>
      <w:r w:rsidR="007641B7" w:rsidRPr="00400423">
        <w:rPr>
          <w:rFonts w:cs="Times New Roman"/>
        </w:rPr>
        <w:t xml:space="preserve"> 1999, Sakai et al. 2001, </w:t>
      </w:r>
      <w:proofErr w:type="spellStart"/>
      <w:r w:rsidR="007641B7" w:rsidRPr="00400423">
        <w:rPr>
          <w:rFonts w:cs="Times New Roman"/>
        </w:rPr>
        <w:t>Pyšek</w:t>
      </w:r>
      <w:proofErr w:type="spellEnd"/>
      <w:r w:rsidR="007641B7" w:rsidRPr="00400423">
        <w:rPr>
          <w:rFonts w:cs="Times New Roman"/>
        </w:rPr>
        <w:t xml:space="preserve"> and </w:t>
      </w:r>
      <w:proofErr w:type="spellStart"/>
      <w:r w:rsidR="007641B7" w:rsidRPr="00400423">
        <w:rPr>
          <w:rFonts w:cs="Times New Roman"/>
        </w:rPr>
        <w:t>Hulme</w:t>
      </w:r>
      <w:proofErr w:type="spellEnd"/>
      <w:r w:rsidR="007641B7" w:rsidRPr="00400423">
        <w:rPr>
          <w:rFonts w:cs="Times New Roman"/>
        </w:rPr>
        <w:t xml:space="preserve"> 2005, </w:t>
      </w:r>
      <w:proofErr w:type="spellStart"/>
      <w:r w:rsidR="007641B7" w:rsidRPr="00400423">
        <w:rPr>
          <w:rFonts w:cs="Times New Roman"/>
        </w:rPr>
        <w:t>Theoharides</w:t>
      </w:r>
      <w:proofErr w:type="spellEnd"/>
      <w:r w:rsidR="007641B7" w:rsidRPr="00400423">
        <w:rPr>
          <w:rFonts w:cs="Times New Roman"/>
        </w:rPr>
        <w:t xml:space="preserve"> and Dukes 2007)</w:t>
      </w:r>
      <w:r w:rsidR="00473128">
        <w:rPr>
          <w:rFonts w:cs="Times New Roman"/>
        </w:rPr>
        <w:t xml:space="preserve">. </w:t>
      </w:r>
      <w:r w:rsidR="0059229F">
        <w:rPr>
          <w:rFonts w:cs="Times New Roman"/>
        </w:rPr>
        <w:t xml:space="preserve">In simulation work, </w:t>
      </w:r>
      <w:r w:rsidR="00C36DF4">
        <w:rPr>
          <w:rFonts w:cs="Times New Roman"/>
        </w:rPr>
        <w:t xml:space="preserve">With (2002, 2004) 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15B19C4A"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 xml:space="preserve">F.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 xml:space="preserve">test multiple hypotheses regarding the invasion of </w:t>
      </w:r>
      <w:r w:rsidR="00D74C5F">
        <w:rPr>
          <w:rFonts w:eastAsiaTheme="minorEastAsia" w:cs="Times New Roman"/>
          <w:i/>
          <w:iCs/>
        </w:rPr>
        <w:t xml:space="preserve">F. </w:t>
      </w:r>
      <w:proofErr w:type="spellStart"/>
      <w:r w:rsidR="00D74C5F">
        <w:rPr>
          <w:rFonts w:eastAsiaTheme="minorEastAsia" w:cs="Times New Roman"/>
          <w:i/>
          <w:iCs/>
        </w:rPr>
        <w:t>alnus</w:t>
      </w:r>
      <w:proofErr w:type="spellEnd"/>
      <w:r w:rsidR="00D74C5F">
        <w:rPr>
          <w:rFonts w:eastAsiaTheme="minorEastAsia" w:cs="Times New Roman"/>
          <w:i/>
          <w:iCs/>
        </w:rPr>
        <w:t xml:space="preserve"> </w:t>
      </w:r>
      <w:r w:rsidR="00D74C5F">
        <w:rPr>
          <w:rFonts w:eastAsiaTheme="minorEastAsia" w:cs="Times New Roman"/>
          <w:iCs/>
        </w:rPr>
        <w:t xml:space="preserve">in North America. 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w:t>
      </w:r>
      <w:r w:rsidR="00FF24C7">
        <w:rPr>
          <w:rFonts w:cs="Times New Roman"/>
          <w:iCs/>
        </w:rPr>
        <w:lastRenderedPageBreak/>
        <w:t xml:space="preserve">model focuses 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4D592B8F"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 xml:space="preserve">per location </w:t>
      </w:r>
      <w:r w:rsidR="00AB246E">
        <w:rPr>
          <w:rFonts w:cs="Times New Roman"/>
          <w:iCs/>
        </w:rPr>
        <w:t>that</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15 or 20 </w:t>
      </w:r>
      <w:r w:rsidR="000655B2">
        <w:rPr>
          <w:rFonts w:cs="Times New Roman"/>
        </w:rPr>
        <w:t xml:space="preserve">randomly located </w:t>
      </w:r>
      <w:r w:rsidR="00C57F4F">
        <w:rPr>
          <w:rFonts w:cs="Times New Roman"/>
        </w:rPr>
        <w:t xml:space="preserve">2 x 2 meter plots were established,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AB246E" w:rsidRPr="00EF6CD3">
        <w:rPr>
          <w:rFonts w:cs="Times New Roman"/>
          <w:iCs/>
          <w:highlight w:val="yellow"/>
        </w:rPr>
        <w:t xml:space="preserve"> XXX</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6D95093B"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 XXX</w:t>
      </w:r>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3BDD3E95"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C87F16" w:rsidRPr="001B0D02">
        <w:rPr>
          <w:b/>
          <w:strike/>
          <w:color w:val="FF0000"/>
        </w:rPr>
        <w:t>2285</w:t>
      </w:r>
      <w:r w:rsidR="00C87F16">
        <w:rPr>
          <w:b/>
          <w:color w:val="FF0000"/>
        </w:rPr>
        <w:t xml:space="preserve"> </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74D9A1FB"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(Figure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352B69" w:rsidRPr="00352B69">
        <w:rPr>
          <w:rFonts w:cs="Times New Roman"/>
          <w:iCs/>
        </w:rPr>
        <w:t>Figure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(Figure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2" w:name="OLE_LINK1"/>
        <w:bookmarkStart w:id="3"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2"/>
      <w:bookmarkEnd w:id="3"/>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based on 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lastRenderedPageBreak/>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97B0CD2"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Table A3</w:t>
      </w:r>
      <w:r>
        <w:rPr>
          <w:rFonts w:cs="Times New Roman"/>
        </w:rPr>
        <w:t>).</w:t>
      </w:r>
      <w:r w:rsidRPr="00DD5377">
        <w:rPr>
          <w:rFonts w:cs="Times New Roman"/>
        </w:rPr>
        <w:t xml:space="preserve"> </w:t>
      </w:r>
    </w:p>
    <w:p w14:paraId="21A4072C" w14:textId="7B348DD3"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Figure 1D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014D3698"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from a whole range perspective, very few grid cells had high values of percent cover of pasture. Both low and high values of growing degree days (GDD) were associated with low habitat </w:t>
      </w:r>
      <w:r>
        <w:rPr>
          <w:rFonts w:cs="Times New Roman"/>
          <w:iCs/>
        </w:rPr>
        <w:lastRenderedPageBreak/>
        <w:t xml:space="preserve">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 xml:space="preserve">suitability changing through time (Figure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56FF2920" w:rsidR="00FF24C7" w:rsidRDefault="00FF24C7" w:rsidP="008579EE">
      <w:pPr>
        <w:spacing w:line="480" w:lineRule="auto"/>
        <w:ind w:firstLine="720"/>
      </w:pPr>
      <w:r>
        <w:t>Randomly generated parameter sets resulted in good sampling coverage of input parameter uncertainty space (Figure 3)</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Similar results were found assuming an occupancy threshold of 1 and 2000 individuals. Given the lack of difference in the key measures used to compare simulations to patterns of historical occurrence records, the subsequent results presented </w:t>
      </w:r>
      <w:r>
        <w:lastRenderedPageBreak/>
        <w:t xml:space="preserve">are for simulations considering land-use change and effective </w:t>
      </w:r>
      <w:r w:rsidR="00E367D4">
        <w:t xml:space="preserve">plot </w:t>
      </w:r>
      <w:r>
        <w:t>density</w:t>
      </w:r>
      <w:r w:rsidR="0055552A">
        <w:t>, as t</w:t>
      </w:r>
      <w:r>
        <w:t xml:space="preserve">hese model structures are biologically more realistic than the alternatives. </w:t>
      </w:r>
    </w:p>
    <w:p w14:paraId="43068E05" w14:textId="461F9672" w:rsidR="00FF24C7" w:rsidRDefault="00FF24C7" w:rsidP="008579EE">
      <w:pPr>
        <w:spacing w:line="480" w:lineRule="auto"/>
        <w:ind w:firstLine="720"/>
      </w:pPr>
      <w:r>
        <w:t>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indicate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2EBC7BD9"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i.e., 1950; 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w:t>
      </w:r>
      <w:r>
        <w:rPr>
          <w:rFonts w:cs="Times New Roman"/>
          <w:iCs/>
        </w:rPr>
        <w:lastRenderedPageBreak/>
        <w:t xml:space="preserve">predicted as occupied (Figure 5).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024BC93D" w:rsidR="00FF24C7" w:rsidRPr="00343259" w:rsidRDefault="00FF24C7" w:rsidP="00343259">
      <w:pPr>
        <w:spacing w:line="480" w:lineRule="auto"/>
        <w:rPr>
          <w:rFonts w:cs="Times New Roman"/>
          <w:i/>
          <w:iCs/>
        </w:rPr>
      </w:pPr>
      <w:bookmarkStart w:id="4" w:name="OLE_LINK9"/>
      <w:bookmarkStart w:id="5"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4"/>
      <w:bookmarkEnd w:id="5"/>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proofErr w:type="spellStart"/>
      <w:r w:rsidR="00343259">
        <w:rPr>
          <w:rFonts w:cs="Times New Roman"/>
          <w:iCs/>
        </w:rPr>
        <w:t>yieled</w:t>
      </w:r>
      <w:proofErr w:type="spellEnd"/>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 xml:space="preserve">number of LLD events (21.5%), and metapopulation initial abundance (14.2%). </w:t>
      </w:r>
      <w:r w:rsidR="002C6315">
        <w:rPr>
          <w:rFonts w:cs="Times New Roman"/>
          <w:iCs/>
        </w:rPr>
        <w:t xml:space="preserve">The remaining parameters, with the exception of carrying capacity, all have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variability (standard 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bookmarkStart w:id="6" w:name="_GoBack"/>
      <w:bookmarkEnd w:id="6"/>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77777777"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Pr="0070716F">
        <w:rPr>
          <w:rFonts w:cs="Times New Roman"/>
          <w:iCs/>
          <w:noProof/>
        </w:rPr>
        <w:t>(Medan 1994)</w:t>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45A8C8E3"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w:t>
      </w:r>
      <w:r w:rsidR="00941DD1">
        <w:rPr>
          <w:rFonts w:cs="Times New Roman"/>
          <w:iCs/>
        </w:rPr>
        <w:lastRenderedPageBreak/>
        <w:t xml:space="preserve">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5BFA5609"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17E422FE"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lastRenderedPageBreak/>
        <w:t>(Mason et al. 2008)</w:t>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2F5D6C">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59EDB853"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CA5B08">
        <w:rPr>
          <w:rFonts w:cs="Times New Roman"/>
          <w:iCs/>
          <w:noProof/>
        </w:rPr>
        <w:t>, LARKIN 2011</w:t>
      </w:r>
      <w:r w:rsidR="008D4B86" w:rsidRPr="00910A69">
        <w:rPr>
          <w:rFonts w:cs="Times New Roman"/>
          <w:iCs/>
          <w:noProof/>
        </w:rPr>
        <w:t>)</w:t>
      </w:r>
      <w:r w:rsidR="008D7EE0">
        <w:rPr>
          <w:rFonts w:cs="Times New Roman"/>
          <w:iCs/>
        </w:rPr>
        <w:t xml:space="preserve">. </w:t>
      </w:r>
    </w:p>
    <w:p w14:paraId="20C6D5FF" w14:textId="57CC355B"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6BAFA50F"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2C1E0F5C" w14:textId="46D2AB1B" w:rsidR="00FF24C7" w:rsidRDefault="00FF24C7" w:rsidP="008579EE">
      <w:pPr>
        <w:spacing w:line="480" w:lineRule="auto"/>
        <w:rPr>
          <w:rFonts w:cs="Times New Roman"/>
          <w:iCs/>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p>
    <w:p w14:paraId="3E61DD6F" w14:textId="77777777" w:rsidR="00EE16B0" w:rsidRDefault="00EE16B0" w:rsidP="008579EE">
      <w:pPr>
        <w:spacing w:after="0" w:line="480" w:lineRule="auto"/>
        <w:rPr>
          <w:rFonts w:eastAsiaTheme="majorEastAsia" w:cstheme="majorBidi"/>
          <w:b/>
          <w:bCs/>
          <w:color w:val="4F81BD" w:themeColor="accent1"/>
          <w:szCs w:val="32"/>
        </w:rPr>
      </w:pPr>
      <w:r>
        <w:lastRenderedPageBreak/>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C91EDA" w:rsidRPr="00111CAC" w:rsidRDefault="00C91EDA"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C91EDA" w:rsidRPr="00111CAC" w:rsidRDefault="00C91EDA"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C91EDA" w:rsidRPr="00111CAC" w:rsidRDefault="00C91EDA"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C91EDA" w:rsidRPr="00111CAC" w:rsidRDefault="00C91EDA"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C91EDA" w:rsidRPr="00111CAC" w:rsidRDefault="00C91ED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C91EDA" w:rsidRPr="00111CAC" w:rsidRDefault="00C91EDA"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C91EDA" w:rsidRPr="00111CAC" w:rsidRDefault="00C91EDA">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C91EDA" w:rsidRPr="00111CAC" w:rsidRDefault="00C91EDA">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0"/>
          <w:footerReference w:type="default" r:id="rId11"/>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2">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1FE9BCEA" w14:textId="77777777" w:rsidR="00FF24C7" w:rsidRDefault="00FF24C7" w:rsidP="00FF24C7">
      <w:r>
        <w:rPr>
          <w:b/>
        </w:rPr>
        <w:lastRenderedPageBreak/>
        <w:t>Figure 3</w:t>
      </w:r>
      <w:r w:rsidRPr="003C38F3">
        <w:rPr>
          <w:b/>
        </w:rPr>
        <w:t>.</w:t>
      </w:r>
      <w:r>
        <w:t xml:space="preserve"> Paired scatter plots, box plots, and histograms representing 500 randomly generated input parameter sets used in linked demographic and species distribution simulation models.</w:t>
      </w:r>
    </w:p>
    <w:p w14:paraId="65011CB2" w14:textId="77777777" w:rsidR="00FF24C7" w:rsidRPr="003C38F3" w:rsidRDefault="00FF24C7" w:rsidP="00FF24C7">
      <w:pPr>
        <w:rPr>
          <w:rFonts w:ascii="Times" w:eastAsiaTheme="minorEastAsia" w:hAnsi="Times" w:cs="Times New Roman"/>
        </w:rPr>
      </w:pPr>
      <w:r>
        <w:rPr>
          <w:rFonts w:ascii="Times" w:eastAsiaTheme="minorEastAsia" w:hAnsi="Times" w:cs="Times New Roman"/>
          <w:noProof/>
        </w:rPr>
        <w:drawing>
          <wp:inline distT="0" distB="0" distL="0" distR="0" wp14:anchorId="478264CC" wp14:editId="7061B7DA">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_Dens_Sim_Sens_gt_05.pdf"/>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6B6C1A3" w14:textId="77777777" w:rsidR="00FF24C7" w:rsidRDefault="00FF24C7" w:rsidP="00FF24C7">
      <w:pPr>
        <w:rPr>
          <w:b/>
        </w:rPr>
      </w:pPr>
      <w:r>
        <w:rPr>
          <w:b/>
        </w:rPr>
        <w:br w:type="page"/>
      </w:r>
    </w:p>
    <w:p w14:paraId="5C2F7669" w14:textId="410B2ECD" w:rsidR="00FF24C7" w:rsidRPr="00174688" w:rsidRDefault="00FF24C7" w:rsidP="00FF24C7">
      <w:r w:rsidRPr="00642FC2">
        <w:rPr>
          <w:b/>
        </w:rPr>
        <w:lastRenderedPageBreak/>
        <w:t xml:space="preserve">Figure </w:t>
      </w:r>
      <w:r>
        <w:rPr>
          <w:b/>
        </w:rPr>
        <w:t>4.</w:t>
      </w:r>
      <w:r>
        <w:t xml:space="preserve"> Sensitivity of simulation models as calculated in 1925, 1950, 1975, and 2000.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 xml:space="preserve">Results from three different occupancy thresholds are represented by three different colors. </w:t>
      </w:r>
    </w:p>
    <w:p w14:paraId="23DE7F13" w14:textId="77777777" w:rsidR="00FF24C7" w:rsidRPr="001428D6" w:rsidRDefault="00FF24C7" w:rsidP="00FF24C7">
      <w:r w:rsidRPr="00CE786A">
        <w:rPr>
          <w:b/>
          <w:noProof/>
        </w:rPr>
        <w:drawing>
          <wp:inline distT="0" distB="0" distL="0" distR="0" wp14:anchorId="6FD72CEA" wp14:editId="7D291057">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r>
        <w:rPr>
          <w:b/>
        </w:rPr>
        <w:lastRenderedPageBreak/>
        <w:t>Figure 5.</w:t>
      </w:r>
      <w:r>
        <w:t xml:space="preserve"> Number of patches classified as occupied in 1925, 1950, 1975, and 2000. The total number of patches that could be potentially occupied was limited to those patches in which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or an associated species were observed in historically (total patches = 974).</w:t>
      </w:r>
      <w:r>
        <w:t xml:space="preserve"> Simulations plotted here were those using plot effective density dependence, land-use change, and random long-distance dispersal weighted by human population density. </w:t>
      </w:r>
      <w:bookmarkStart w:id="11" w:name="OLE_LINK5"/>
      <w:bookmarkStart w:id="12" w:name="OLE_LINK6"/>
      <w:r>
        <w:t xml:space="preserve">Results from three different occupancy thresholds are represented by three different colors. </w:t>
      </w:r>
      <w:bookmarkEnd w:id="11"/>
      <w:bookmarkEnd w:id="12"/>
      <w:r>
        <w:t xml:space="preserve">The total number of patches that were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based on collected occurrence records were: 1925 – 20, 1950 – 58, 1975 – 143, and 2000 – 267.</w:t>
      </w:r>
    </w:p>
    <w:p w14:paraId="29BDC915" w14:textId="77777777" w:rsidR="00FF24C7" w:rsidRDefault="00FF24C7" w:rsidP="00FF24C7">
      <w:pPr>
        <w:rPr>
          <w:b/>
          <w:u w:val="single"/>
        </w:rPr>
      </w:pPr>
      <w:r w:rsidRPr="007C527B">
        <w:rPr>
          <w:b/>
          <w:noProof/>
        </w:rPr>
        <w:drawing>
          <wp:inline distT="0" distB="0" distL="0" distR="0" wp14:anchorId="1B28BD44" wp14:editId="5D751B24">
            <wp:extent cx="5943600" cy="594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_DensEff_PopD_BoxPlot.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u w:val="single"/>
        </w:rPr>
        <w:br w:type="page"/>
      </w:r>
    </w:p>
    <w:p w14:paraId="06F4ED87" w14:textId="726B6617" w:rsidR="00C20F22" w:rsidRPr="00534F05" w:rsidRDefault="007F767B">
      <w:pPr>
        <w:spacing w:after="0"/>
      </w:pPr>
      <w:r>
        <w:rPr>
          <w:b/>
        </w:rPr>
        <w:lastRenderedPageBreak/>
        <w:t>Figure 6</w:t>
      </w:r>
      <w:r w:rsidR="00C20F22">
        <w:rPr>
          <w:b/>
        </w:rPr>
        <w:t xml:space="preserve">. </w:t>
      </w:r>
      <w:r w:rsidR="00534F05">
        <w:t>Sensitivity versus positive predictive power for simulations using plot effective density dependence, land-use change, and long-distance dispersal weighted by human population density. Model fit measures were calculated based on an occupancy threshold of 1000 individuals. Loss function for cumulative occupied area values are presented in four ranges, each represented by a different symbol. Simulations classified as having a combined sensitivity and positive predictive power metric value of 1 (90 of 500 simulations) are within the region labeled as such.</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5B8532BB">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C20F22">
        <w:rPr>
          <w:b/>
        </w:rPr>
        <w:br w:type="page"/>
      </w:r>
    </w:p>
    <w:p w14:paraId="70D7E18C" w14:textId="3DBE9466"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Black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28AF0F4C">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C91EDA" w:rsidRPr="00352380" w:rsidRDefault="00C91EDA"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C91EDA" w:rsidRPr="00352380" w:rsidRDefault="00C91EDA"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C91EDA" w:rsidRPr="00B04956" w:rsidRDefault="00C91EDA"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C91EDA" w:rsidRPr="00B04956" w:rsidRDefault="00C91EDA"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C91EDA" w:rsidRPr="00352380" w:rsidRDefault="00C91EDA"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C91EDA" w:rsidRPr="00352380" w:rsidRDefault="00C91EDA"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C91EDA" w:rsidRPr="00B04956" w:rsidRDefault="00C91EDA"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C91EDA" w:rsidRPr="00B04956" w:rsidRDefault="00C91EDA"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655A6" w14:textId="77777777" w:rsidR="00517F9A" w:rsidRDefault="00517F9A" w:rsidP="009B5309">
      <w:pPr>
        <w:spacing w:after="0"/>
      </w:pPr>
      <w:r>
        <w:separator/>
      </w:r>
    </w:p>
  </w:endnote>
  <w:endnote w:type="continuationSeparator" w:id="0">
    <w:p w14:paraId="4E31628B" w14:textId="77777777" w:rsidR="00517F9A" w:rsidRDefault="00517F9A"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2AFF" w:usb1="D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C91EDA" w:rsidRDefault="00C91ED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C91EDA" w:rsidRDefault="00C91EDA"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C91EDA" w:rsidRDefault="00C91EDA"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C91EDA" w:rsidRDefault="00C91EDA"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3C28B" w14:textId="77777777" w:rsidR="00517F9A" w:rsidRDefault="00517F9A" w:rsidP="009B5309">
      <w:pPr>
        <w:spacing w:after="0"/>
      </w:pPr>
      <w:r>
        <w:separator/>
      </w:r>
    </w:p>
  </w:footnote>
  <w:footnote w:type="continuationSeparator" w:id="0">
    <w:p w14:paraId="757A79F4" w14:textId="77777777" w:rsidR="00517F9A" w:rsidRDefault="00517F9A"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5C64"/>
    <w:rsid w:val="000C167C"/>
    <w:rsid w:val="000C2E2A"/>
    <w:rsid w:val="000C3E2F"/>
    <w:rsid w:val="000D138D"/>
    <w:rsid w:val="000D2B5E"/>
    <w:rsid w:val="000D6063"/>
    <w:rsid w:val="000E0B57"/>
    <w:rsid w:val="000E4C18"/>
    <w:rsid w:val="000E5404"/>
    <w:rsid w:val="000F20BC"/>
    <w:rsid w:val="000F318E"/>
    <w:rsid w:val="00100848"/>
    <w:rsid w:val="001014C1"/>
    <w:rsid w:val="0010180E"/>
    <w:rsid w:val="00101BBA"/>
    <w:rsid w:val="001033EC"/>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5F68"/>
    <w:rsid w:val="002B2C69"/>
    <w:rsid w:val="002C0650"/>
    <w:rsid w:val="002C1390"/>
    <w:rsid w:val="002C1C31"/>
    <w:rsid w:val="002C6315"/>
    <w:rsid w:val="002C7340"/>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F91"/>
    <w:rsid w:val="003679E2"/>
    <w:rsid w:val="00367DC6"/>
    <w:rsid w:val="00375D20"/>
    <w:rsid w:val="0037719E"/>
    <w:rsid w:val="003963B4"/>
    <w:rsid w:val="003A1D75"/>
    <w:rsid w:val="003A473D"/>
    <w:rsid w:val="003B1761"/>
    <w:rsid w:val="003B3C3E"/>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55DA"/>
    <w:rsid w:val="005064B8"/>
    <w:rsid w:val="005142E9"/>
    <w:rsid w:val="005143FE"/>
    <w:rsid w:val="00515162"/>
    <w:rsid w:val="00517F9A"/>
    <w:rsid w:val="00524267"/>
    <w:rsid w:val="005250B5"/>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84E00"/>
    <w:rsid w:val="0059229F"/>
    <w:rsid w:val="005923D8"/>
    <w:rsid w:val="005A0452"/>
    <w:rsid w:val="005A65F3"/>
    <w:rsid w:val="005A6FC6"/>
    <w:rsid w:val="005B08EA"/>
    <w:rsid w:val="005B391B"/>
    <w:rsid w:val="005B782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DA7"/>
    <w:rsid w:val="006643DF"/>
    <w:rsid w:val="006653CD"/>
    <w:rsid w:val="00683170"/>
    <w:rsid w:val="00686143"/>
    <w:rsid w:val="00693805"/>
    <w:rsid w:val="00697B2E"/>
    <w:rsid w:val="006A1E96"/>
    <w:rsid w:val="006A2E17"/>
    <w:rsid w:val="006A51F4"/>
    <w:rsid w:val="006B18B4"/>
    <w:rsid w:val="006B2BEE"/>
    <w:rsid w:val="006B306D"/>
    <w:rsid w:val="006B5678"/>
    <w:rsid w:val="006B5843"/>
    <w:rsid w:val="006C0A27"/>
    <w:rsid w:val="006C2AB8"/>
    <w:rsid w:val="006C642D"/>
    <w:rsid w:val="006C7749"/>
    <w:rsid w:val="006D52C8"/>
    <w:rsid w:val="006E6178"/>
    <w:rsid w:val="006F48A0"/>
    <w:rsid w:val="006F52B5"/>
    <w:rsid w:val="00700B84"/>
    <w:rsid w:val="00702308"/>
    <w:rsid w:val="00707134"/>
    <w:rsid w:val="0070716F"/>
    <w:rsid w:val="00707E7B"/>
    <w:rsid w:val="00720151"/>
    <w:rsid w:val="00734A80"/>
    <w:rsid w:val="007435B8"/>
    <w:rsid w:val="00744B34"/>
    <w:rsid w:val="00746F30"/>
    <w:rsid w:val="00753B48"/>
    <w:rsid w:val="00754D6B"/>
    <w:rsid w:val="0075724C"/>
    <w:rsid w:val="007641B7"/>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30A53"/>
    <w:rsid w:val="00930C91"/>
    <w:rsid w:val="009348BE"/>
    <w:rsid w:val="009368C0"/>
    <w:rsid w:val="00941DD1"/>
    <w:rsid w:val="00942DC8"/>
    <w:rsid w:val="00946CCB"/>
    <w:rsid w:val="00947355"/>
    <w:rsid w:val="00956E61"/>
    <w:rsid w:val="0095780C"/>
    <w:rsid w:val="00962BE0"/>
    <w:rsid w:val="0096577B"/>
    <w:rsid w:val="009724BF"/>
    <w:rsid w:val="009748DD"/>
    <w:rsid w:val="00975813"/>
    <w:rsid w:val="009763EC"/>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4956"/>
    <w:rsid w:val="00B064ED"/>
    <w:rsid w:val="00B10B30"/>
    <w:rsid w:val="00B132D5"/>
    <w:rsid w:val="00B1455F"/>
    <w:rsid w:val="00B160FD"/>
    <w:rsid w:val="00B25D2F"/>
    <w:rsid w:val="00B3260D"/>
    <w:rsid w:val="00B37A71"/>
    <w:rsid w:val="00B45D81"/>
    <w:rsid w:val="00B5210E"/>
    <w:rsid w:val="00B5338D"/>
    <w:rsid w:val="00B55DE5"/>
    <w:rsid w:val="00B74D66"/>
    <w:rsid w:val="00B77B62"/>
    <w:rsid w:val="00BA57DB"/>
    <w:rsid w:val="00BB23C0"/>
    <w:rsid w:val="00BB37C0"/>
    <w:rsid w:val="00BB7687"/>
    <w:rsid w:val="00BC5214"/>
    <w:rsid w:val="00BC5580"/>
    <w:rsid w:val="00BD4C44"/>
    <w:rsid w:val="00BD72B9"/>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A28FA"/>
    <w:rsid w:val="00CA2C55"/>
    <w:rsid w:val="00CA383E"/>
    <w:rsid w:val="00CA5B08"/>
    <w:rsid w:val="00CA793A"/>
    <w:rsid w:val="00CB59E4"/>
    <w:rsid w:val="00CB7959"/>
    <w:rsid w:val="00CF11FF"/>
    <w:rsid w:val="00D01097"/>
    <w:rsid w:val="00D0677E"/>
    <w:rsid w:val="00D0747E"/>
    <w:rsid w:val="00D11A38"/>
    <w:rsid w:val="00D21EA2"/>
    <w:rsid w:val="00D222EB"/>
    <w:rsid w:val="00D25379"/>
    <w:rsid w:val="00D254CA"/>
    <w:rsid w:val="00D43BC0"/>
    <w:rsid w:val="00D43EDD"/>
    <w:rsid w:val="00D564B9"/>
    <w:rsid w:val="00D61753"/>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82E"/>
    <w:rsid w:val="00DF4389"/>
    <w:rsid w:val="00E06989"/>
    <w:rsid w:val="00E14F0F"/>
    <w:rsid w:val="00E154F8"/>
    <w:rsid w:val="00E218B9"/>
    <w:rsid w:val="00E2291B"/>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8C5"/>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71E6"/>
    <w:rsid w:val="00F24712"/>
    <w:rsid w:val="00F26FAB"/>
    <w:rsid w:val="00F332AF"/>
    <w:rsid w:val="00F436B6"/>
    <w:rsid w:val="00F47EF9"/>
    <w:rsid w:val="00F53B48"/>
    <w:rsid w:val="00F557C1"/>
    <w:rsid w:val="00F56DFA"/>
    <w:rsid w:val="00F65E6B"/>
    <w:rsid w:val="00F7099B"/>
    <w:rsid w:val="00FA1EA9"/>
    <w:rsid w:val="00FA5A52"/>
    <w:rsid w:val="00FB05FB"/>
    <w:rsid w:val="00FB6669"/>
    <w:rsid w:val="00FC15F8"/>
    <w:rsid w:val="00FC75F9"/>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58A4E-C5A5-D64B-8574-57A0E5FF8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7311</TotalTime>
  <Pages>50</Pages>
  <Words>12279</Words>
  <Characters>69996</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415</cp:revision>
  <cp:lastPrinted>2014-03-02T16:51:00Z</cp:lastPrinted>
  <dcterms:created xsi:type="dcterms:W3CDTF">2014-02-25T13:27:00Z</dcterms:created>
  <dcterms:modified xsi:type="dcterms:W3CDTF">2019-09-06T13:08:00Z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id="wyFHRrzP"/&gt;&lt;style id="" hasBibliography="0" bibliographyStyleHasBeenSet="0"/&gt;&lt;prefs/&gt;&lt;/data&gt;</vt:lpwstr>
  </property>
</Properties>
</file>