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C89F1" w14:textId="350D059E" w:rsidR="00FF24C7" w:rsidRPr="00277CD1" w:rsidRDefault="006A3E38" w:rsidP="00993EA0">
      <w:pPr>
        <w:pStyle w:val="Header"/>
        <w:jc w:val="center"/>
        <w:rPr>
          <w:rFonts w:cs="Times New Roman"/>
          <w:b/>
          <w:sz w:val="28"/>
          <w:szCs w:val="28"/>
        </w:rPr>
      </w:pPr>
      <w:bookmarkStart w:id="0" w:name="introduction"/>
      <w:r w:rsidRPr="00277CD1">
        <w:rPr>
          <w:rFonts w:cs="Times New Roman"/>
          <w:b/>
          <w:sz w:val="28"/>
          <w:szCs w:val="28"/>
        </w:rPr>
        <w:t>Understanding invasions</w:t>
      </w:r>
      <w:r w:rsidR="008579EE" w:rsidRPr="00277CD1">
        <w:rPr>
          <w:rFonts w:cs="Times New Roman"/>
          <w:b/>
          <w:sz w:val="28"/>
          <w:szCs w:val="28"/>
        </w:rPr>
        <w:t xml:space="preserve"> with </w:t>
      </w:r>
      <w:r w:rsidR="00FF24C7" w:rsidRPr="00277CD1">
        <w:rPr>
          <w:rFonts w:cs="Times New Roman"/>
          <w:b/>
          <w:sz w:val="28"/>
          <w:szCs w:val="28"/>
        </w:rPr>
        <w:t>linked distribution and demographic models</w:t>
      </w:r>
    </w:p>
    <w:p w14:paraId="25C00BF0" w14:textId="5396D01A" w:rsidR="00745087" w:rsidRDefault="00745087" w:rsidP="00993EA0">
      <w:pPr>
        <w:pStyle w:val="Header"/>
        <w:jc w:val="center"/>
        <w:rPr>
          <w:rFonts w:cs="Times New Roman"/>
          <w:b/>
        </w:rPr>
      </w:pPr>
    </w:p>
    <w:p w14:paraId="5BBA4E16" w14:textId="41CB7324" w:rsidR="00745087" w:rsidRPr="00277CD1" w:rsidRDefault="00745087" w:rsidP="00993EA0">
      <w:pPr>
        <w:pStyle w:val="Header"/>
        <w:jc w:val="center"/>
        <w:rPr>
          <w:rFonts w:cs="Times New Roman"/>
          <w:b/>
          <w:sz w:val="22"/>
          <w:szCs w:val="22"/>
        </w:rPr>
      </w:pPr>
      <w:r w:rsidRPr="00277CD1">
        <w:rPr>
          <w:rFonts w:cs="Times New Roman"/>
          <w:b/>
          <w:sz w:val="22"/>
          <w:szCs w:val="22"/>
        </w:rPr>
        <w:t>Matthew E. Aiello-Lammens</w:t>
      </w:r>
    </w:p>
    <w:p w14:paraId="2D853F2F" w14:textId="7DB1E1C6" w:rsidR="00745087" w:rsidRDefault="00745087" w:rsidP="00993EA0">
      <w:pPr>
        <w:pStyle w:val="Header"/>
        <w:jc w:val="center"/>
        <w:rPr>
          <w:rFonts w:cs="Times New Roman"/>
          <w:b/>
        </w:rPr>
      </w:pPr>
    </w:p>
    <w:p w14:paraId="1A2E4FA3" w14:textId="77777777" w:rsidR="00745087" w:rsidRDefault="00745087" w:rsidP="00993EA0">
      <w:pPr>
        <w:pStyle w:val="Header"/>
        <w:jc w:val="center"/>
        <w:rPr>
          <w:rFonts w:cs="Times New Roman"/>
          <w:b/>
        </w:rPr>
      </w:pPr>
    </w:p>
    <w:p w14:paraId="31E0A0A9" w14:textId="77777777" w:rsidR="00745087" w:rsidRPr="00277CD1" w:rsidRDefault="00745087" w:rsidP="00993EA0">
      <w:pPr>
        <w:pStyle w:val="Header"/>
        <w:jc w:val="center"/>
        <w:rPr>
          <w:rFonts w:cs="Times New Roman"/>
          <w:bCs/>
        </w:rPr>
      </w:pPr>
      <w:r w:rsidRPr="00277CD1">
        <w:rPr>
          <w:rFonts w:cs="Times New Roman"/>
          <w:bCs/>
        </w:rPr>
        <w:t>Pace University</w:t>
      </w:r>
    </w:p>
    <w:p w14:paraId="7F557C5D" w14:textId="11804FEF" w:rsidR="00745087" w:rsidRPr="00277CD1" w:rsidRDefault="00745087" w:rsidP="00993EA0">
      <w:pPr>
        <w:pStyle w:val="Header"/>
        <w:jc w:val="center"/>
        <w:rPr>
          <w:rFonts w:cs="Times New Roman"/>
          <w:bCs/>
        </w:rPr>
      </w:pPr>
      <w:r w:rsidRPr="00277CD1">
        <w:rPr>
          <w:rFonts w:cs="Times New Roman"/>
          <w:bCs/>
        </w:rPr>
        <w:t>Environmental Studies and Science Department</w:t>
      </w:r>
    </w:p>
    <w:p w14:paraId="028743D1" w14:textId="5AD41DD7" w:rsidR="00745087" w:rsidRPr="00277CD1" w:rsidRDefault="00745087" w:rsidP="00993EA0">
      <w:pPr>
        <w:pStyle w:val="Header"/>
        <w:jc w:val="center"/>
        <w:rPr>
          <w:rFonts w:cs="Times New Roman"/>
          <w:bCs/>
        </w:rPr>
      </w:pPr>
      <w:r w:rsidRPr="00277CD1">
        <w:rPr>
          <w:rFonts w:cs="Times New Roman"/>
          <w:bCs/>
        </w:rPr>
        <w:t>Pleasantville</w:t>
      </w:r>
    </w:p>
    <w:p w14:paraId="168998C6" w14:textId="6255B454" w:rsidR="00745087" w:rsidRPr="00277CD1" w:rsidRDefault="00745087" w:rsidP="00993EA0">
      <w:pPr>
        <w:pStyle w:val="Header"/>
        <w:jc w:val="center"/>
        <w:rPr>
          <w:rFonts w:cs="Times New Roman"/>
          <w:bCs/>
        </w:rPr>
      </w:pPr>
      <w:r w:rsidRPr="00277CD1">
        <w:rPr>
          <w:rFonts w:cs="Times New Roman"/>
          <w:bCs/>
        </w:rPr>
        <w:t>New York</w:t>
      </w:r>
    </w:p>
    <w:p w14:paraId="0CF3F447" w14:textId="165BAD30" w:rsidR="00745087" w:rsidRPr="00277CD1" w:rsidRDefault="00745087" w:rsidP="00993EA0">
      <w:pPr>
        <w:pStyle w:val="Header"/>
        <w:jc w:val="center"/>
        <w:rPr>
          <w:rFonts w:cs="Times New Roman"/>
          <w:bCs/>
        </w:rPr>
      </w:pPr>
      <w:r w:rsidRPr="00277CD1">
        <w:rPr>
          <w:rFonts w:cs="Times New Roman"/>
          <w:bCs/>
        </w:rPr>
        <w:t>USA</w:t>
      </w:r>
    </w:p>
    <w:p w14:paraId="510E6F1D" w14:textId="62A809D2" w:rsidR="00745087" w:rsidRPr="00277CD1" w:rsidRDefault="00745087" w:rsidP="00993EA0">
      <w:pPr>
        <w:pStyle w:val="Header"/>
        <w:jc w:val="center"/>
        <w:rPr>
          <w:rFonts w:cs="Times New Roman"/>
          <w:bCs/>
        </w:rPr>
      </w:pPr>
    </w:p>
    <w:p w14:paraId="4DB45314" w14:textId="77777777" w:rsidR="00993EA0" w:rsidRPr="00277CD1" w:rsidRDefault="00993EA0" w:rsidP="00993EA0">
      <w:pPr>
        <w:pStyle w:val="Header"/>
        <w:jc w:val="center"/>
        <w:rPr>
          <w:rFonts w:cs="Times New Roman"/>
          <w:bCs/>
        </w:rPr>
      </w:pPr>
      <w:r w:rsidRPr="00277CD1">
        <w:rPr>
          <w:rFonts w:cs="Times New Roman"/>
          <w:bCs/>
        </w:rPr>
        <w:t>maiellolammens@pace.edu</w:t>
      </w:r>
    </w:p>
    <w:p w14:paraId="638DB061" w14:textId="77777777" w:rsidR="00993EA0" w:rsidRPr="00277CD1" w:rsidRDefault="00993EA0" w:rsidP="00993EA0">
      <w:pPr>
        <w:pStyle w:val="Header"/>
        <w:jc w:val="center"/>
        <w:rPr>
          <w:rFonts w:cs="Times New Roman"/>
          <w:bCs/>
        </w:rPr>
      </w:pPr>
    </w:p>
    <w:p w14:paraId="13BC029D" w14:textId="4D1F970A" w:rsidR="00745087" w:rsidRPr="00033550" w:rsidRDefault="00745087" w:rsidP="00033550">
      <w:pPr>
        <w:pStyle w:val="Header"/>
        <w:jc w:val="center"/>
        <w:rPr>
          <w:rFonts w:cs="Times New Roman"/>
          <w:bCs/>
        </w:rPr>
      </w:pPr>
      <w:r w:rsidRPr="00277CD1">
        <w:rPr>
          <w:rFonts w:cs="Times New Roman"/>
          <w:bCs/>
        </w:rPr>
        <w:t xml:space="preserve">ORCID ID: </w:t>
      </w:r>
      <w:r w:rsidRPr="00277CD1">
        <w:rPr>
          <w:rFonts w:cs="Times New Roman"/>
          <w:bCs/>
        </w:rPr>
        <w:t>0000-0002-6180-5959</w:t>
      </w:r>
      <w:r>
        <w:rPr>
          <w:b/>
        </w:rPr>
        <w:br w:type="page"/>
      </w:r>
    </w:p>
    <w:p w14:paraId="5925C7C6" w14:textId="66B6F403" w:rsidR="00E4282F" w:rsidRPr="00E4282F" w:rsidRDefault="00E4282F" w:rsidP="00524267">
      <w:pPr>
        <w:rPr>
          <w:b/>
        </w:rPr>
      </w:pPr>
      <w:r>
        <w:rPr>
          <w:b/>
        </w:rPr>
        <w:lastRenderedPageBreak/>
        <w:t>Abstract</w:t>
      </w:r>
    </w:p>
    <w:p w14:paraId="65023411" w14:textId="632F565F" w:rsidR="00524267" w:rsidRDefault="006A3E38" w:rsidP="00E978C5">
      <w:pPr>
        <w:spacing w:line="480" w:lineRule="auto"/>
        <w:ind w:firstLine="720"/>
      </w:pPr>
      <w:r w:rsidRPr="006A3E38">
        <w:t>The</w:t>
      </w:r>
      <w:r w:rsidR="009A424B" w:rsidRPr="009A424B">
        <w:t xml:space="preserve"> </w:t>
      </w:r>
      <w:r w:rsidR="009A424B" w:rsidRPr="006A3E38">
        <w:t>temporal and spatial patterns</w:t>
      </w:r>
      <w:r w:rsidR="009A424B">
        <w:t xml:space="preserve"> of a species</w:t>
      </w:r>
      <w:r w:rsidRPr="006A3E38">
        <w:t xml:space="preserve"> invasion </w:t>
      </w:r>
      <w:r w:rsidR="009A424B">
        <w:t>are</w:t>
      </w:r>
      <w:r w:rsidRPr="006A3E38">
        <w:t xml:space="preserve"> determined by life history</w:t>
      </w:r>
      <w:r w:rsidR="009A424B">
        <w:t xml:space="preserve"> characteristics</w:t>
      </w:r>
      <w:r w:rsidRPr="006A3E38">
        <w:t>, biological and environmental con</w:t>
      </w:r>
      <w:r w:rsidR="009A424B">
        <w:t>ditions of the novel range</w:t>
      </w:r>
      <w:r w:rsidRPr="006A3E38">
        <w:t>, and human activities. Untangling the contributions of these factors based on current ecology and distribution</w:t>
      </w:r>
      <w:r w:rsidR="009A424B">
        <w:t>al knowledge</w:t>
      </w:r>
      <w:r w:rsidRPr="006A3E38">
        <w:t xml:space="preserve"> </w:t>
      </w:r>
      <w:r>
        <w:t>for individual</w:t>
      </w:r>
      <w:r w:rsidRPr="006A3E38">
        <w:t xml:space="preserve"> invasive</w:t>
      </w:r>
      <w:r>
        <w:t xml:space="preserve"> species</w:t>
      </w:r>
      <w:r w:rsidRPr="006A3E38">
        <w:t xml:space="preserve"> has proven difficult. </w:t>
      </w:r>
      <w:r w:rsidR="009A424B">
        <w:t>A new analytical approach to this problem</w:t>
      </w:r>
      <w:r w:rsidRPr="006A3E38">
        <w:t xml:space="preserve"> is </w:t>
      </w:r>
      <w:r w:rsidR="009A424B">
        <w:t xml:space="preserve">to </w:t>
      </w:r>
      <w:r w:rsidRPr="006A3E38">
        <w:t>us</w:t>
      </w:r>
      <w:r w:rsidR="009A424B">
        <w:t>e</w:t>
      </w:r>
      <w:r w:rsidRPr="006A3E38">
        <w:t xml:space="preserve"> </w:t>
      </w:r>
      <w:r>
        <w:t xml:space="preserve">linked distribution and </w:t>
      </w:r>
      <w:r w:rsidRPr="006A3E38">
        <w:t xml:space="preserve">demographic models and the past </w:t>
      </w:r>
      <w:proofErr w:type="spellStart"/>
      <w:r w:rsidRPr="006A3E38">
        <w:t>spatio</w:t>
      </w:r>
      <w:proofErr w:type="spellEnd"/>
      <w:r w:rsidRPr="006A3E38">
        <w:t xml:space="preserve">-temporal patterns of </w:t>
      </w:r>
      <w:r>
        <w:t>an</w:t>
      </w:r>
      <w:r w:rsidRPr="006A3E38">
        <w:t xml:space="preserve"> invasion to test alternative</w:t>
      </w:r>
      <w:r w:rsidR="00032429">
        <w:t xml:space="preserve"> </w:t>
      </w:r>
      <w:r w:rsidRPr="006A3E38">
        <w:t xml:space="preserve">hypotheses.  Recent advances in modeling species ranges and dynamics allow directly linking observations of species occurrences, life history characteristics and environmental gradients, increasing our ability to analyze and predict the processes that shape patterns of biogeography. Application of these methods is increasing in conservation biology, but underutilized in invasion biology. To demonstrate the utility of these methods, I developed a </w:t>
      </w:r>
      <w:r>
        <w:t>linked</w:t>
      </w:r>
      <w:r w:rsidRPr="006A3E38">
        <w:t xml:space="preserve"> demographic and species distribution model for the invasive species </w:t>
      </w:r>
      <w:r w:rsidRPr="006A3E38">
        <w:rPr>
          <w:i/>
          <w:iCs/>
        </w:rPr>
        <w:t xml:space="preserve">Frangula </w:t>
      </w:r>
      <w:proofErr w:type="spellStart"/>
      <w:r w:rsidRPr="006A3E38">
        <w:rPr>
          <w:i/>
          <w:iCs/>
        </w:rPr>
        <w:t>alnus</w:t>
      </w:r>
      <w:proofErr w:type="spellEnd"/>
      <w:r w:rsidRPr="006A3E38">
        <w:t>. Using a global sensitivity analysis approach, I created simulations</w:t>
      </w:r>
      <w:r w:rsidR="000319B8">
        <w:t xml:space="preserve"> representing an extensive parameter uncertainty space, and identified regions in this space that best explain historic occurr</w:t>
      </w:r>
      <w:r w:rsidR="004B7E65">
        <w:t xml:space="preserve">ence patterns for this species. </w:t>
      </w:r>
      <w:r w:rsidR="00E978C5">
        <w:t xml:space="preserve">Investigations of parameter uncertainty space facilitate invasion hypothesis testing, as parameter values can be associated with specific hypotheses </w:t>
      </w:r>
      <w:r w:rsidR="00E978C5">
        <w:rPr>
          <w:i/>
          <w:iCs/>
        </w:rPr>
        <w:t>a priori</w:t>
      </w:r>
      <w:r w:rsidR="00E978C5">
        <w:t xml:space="preserve">. </w:t>
      </w:r>
      <w:r>
        <w:t xml:space="preserve">In the case of </w:t>
      </w:r>
      <w:r>
        <w:rPr>
          <w:rFonts w:eastAsiaTheme="minorEastAsia" w:cs="Times New Roman"/>
          <w:i/>
          <w:iCs/>
        </w:rPr>
        <w:t xml:space="preserve">F. </w:t>
      </w:r>
      <w:proofErr w:type="spellStart"/>
      <w:r w:rsidR="009A424B">
        <w:rPr>
          <w:rFonts w:eastAsiaTheme="minorEastAsia" w:cs="Times New Roman"/>
          <w:i/>
          <w:iCs/>
        </w:rPr>
        <w:t>a</w:t>
      </w:r>
      <w:r>
        <w:rPr>
          <w:rFonts w:eastAsiaTheme="minorEastAsia" w:cs="Times New Roman"/>
          <w:i/>
          <w:iCs/>
        </w:rPr>
        <w:t>lnus</w:t>
      </w:r>
      <w:proofErr w:type="spellEnd"/>
      <w:r>
        <w:rPr>
          <w:rFonts w:eastAsiaTheme="minorEastAsia" w:cs="Times New Roman"/>
          <w:i/>
          <w:iCs/>
        </w:rPr>
        <w:t xml:space="preserve">, </w:t>
      </w:r>
      <w:r>
        <w:rPr>
          <w:iCs/>
        </w:rPr>
        <w:t>s</w:t>
      </w:r>
      <w:r w:rsidR="004B7E65" w:rsidRPr="004B7E65">
        <w:rPr>
          <w:iCs/>
        </w:rPr>
        <w:t xml:space="preserve">imulations parameterized with moderate fecundity, high survival, and extensive long-distance dispersal values </w:t>
      </w:r>
      <w:r w:rsidR="004B7E65">
        <w:rPr>
          <w:iCs/>
        </w:rPr>
        <w:t>best-predicted</w:t>
      </w:r>
      <w:r w:rsidR="004B7E65" w:rsidRPr="004B7E65">
        <w:rPr>
          <w:iCs/>
        </w:rPr>
        <w:t xml:space="preserve"> </w:t>
      </w:r>
      <w:r w:rsidR="004B7E65">
        <w:rPr>
          <w:iCs/>
        </w:rPr>
        <w:t>historic occurrences</w:t>
      </w:r>
      <w:r w:rsidR="004B7E65" w:rsidRPr="004B7E65">
        <w:rPr>
          <w:iCs/>
        </w:rPr>
        <w:t xml:space="preserve">. </w:t>
      </w:r>
      <w:r w:rsidR="004B7E65">
        <w:rPr>
          <w:iCs/>
        </w:rPr>
        <w:t>S</w:t>
      </w:r>
      <w:r w:rsidR="004B7E65" w:rsidRPr="004B7E65">
        <w:rPr>
          <w:iCs/>
        </w:rPr>
        <w:t xml:space="preserve">trong interaction effects between fecundity and long-distance dispersal </w:t>
      </w:r>
      <w:r w:rsidR="001D4AA3">
        <w:rPr>
          <w:iCs/>
        </w:rPr>
        <w:t>indicate</w:t>
      </w:r>
      <w:r w:rsidR="004B7E65" w:rsidRPr="004B7E65">
        <w:rPr>
          <w:iCs/>
        </w:rPr>
        <w:t xml:space="preserve"> that a successful invasion required both of these processes</w:t>
      </w:r>
      <w:r w:rsidR="001D4AA3">
        <w:rPr>
          <w:iCs/>
        </w:rPr>
        <w:t>, which occur at different spatial scales</w:t>
      </w:r>
      <w:r w:rsidR="004B7E65" w:rsidRPr="004B7E65">
        <w:rPr>
          <w:iCs/>
        </w:rPr>
        <w:t>. Lastly, long-distance dispersal was most likely</w:t>
      </w:r>
      <w:r w:rsidR="001D4AA3">
        <w:rPr>
          <w:iCs/>
        </w:rPr>
        <w:t xml:space="preserve"> facilitated by human transport</w:t>
      </w:r>
      <w:r w:rsidR="004B7E65" w:rsidRPr="004B7E65">
        <w:rPr>
          <w:iCs/>
        </w:rPr>
        <w:t>.</w:t>
      </w:r>
      <w:r w:rsidR="001D4AA3">
        <w:rPr>
          <w:iCs/>
        </w:rPr>
        <w:t xml:space="preserve"> Results from </w:t>
      </w:r>
      <w:r w:rsidR="00E978C5">
        <w:rPr>
          <w:iCs/>
        </w:rPr>
        <w:t>linked</w:t>
      </w:r>
      <w:r w:rsidR="001D4AA3">
        <w:rPr>
          <w:iCs/>
        </w:rPr>
        <w:t xml:space="preserve"> models</w:t>
      </w:r>
      <w:r w:rsidR="001D4AA3">
        <w:t xml:space="preserve"> improved our understanding of the roles various</w:t>
      </w:r>
      <w:r w:rsidR="001D4AA3" w:rsidRPr="00D61753">
        <w:t xml:space="preserve"> </w:t>
      </w:r>
      <w:r w:rsidR="001D4AA3">
        <w:t>population processes</w:t>
      </w:r>
      <w:r w:rsidR="001D4AA3" w:rsidRPr="00D61753">
        <w:t xml:space="preserve"> </w:t>
      </w:r>
      <w:r w:rsidR="00C16D64">
        <w:t xml:space="preserve">played </w:t>
      </w:r>
      <w:r w:rsidR="001D4AA3">
        <w:t xml:space="preserve">in shaping patterns of </w:t>
      </w:r>
      <w:r w:rsidR="001D4AA3">
        <w:rPr>
          <w:rFonts w:eastAsiaTheme="minorEastAsia" w:cs="Times New Roman"/>
          <w:i/>
          <w:iCs/>
        </w:rPr>
        <w:t xml:space="preserve">F. </w:t>
      </w:r>
      <w:proofErr w:type="spellStart"/>
      <w:r w:rsidR="001D4AA3">
        <w:rPr>
          <w:rFonts w:eastAsiaTheme="minorEastAsia" w:cs="Times New Roman"/>
          <w:i/>
          <w:iCs/>
        </w:rPr>
        <w:t>alnus</w:t>
      </w:r>
      <w:proofErr w:type="spellEnd"/>
      <w:r w:rsidR="001D4AA3">
        <w:t xml:space="preserve"> biogeography in its naturalized range. Wider application of these methods will further our understanding of species invasions more generally. </w:t>
      </w:r>
    </w:p>
    <w:p w14:paraId="44E8A67A" w14:textId="4AE0667E" w:rsidR="00391A66" w:rsidRDefault="00391A66" w:rsidP="00391A66">
      <w:pPr>
        <w:spacing w:line="480" w:lineRule="auto"/>
        <w:rPr>
          <w:b/>
          <w:bCs/>
        </w:rPr>
      </w:pPr>
      <w:r>
        <w:rPr>
          <w:b/>
          <w:bCs/>
        </w:rPr>
        <w:lastRenderedPageBreak/>
        <w:t>Keywords</w:t>
      </w:r>
    </w:p>
    <w:p w14:paraId="051FC9F1" w14:textId="3666E47E" w:rsidR="00403D24" w:rsidRPr="00033550" w:rsidRDefault="00391A66" w:rsidP="00033550">
      <w:pPr>
        <w:spacing w:line="480" w:lineRule="auto"/>
      </w:pPr>
      <w:r>
        <w:rPr>
          <w:i/>
          <w:iCs/>
        </w:rPr>
        <w:t xml:space="preserve">Frangula </w:t>
      </w:r>
      <w:proofErr w:type="spellStart"/>
      <w:r>
        <w:rPr>
          <w:i/>
          <w:iCs/>
        </w:rPr>
        <w:t>alnus</w:t>
      </w:r>
      <w:proofErr w:type="spellEnd"/>
      <w:r>
        <w:t>; linked models; demographic model; species distribution model; invasion dynamics</w:t>
      </w:r>
      <w:r w:rsidR="00403D24">
        <w:rPr>
          <w:rFonts w:cs="Times New Roman"/>
        </w:rPr>
        <w:br w:type="page"/>
      </w:r>
    </w:p>
    <w:p w14:paraId="6C04D08B" w14:textId="724ABEC8" w:rsidR="00FF24C7" w:rsidRPr="00D01097" w:rsidRDefault="00FF24C7" w:rsidP="008579EE">
      <w:pPr>
        <w:spacing w:line="480" w:lineRule="auto"/>
        <w:rPr>
          <w:b/>
          <w:sz w:val="28"/>
          <w:szCs w:val="28"/>
        </w:rPr>
      </w:pPr>
      <w:r w:rsidRPr="00D01097">
        <w:rPr>
          <w:b/>
          <w:sz w:val="28"/>
          <w:szCs w:val="28"/>
        </w:rPr>
        <w:lastRenderedPageBreak/>
        <w:t>Introduction</w:t>
      </w:r>
    </w:p>
    <w:bookmarkEnd w:id="0"/>
    <w:p w14:paraId="67ADD6DD" w14:textId="699E6828" w:rsidR="007641B7" w:rsidRDefault="007641B7" w:rsidP="007641B7">
      <w:pPr>
        <w:spacing w:line="480" w:lineRule="auto"/>
        <w:ind w:firstLine="720"/>
        <w:rPr>
          <w:rFonts w:cs="Times New Roman"/>
        </w:rPr>
      </w:pPr>
      <w:r>
        <w:rPr>
          <w:rFonts w:cs="Times New Roman"/>
        </w:rPr>
        <w:t xml:space="preserve">Understanding the processes associated with successful establishment and spread of novel species is a major goal of invasion ecology. Over the past 50 years, numerous theories explaining why some species are invasive and other are not have been proposed, tested, and refined </w:t>
      </w:r>
      <w:r w:rsidR="00B217FB" w:rsidRPr="00B217FB">
        <w:rPr>
          <w:rFonts w:cs="Times New Roman"/>
        </w:rPr>
        <w:t>(Lowry et al. 2012)</w:t>
      </w:r>
      <w:r>
        <w:rPr>
          <w:rFonts w:cs="Times New Roman"/>
        </w:rPr>
        <w:t>. Fundamentally the processes governing dynamics of invasive species are the same as those govern</w:t>
      </w:r>
      <w:r w:rsidR="00975813">
        <w:rPr>
          <w:rFonts w:cs="Times New Roman"/>
        </w:rPr>
        <w:t>ing</w:t>
      </w:r>
      <w:r>
        <w:rPr>
          <w:rFonts w:cs="Times New Roman"/>
        </w:rPr>
        <w:t xml:space="preserve"> native species</w:t>
      </w:r>
      <w:r w:rsidR="000A7A24">
        <w:rPr>
          <w:rFonts w:cs="Times New Roman"/>
          <w:noProof/>
        </w:rPr>
        <w:t xml:space="preserve"> </w:t>
      </w:r>
      <w:r w:rsidR="00B217FB" w:rsidRPr="00B217FB">
        <w:rPr>
          <w:rFonts w:cs="Times New Roman"/>
        </w:rPr>
        <w:t>(</w:t>
      </w:r>
      <w:proofErr w:type="spellStart"/>
      <w:r w:rsidR="00B217FB" w:rsidRPr="00B217FB">
        <w:rPr>
          <w:rFonts w:cs="Times New Roman"/>
        </w:rPr>
        <w:t>Gurevitch</w:t>
      </w:r>
      <w:proofErr w:type="spellEnd"/>
      <w:r w:rsidR="00B217FB" w:rsidRPr="00B217FB">
        <w:rPr>
          <w:rFonts w:cs="Times New Roman"/>
        </w:rPr>
        <w:t xml:space="preserve"> et al. 2011)</w:t>
      </w:r>
      <w:r>
        <w:rPr>
          <w:rFonts w:cs="Times New Roman"/>
        </w:rPr>
        <w:t xml:space="preserve">. As such, </w:t>
      </w:r>
      <w:r w:rsidR="00975813">
        <w:rPr>
          <w:rFonts w:cs="Times New Roman"/>
        </w:rPr>
        <w:t xml:space="preserve">using </w:t>
      </w:r>
      <w:r w:rsidR="00C16D64">
        <w:rPr>
          <w:rFonts w:cs="Times New Roman"/>
        </w:rPr>
        <w:t>the well-established</w:t>
      </w:r>
      <w:r w:rsidR="00975813">
        <w:rPr>
          <w:rFonts w:cs="Times New Roman"/>
        </w:rPr>
        <w:t xml:space="preserve"> principles and frameworks of ecological modeling, </w:t>
      </w:r>
      <w:r>
        <w:rPr>
          <w:rFonts w:cs="Times New Roman"/>
        </w:rPr>
        <w:t xml:space="preserve">properly parameterized models </w:t>
      </w:r>
      <w:r w:rsidR="00975813">
        <w:rPr>
          <w:rFonts w:cs="Times New Roman"/>
        </w:rPr>
        <w:t>should be able to</w:t>
      </w:r>
      <w:r>
        <w:rPr>
          <w:rFonts w:cs="Times New Roman"/>
        </w:rPr>
        <w:t xml:space="preserve"> reproduce patterns of occurrence </w:t>
      </w:r>
      <w:r w:rsidR="00460B3A">
        <w:rPr>
          <w:rFonts w:cs="Times New Roman"/>
        </w:rPr>
        <w:t>associated with</w:t>
      </w:r>
      <w:r>
        <w:rPr>
          <w:rFonts w:cs="Times New Roman"/>
        </w:rPr>
        <w:t xml:space="preserve"> the spread of an invasive species. However, for such models to be successful, they must incorporate both local and regional ecological dynamics</w:t>
      </w:r>
      <w:r w:rsidR="000A7A24">
        <w:rPr>
          <w:rFonts w:cs="Times New Roman"/>
        </w:rPr>
        <w:t xml:space="preserve"> </w:t>
      </w:r>
      <w:r w:rsidR="00B217FB" w:rsidRPr="00B217FB">
        <w:rPr>
          <w:rFonts w:cs="Times New Roman"/>
        </w:rPr>
        <w:t>(</w:t>
      </w:r>
      <w:proofErr w:type="spellStart"/>
      <w:r w:rsidR="00B217FB" w:rsidRPr="00B217FB">
        <w:rPr>
          <w:rFonts w:cs="Times New Roman"/>
        </w:rPr>
        <w:t>Pyšek</w:t>
      </w:r>
      <w:proofErr w:type="spellEnd"/>
      <w:r w:rsidR="00B217FB" w:rsidRPr="00B217FB">
        <w:rPr>
          <w:rFonts w:cs="Times New Roman"/>
        </w:rPr>
        <w:t xml:space="preserve"> and </w:t>
      </w:r>
      <w:proofErr w:type="spellStart"/>
      <w:r w:rsidR="00B217FB" w:rsidRPr="00B217FB">
        <w:rPr>
          <w:rFonts w:cs="Times New Roman"/>
        </w:rPr>
        <w:t>Hulme</w:t>
      </w:r>
      <w:proofErr w:type="spellEnd"/>
      <w:r w:rsidR="00B217FB" w:rsidRPr="00B217FB">
        <w:rPr>
          <w:rFonts w:cs="Times New Roman"/>
        </w:rPr>
        <w:t xml:space="preserve"> 2005)</w:t>
      </w:r>
      <w:r>
        <w:rPr>
          <w:rFonts w:cs="Times New Roman"/>
        </w:rPr>
        <w:t xml:space="preserve">. </w:t>
      </w:r>
    </w:p>
    <w:p w14:paraId="201877C8" w14:textId="33FD9A48" w:rsidR="00F109B5" w:rsidRDefault="00FF24C7" w:rsidP="00263874">
      <w:pPr>
        <w:spacing w:line="480" w:lineRule="auto"/>
        <w:ind w:firstLine="720"/>
        <w:rPr>
          <w:rFonts w:cs="Times New Roman"/>
        </w:rPr>
      </w:pPr>
      <w:r w:rsidRPr="00383B0C">
        <w:rPr>
          <w:rFonts w:cs="Times New Roman"/>
        </w:rPr>
        <w:t xml:space="preserve">Demographic models </w:t>
      </w:r>
      <w:r w:rsidRPr="003C01FF">
        <w:rPr>
          <w:rFonts w:cs="Times New Roman"/>
        </w:rPr>
        <w:t xml:space="preserve">link </w:t>
      </w:r>
      <w:r>
        <w:rPr>
          <w:rFonts w:cs="Times New Roman"/>
        </w:rPr>
        <w:t>a</w:t>
      </w:r>
      <w:r w:rsidRPr="003C01FF">
        <w:rPr>
          <w:rFonts w:cs="Times New Roman"/>
        </w:rPr>
        <w:t xml:space="preserve"> mathematical representation of the life-cycle of an individual organism to </w:t>
      </w:r>
      <w:r>
        <w:rPr>
          <w:rFonts w:cs="Times New Roman"/>
        </w:rPr>
        <w:t>a</w:t>
      </w:r>
      <w:r w:rsidRPr="003C01FF">
        <w:rPr>
          <w:rFonts w:cs="Times New Roman"/>
        </w:rPr>
        <w:t xml:space="preserve"> population of that organism</w:t>
      </w:r>
      <w:r>
        <w:rPr>
          <w:rFonts w:cs="Times New Roman"/>
        </w:rPr>
        <w:t xml:space="preserve"> </w:t>
      </w:r>
      <w:r w:rsidR="00B217FB" w:rsidRPr="00B217FB">
        <w:rPr>
          <w:rFonts w:cs="Times New Roman"/>
        </w:rPr>
        <w:t>(Caswell 2006)</w:t>
      </w:r>
      <w:r>
        <w:rPr>
          <w:rFonts w:cs="Times New Roman"/>
        </w:rPr>
        <w:t>, providing</w:t>
      </w:r>
      <w:r w:rsidRPr="00383B0C">
        <w:rPr>
          <w:rFonts w:cs="Times New Roman"/>
        </w:rPr>
        <w:t xml:space="preserve"> a way to examine population dynamics and forecast population growth and/or decline.</w:t>
      </w:r>
      <w:r>
        <w:rPr>
          <w:rFonts w:cs="Times New Roman"/>
        </w:rPr>
        <w:t xml:space="preserve"> </w:t>
      </w:r>
      <w:r w:rsidR="00EE3362">
        <w:rPr>
          <w:rFonts w:cs="Times New Roman"/>
        </w:rPr>
        <w:t xml:space="preserve">A relatively large amount of </w:t>
      </w:r>
      <w:r>
        <w:rPr>
          <w:rFonts w:cs="Times New Roman"/>
        </w:rPr>
        <w:t xml:space="preserve">data </w:t>
      </w:r>
      <w:r w:rsidR="00EE3362">
        <w:rPr>
          <w:rFonts w:cs="Times New Roman"/>
        </w:rPr>
        <w:t xml:space="preserve">is </w:t>
      </w:r>
      <w:r>
        <w:rPr>
          <w:rFonts w:cs="Times New Roman"/>
        </w:rPr>
        <w:t xml:space="preserve">required to properly parameterize these models, </w:t>
      </w:r>
      <w:r w:rsidR="00EE3362">
        <w:rPr>
          <w:rFonts w:cs="Times New Roman"/>
        </w:rPr>
        <w:t xml:space="preserve">limiting </w:t>
      </w:r>
      <w:r>
        <w:rPr>
          <w:rFonts w:cs="Times New Roman"/>
        </w:rPr>
        <w:t>most</w:t>
      </w:r>
      <w:r w:rsidRPr="003C01FF">
        <w:rPr>
          <w:rFonts w:cs="Times New Roman"/>
        </w:rPr>
        <w:t xml:space="preserve"> studies </w:t>
      </w:r>
      <w:r w:rsidR="00EE3362">
        <w:rPr>
          <w:rFonts w:cs="Times New Roman"/>
        </w:rPr>
        <w:t>to a particular</w:t>
      </w:r>
      <w:r w:rsidRPr="003C01FF">
        <w:rPr>
          <w:rFonts w:cs="Times New Roman"/>
        </w:rPr>
        <w:t xml:space="preserve"> geographic focus </w:t>
      </w:r>
      <w:r w:rsidR="00EE3362">
        <w:rPr>
          <w:rFonts w:cs="Times New Roman"/>
        </w:rPr>
        <w:t>or research</w:t>
      </w:r>
      <w:r w:rsidRPr="003C01FF">
        <w:rPr>
          <w:rFonts w:cs="Times New Roman"/>
        </w:rPr>
        <w:t xml:space="preserve"> question</w:t>
      </w:r>
      <w:r w:rsidR="00EE3362">
        <w:rPr>
          <w:rFonts w:cs="Times New Roman"/>
        </w:rPr>
        <w:t xml:space="preserve"> </w:t>
      </w:r>
      <w:r w:rsidRPr="003C01FF">
        <w:rPr>
          <w:rFonts w:cs="Times New Roman"/>
        </w:rPr>
        <w:t>(e.g. examining density dependence effects in a particular forest area)</w:t>
      </w:r>
      <w:r w:rsidR="00EE3362">
        <w:rPr>
          <w:rFonts w:cs="Times New Roman"/>
        </w:rPr>
        <w:t>,</w:t>
      </w:r>
      <w:r w:rsidRPr="003C01FF">
        <w:rPr>
          <w:rFonts w:cs="Times New Roman"/>
        </w:rPr>
        <w:t xml:space="preserve"> or </w:t>
      </w:r>
      <w:r w:rsidR="00EE3362">
        <w:rPr>
          <w:rFonts w:cs="Times New Roman"/>
        </w:rPr>
        <w:t xml:space="preserve">to </w:t>
      </w:r>
      <w:r w:rsidRPr="003C01FF">
        <w:rPr>
          <w:rFonts w:cs="Times New Roman"/>
        </w:rPr>
        <w:t>inform</w:t>
      </w:r>
      <w:r w:rsidR="00EE3362">
        <w:rPr>
          <w:rFonts w:cs="Times New Roman"/>
        </w:rPr>
        <w:t>ing</w:t>
      </w:r>
      <w:r w:rsidRPr="003C01FF">
        <w:rPr>
          <w:rFonts w:cs="Times New Roman"/>
        </w:rPr>
        <w:t xml:space="preserve"> management decisions </w:t>
      </w:r>
      <w:r>
        <w:rPr>
          <w:rFonts w:cs="Times New Roman"/>
        </w:rPr>
        <w:t xml:space="preserve">involving one or few populations </w:t>
      </w:r>
      <w:r w:rsidR="00A87297">
        <w:rPr>
          <w:rFonts w:cs="Times New Roman"/>
        </w:rPr>
        <w:t>(</w:t>
      </w:r>
      <w:r w:rsidR="003728AA">
        <w:rPr>
          <w:rFonts w:cs="Times New Roman"/>
        </w:rPr>
        <w:t xml:space="preserve">e.g., </w:t>
      </w:r>
      <w:r w:rsidR="00A87297">
        <w:rPr>
          <w:rFonts w:cs="Times New Roman"/>
        </w:rPr>
        <w:t>Davis et al. 2006; Harris et al. 2009)</w:t>
      </w:r>
      <w:r w:rsidRPr="003C01FF">
        <w:rPr>
          <w:rFonts w:cs="Times New Roman"/>
        </w:rPr>
        <w:t xml:space="preserve">. </w:t>
      </w:r>
      <w:r>
        <w:rPr>
          <w:rFonts w:cs="Times New Roman"/>
        </w:rPr>
        <w:t xml:space="preserve">But these models can also be used to “predict” historical species occurrence patterns, allowing us to investigate the demographic processes that likely lead to observed patterns. </w:t>
      </w:r>
      <w:r w:rsidR="00EE3362">
        <w:rPr>
          <w:rFonts w:cs="Times New Roman"/>
        </w:rPr>
        <w:t>Species distribution models (</w:t>
      </w:r>
      <w:r>
        <w:rPr>
          <w:rFonts w:cs="Times New Roman"/>
        </w:rPr>
        <w:t>SDMs</w:t>
      </w:r>
      <w:r w:rsidR="00EE3362">
        <w:rPr>
          <w:rFonts w:cs="Times New Roman"/>
        </w:rPr>
        <w:t>)</w:t>
      </w:r>
      <w:r>
        <w:rPr>
          <w:rFonts w:cs="Times New Roman"/>
        </w:rPr>
        <w:t xml:space="preserve"> provide a way of estimating habitat suitability for a species by establishing a statistical relationship between observed species occurrences and the environmental conditions associated with those occurrence locations </w:t>
      </w:r>
      <w:r w:rsidR="00B217FB" w:rsidRPr="00B217FB">
        <w:rPr>
          <w:rFonts w:cs="Times New Roman"/>
        </w:rPr>
        <w:t>(Peterson et al. 2011)</w:t>
      </w:r>
      <w:r>
        <w:rPr>
          <w:rFonts w:cs="Times New Roman"/>
        </w:rPr>
        <w:t xml:space="preserve">. Integrating demographic models with models of landscape characteristics (e.g., SDMs) </w:t>
      </w:r>
      <w:r w:rsidR="00EE3362">
        <w:rPr>
          <w:rFonts w:cs="Times New Roman"/>
        </w:rPr>
        <w:t>results in</w:t>
      </w:r>
      <w:r>
        <w:rPr>
          <w:rFonts w:cs="Times New Roman"/>
        </w:rPr>
        <w:t xml:space="preserve"> spatially informed simulations that incorporate species demographic </w:t>
      </w:r>
      <w:r>
        <w:rPr>
          <w:rFonts w:cs="Times New Roman"/>
        </w:rPr>
        <w:lastRenderedPageBreak/>
        <w:t>processes such as growth, survival, and reproduction with spatial process that include dispersal between populations</w:t>
      </w:r>
      <w:r w:rsidR="00C16D64">
        <w:rPr>
          <w:rFonts w:cs="Times New Roman"/>
        </w:rPr>
        <w:t>, as well as</w:t>
      </w:r>
      <w:r w:rsidR="00EE3362">
        <w:rPr>
          <w:rFonts w:cs="Times New Roman"/>
        </w:rPr>
        <w:t xml:space="preserve"> </w:t>
      </w:r>
      <w:r>
        <w:rPr>
          <w:rFonts w:cs="Times New Roman"/>
        </w:rPr>
        <w:t>population colonization and extinction</w:t>
      </w:r>
      <w:r w:rsidR="00CC4301">
        <w:rPr>
          <w:rFonts w:cs="Times New Roman"/>
        </w:rPr>
        <w:t xml:space="preserve"> </w:t>
      </w:r>
      <w:r w:rsidR="00A87297" w:rsidRPr="00A87297">
        <w:rPr>
          <w:rFonts w:cs="Times New Roman"/>
        </w:rPr>
        <w:t>(</w:t>
      </w:r>
      <w:proofErr w:type="spellStart"/>
      <w:r w:rsidR="00A87297" w:rsidRPr="00A87297">
        <w:rPr>
          <w:rFonts w:cs="Times New Roman"/>
        </w:rPr>
        <w:t>Akçakaya</w:t>
      </w:r>
      <w:proofErr w:type="spellEnd"/>
      <w:r w:rsidR="00A87297" w:rsidRPr="00A87297">
        <w:rPr>
          <w:rFonts w:cs="Times New Roman"/>
        </w:rPr>
        <w:t xml:space="preserve"> 2000, 2001; </w:t>
      </w:r>
      <w:proofErr w:type="spellStart"/>
      <w:r w:rsidR="00A87297" w:rsidRPr="00A87297">
        <w:rPr>
          <w:rFonts w:cs="Times New Roman"/>
        </w:rPr>
        <w:t>Akçakaya</w:t>
      </w:r>
      <w:proofErr w:type="spellEnd"/>
      <w:r w:rsidR="00A87297" w:rsidRPr="00A87297">
        <w:rPr>
          <w:rFonts w:cs="Times New Roman"/>
        </w:rPr>
        <w:t xml:space="preserve"> et al. 2004; Franklin 2010)</w:t>
      </w:r>
      <w:r>
        <w:rPr>
          <w:rFonts w:cs="Times New Roman"/>
        </w:rPr>
        <w:t xml:space="preserve">. </w:t>
      </w:r>
      <w:r w:rsidR="00D25379">
        <w:rPr>
          <w:rFonts w:cs="Times New Roman"/>
        </w:rPr>
        <w:t xml:space="preserve">Further, dynamic habitat models can be used </w:t>
      </w:r>
      <w:r w:rsidR="005055DA">
        <w:rPr>
          <w:rFonts w:cs="Times New Roman"/>
        </w:rPr>
        <w:t>to</w:t>
      </w:r>
      <w:r w:rsidR="00D25379">
        <w:rPr>
          <w:rFonts w:cs="Times New Roman"/>
        </w:rPr>
        <w:t xml:space="preserve"> incorporat</w:t>
      </w:r>
      <w:r w:rsidR="005055DA">
        <w:rPr>
          <w:rFonts w:cs="Times New Roman"/>
        </w:rPr>
        <w:t>e</w:t>
      </w:r>
      <w:r w:rsidR="00D25379">
        <w:rPr>
          <w:rFonts w:cs="Times New Roman"/>
        </w:rPr>
        <w:t xml:space="preserve"> changes to a landscape through time</w:t>
      </w:r>
      <w:r w:rsidR="00F109B5">
        <w:rPr>
          <w:rFonts w:cs="Times New Roman"/>
        </w:rPr>
        <w:t xml:space="preserve"> </w:t>
      </w:r>
      <w:r w:rsidR="00A87297">
        <w:rPr>
          <w:rFonts w:cs="Times New Roman"/>
        </w:rPr>
        <w:t>(Urban et al. 2007; Keith et al. 2008; Brook et al. 2009; Aiello-Lammens et al. 2011; Fordham et al. 2012, 2013; Franklin et al. 2013; Pearson et al. 2014)</w:t>
      </w:r>
      <w:r w:rsidR="00D25379">
        <w:rPr>
          <w:rFonts w:cs="Times New Roman"/>
        </w:rPr>
        <w:t xml:space="preserve">. </w:t>
      </w:r>
      <w:r>
        <w:rPr>
          <w:rFonts w:cs="Times New Roman"/>
        </w:rPr>
        <w:t>Thus, these models integrate local and regional processes governing species abundance and occurrence patterns</w:t>
      </w:r>
      <w:r w:rsidR="00D25379">
        <w:rPr>
          <w:rFonts w:cs="Times New Roman"/>
        </w:rPr>
        <w:t xml:space="preserve"> over time</w:t>
      </w:r>
      <w:r>
        <w:rPr>
          <w:rFonts w:cs="Times New Roman"/>
        </w:rPr>
        <w:t>.</w:t>
      </w:r>
      <w:r w:rsidR="00263874">
        <w:rPr>
          <w:rFonts w:cs="Times New Roman"/>
        </w:rPr>
        <w:t xml:space="preserve"> While these models are seeing increased usage in the field of conservation</w:t>
      </w:r>
      <w:r w:rsidR="00CC4301">
        <w:rPr>
          <w:rFonts w:cs="Times New Roman"/>
        </w:rPr>
        <w:t xml:space="preserve"> </w:t>
      </w:r>
      <w:r w:rsidR="00B217FB" w:rsidRPr="00B217FB">
        <w:rPr>
          <w:rFonts w:cs="Times New Roman"/>
        </w:rPr>
        <w:t>(Briscoe et al. 2019)</w:t>
      </w:r>
      <w:r w:rsidR="00F109B5">
        <w:rPr>
          <w:rFonts w:cs="Times New Roman"/>
        </w:rPr>
        <w:t>, they are underutilized in the study of invasive species</w:t>
      </w:r>
      <w:r w:rsidR="00263874">
        <w:rPr>
          <w:rFonts w:cs="Times New Roman"/>
        </w:rPr>
        <w:t>.</w:t>
      </w:r>
      <w:r w:rsidR="00F109B5">
        <w:rPr>
          <w:rFonts w:cs="Times New Roman"/>
        </w:rPr>
        <w:t xml:space="preserve"> </w:t>
      </w:r>
    </w:p>
    <w:p w14:paraId="6B72D332" w14:textId="3B793605" w:rsidR="00700B84" w:rsidRDefault="00962BE0" w:rsidP="00263874">
      <w:pPr>
        <w:spacing w:line="480" w:lineRule="auto"/>
        <w:ind w:firstLine="720"/>
        <w:rPr>
          <w:rFonts w:cs="Times New Roman"/>
        </w:rPr>
      </w:pPr>
      <w:r w:rsidRPr="00F942C1">
        <w:rPr>
          <w:rFonts w:cs="Times New Roman"/>
        </w:rPr>
        <w:t xml:space="preserve">Comparisons between </w:t>
      </w:r>
      <w:r>
        <w:rPr>
          <w:rFonts w:cs="Times New Roman"/>
        </w:rPr>
        <w:t xml:space="preserve">the results of ecological models and </w:t>
      </w:r>
      <w:r w:rsidRPr="00F942C1">
        <w:rPr>
          <w:rFonts w:cs="Times New Roman"/>
        </w:rPr>
        <w:t xml:space="preserve">empirical observations </w:t>
      </w:r>
      <w:r>
        <w:rPr>
          <w:rFonts w:cs="Times New Roman"/>
        </w:rPr>
        <w:t xml:space="preserve">can </w:t>
      </w:r>
      <w:r w:rsidRPr="00F942C1">
        <w:rPr>
          <w:rFonts w:cs="Times New Roman"/>
        </w:rPr>
        <w:t>provide insights into processes of population dynamics</w:t>
      </w:r>
      <w:r w:rsidR="00CC4301">
        <w:rPr>
          <w:rFonts w:cs="Times New Roman"/>
        </w:rPr>
        <w:t xml:space="preserve"> </w:t>
      </w:r>
      <w:r w:rsidR="00B217FB" w:rsidRPr="00B217FB">
        <w:rPr>
          <w:rFonts w:cs="Times New Roman"/>
        </w:rPr>
        <w:t>(Hastings et al. 2005)</w:t>
      </w:r>
      <w:r>
        <w:rPr>
          <w:rFonts w:cs="Times New Roman"/>
        </w:rPr>
        <w:t xml:space="preserve">. </w:t>
      </w:r>
      <w:r w:rsidR="00FF24C7">
        <w:rPr>
          <w:rFonts w:cs="Times New Roman"/>
        </w:rPr>
        <w:t xml:space="preserve">The processes governing the spatial spread and population increases of non-native species </w:t>
      </w:r>
      <w:r w:rsidR="00FA1EA9">
        <w:rPr>
          <w:rFonts w:cs="Times New Roman"/>
        </w:rPr>
        <w:t>occur over multiple spatial and temporal scales</w:t>
      </w:r>
      <w:r w:rsidR="007763B5">
        <w:rPr>
          <w:rFonts w:cs="Times New Roman"/>
        </w:rPr>
        <w:t xml:space="preserve"> </w:t>
      </w:r>
      <w:r w:rsidR="00A87297">
        <w:rPr>
          <w:rFonts w:cs="Times New Roman"/>
        </w:rPr>
        <w:t>(Sakai et al. 2001; Theoharides and Dukes 2007; Blackburn et al. 2011)</w:t>
      </w:r>
      <w:r w:rsidR="00FA1EA9">
        <w:rPr>
          <w:rFonts w:cs="Times New Roman"/>
          <w:noProof/>
        </w:rPr>
        <w:t xml:space="preserve">, and thus the </w:t>
      </w:r>
      <w:r w:rsidR="00FA1EA9">
        <w:rPr>
          <w:rFonts w:cs="Times New Roman"/>
        </w:rPr>
        <w:t>utility of analysis tools that allow for investigation across scale</w:t>
      </w:r>
      <w:r w:rsidR="00C16D64">
        <w:rPr>
          <w:rFonts w:cs="Times New Roman"/>
        </w:rPr>
        <w:t>s</w:t>
      </w:r>
      <w:r w:rsidR="00FA1EA9">
        <w:rPr>
          <w:rFonts w:cs="Times New Roman"/>
        </w:rPr>
        <w:t xml:space="preserve"> cannot be overstated.</w:t>
      </w:r>
      <w:r>
        <w:rPr>
          <w:rFonts w:cs="Times New Roman"/>
        </w:rPr>
        <w:t xml:space="preserve"> While most studies using integrated </w:t>
      </w:r>
      <w:r w:rsidR="00263874">
        <w:rPr>
          <w:rFonts w:cs="Times New Roman"/>
        </w:rPr>
        <w:t xml:space="preserve">demographic and distribution modeling </w:t>
      </w:r>
      <w:r>
        <w:rPr>
          <w:rFonts w:cs="Times New Roman"/>
        </w:rPr>
        <w:t xml:space="preserve">primarily focus on forecasting future </w:t>
      </w:r>
      <w:r w:rsidR="00C16D64">
        <w:rPr>
          <w:rFonts w:cs="Times New Roman"/>
        </w:rPr>
        <w:t>patterns</w:t>
      </w:r>
      <w:r>
        <w:rPr>
          <w:rFonts w:cs="Times New Roman"/>
        </w:rPr>
        <w:t xml:space="preserve">, </w:t>
      </w:r>
      <w:r w:rsidR="00263874">
        <w:rPr>
          <w:rFonts w:cs="Times New Roman"/>
        </w:rPr>
        <w:t xml:space="preserve">retrospective analyses offers an important tool for testing hypotheses of species spread. Such analyses have already been applied to understand causes of species </w:t>
      </w:r>
      <w:r w:rsidR="00C16D64">
        <w:rPr>
          <w:rFonts w:cs="Times New Roman"/>
        </w:rPr>
        <w:t>declines</w:t>
      </w:r>
      <w:r w:rsidR="00263874">
        <w:rPr>
          <w:rFonts w:cs="Times New Roman"/>
        </w:rPr>
        <w:t xml:space="preserve"> and extinctions</w:t>
      </w:r>
      <w:r w:rsidR="005606E1">
        <w:rPr>
          <w:rFonts w:cs="Times New Roman"/>
        </w:rPr>
        <w:t xml:space="preserve"> </w:t>
      </w:r>
      <w:r w:rsidR="00A87297">
        <w:rPr>
          <w:rFonts w:cs="Times New Roman"/>
        </w:rPr>
        <w:t>(Prowse et al. 2013; Stanton 2014)</w:t>
      </w:r>
      <w:r w:rsidR="00263874">
        <w:rPr>
          <w:rFonts w:cs="Times New Roman"/>
        </w:rPr>
        <w:t>. T</w:t>
      </w:r>
      <w:r w:rsidR="00FA1EA9">
        <w:rPr>
          <w:rFonts w:cs="Times New Roman"/>
        </w:rPr>
        <w:t xml:space="preserve">heoretical and modeling work has </w:t>
      </w:r>
      <w:r w:rsidR="00263874">
        <w:rPr>
          <w:rFonts w:cs="Times New Roman"/>
        </w:rPr>
        <w:t xml:space="preserve">also </w:t>
      </w:r>
      <w:r w:rsidR="00FA1EA9">
        <w:rPr>
          <w:rFonts w:cs="Times New Roman"/>
        </w:rPr>
        <w:t xml:space="preserve">addressed </w:t>
      </w:r>
      <w:r w:rsidR="00C36DF4">
        <w:rPr>
          <w:rFonts w:cs="Times New Roman"/>
        </w:rPr>
        <w:t xml:space="preserve">cross-scale investigations. For example, </w:t>
      </w:r>
      <w:r w:rsidR="00CB59E4">
        <w:rPr>
          <w:rFonts w:cs="Times New Roman"/>
        </w:rPr>
        <w:t xml:space="preserve">there has been extensive investigations of the influence of propagule pressure on invasion success </w:t>
      </w:r>
      <w:r w:rsidR="00B217FB" w:rsidRPr="00B217FB">
        <w:rPr>
          <w:rFonts w:cs="Times New Roman"/>
        </w:rPr>
        <w:t>(</w:t>
      </w:r>
      <w:proofErr w:type="spellStart"/>
      <w:r w:rsidR="00B217FB" w:rsidRPr="00B217FB">
        <w:rPr>
          <w:rFonts w:cs="Times New Roman"/>
        </w:rPr>
        <w:t>Simberloff</w:t>
      </w:r>
      <w:proofErr w:type="spellEnd"/>
      <w:r w:rsidR="00B217FB" w:rsidRPr="00B217FB">
        <w:rPr>
          <w:rFonts w:cs="Times New Roman"/>
        </w:rPr>
        <w:t xml:space="preserve"> 2009)</w:t>
      </w:r>
      <w:r w:rsidR="00CB59E4">
        <w:rPr>
          <w:rFonts w:cs="Times New Roman"/>
        </w:rPr>
        <w:t xml:space="preserve">, leading some to suggest </w:t>
      </w:r>
      <w:r w:rsidR="007641B7">
        <w:rPr>
          <w:rFonts w:cs="Times New Roman"/>
        </w:rPr>
        <w:t xml:space="preserve">that mathematical parameterizations of propagule pressure could serve as a </w:t>
      </w:r>
      <w:r w:rsidR="00CB59E4">
        <w:rPr>
          <w:rFonts w:cs="Times New Roman"/>
        </w:rPr>
        <w:t>null model of invasion</w:t>
      </w:r>
      <w:r w:rsidR="00D63B86">
        <w:rPr>
          <w:rFonts w:cs="Times New Roman"/>
        </w:rPr>
        <w:t xml:space="preserve"> </w:t>
      </w:r>
      <w:r w:rsidR="00B217FB" w:rsidRPr="00B217FB">
        <w:rPr>
          <w:rFonts w:cs="Times New Roman"/>
        </w:rPr>
        <w:t>(</w:t>
      </w:r>
      <w:proofErr w:type="spellStart"/>
      <w:r w:rsidR="00B217FB" w:rsidRPr="00B217FB">
        <w:rPr>
          <w:rFonts w:cs="Times New Roman"/>
        </w:rPr>
        <w:t>Colautti</w:t>
      </w:r>
      <w:proofErr w:type="spellEnd"/>
      <w:r w:rsidR="00B217FB" w:rsidRPr="00B217FB">
        <w:rPr>
          <w:rFonts w:cs="Times New Roman"/>
        </w:rPr>
        <w:t xml:space="preserve"> et al. 2006)</w:t>
      </w:r>
      <w:r w:rsidR="0059229F">
        <w:rPr>
          <w:rFonts w:cs="Times New Roman"/>
        </w:rPr>
        <w:t xml:space="preserve">. </w:t>
      </w:r>
      <w:r w:rsidR="007641B7">
        <w:rPr>
          <w:rFonts w:cs="Times New Roman"/>
        </w:rPr>
        <w:t>Several cross-scale mechanisms have been proposed</w:t>
      </w:r>
      <w:r w:rsidR="00473128">
        <w:rPr>
          <w:rFonts w:cs="Times New Roman"/>
        </w:rPr>
        <w:t>, and in some cases simulated,</w:t>
      </w:r>
      <w:r w:rsidR="007641B7">
        <w:rPr>
          <w:rFonts w:cs="Times New Roman"/>
        </w:rPr>
        <w:t xml:space="preserve"> to explain temporal lags between stages of invasion</w:t>
      </w:r>
      <w:r w:rsidR="00473128">
        <w:rPr>
          <w:rFonts w:cs="Times New Roman"/>
        </w:rPr>
        <w:t xml:space="preserve">, </w:t>
      </w:r>
      <w:r w:rsidR="00473128">
        <w:rPr>
          <w:rFonts w:cs="Times New Roman"/>
        </w:rPr>
        <w:lastRenderedPageBreak/>
        <w:t>incorporating a mix of population ecology, biogeography, and evolution</w:t>
      </w:r>
      <w:r w:rsidR="00BB4F29">
        <w:rPr>
          <w:rFonts w:cs="Times New Roman"/>
        </w:rPr>
        <w:t xml:space="preserve"> </w:t>
      </w:r>
      <w:r w:rsidR="00A87297" w:rsidRPr="00A87297">
        <w:rPr>
          <w:rFonts w:cs="Times New Roman"/>
        </w:rPr>
        <w:t>(</w:t>
      </w:r>
      <w:proofErr w:type="spellStart"/>
      <w:r w:rsidR="00A87297" w:rsidRPr="00A87297">
        <w:rPr>
          <w:rFonts w:cs="Times New Roman"/>
        </w:rPr>
        <w:t>Kowarik</w:t>
      </w:r>
      <w:proofErr w:type="spellEnd"/>
      <w:r w:rsidR="00A87297" w:rsidRPr="00A87297">
        <w:rPr>
          <w:rFonts w:cs="Times New Roman"/>
        </w:rPr>
        <w:t xml:space="preserve"> 1995; Crooks and Soulé 1999; Sakai et al. 2001; Pyšek and Hulme 2005; Theoharides and Dukes 2007)</w:t>
      </w:r>
      <w:r w:rsidR="00473128">
        <w:rPr>
          <w:rFonts w:cs="Times New Roman"/>
        </w:rPr>
        <w:t xml:space="preserve">. </w:t>
      </w:r>
      <w:r w:rsidR="00C16D64">
        <w:rPr>
          <w:rFonts w:cs="Times New Roman"/>
        </w:rPr>
        <w:t>Similarly, i</w:t>
      </w:r>
      <w:r w:rsidR="0059229F">
        <w:rPr>
          <w:rFonts w:cs="Times New Roman"/>
        </w:rPr>
        <w:t>n simulation work,</w:t>
      </w:r>
      <w:r w:rsidR="00BB4F29">
        <w:rPr>
          <w:rFonts w:cs="Times New Roman"/>
        </w:rPr>
        <w:t xml:space="preserve"> </w:t>
      </w:r>
      <w:r w:rsidR="00B217FB" w:rsidRPr="00B217FB">
        <w:rPr>
          <w:rFonts w:cs="Times New Roman"/>
        </w:rPr>
        <w:t>(With 2002, 2004)</w:t>
      </w:r>
      <w:r w:rsidR="0059229F">
        <w:rPr>
          <w:rFonts w:cs="Times New Roman"/>
        </w:rPr>
        <w:t xml:space="preserve"> </w:t>
      </w:r>
      <w:r w:rsidR="00C36DF4">
        <w:rPr>
          <w:rFonts w:cs="Times New Roman"/>
        </w:rPr>
        <w:t xml:space="preserve">demonstrated </w:t>
      </w:r>
      <w:r w:rsidR="00C36DF4" w:rsidRPr="004D005A">
        <w:rPr>
          <w:rFonts w:cs="Times New Roman"/>
        </w:rPr>
        <w:t>that landscape level characteristics, such as distance between suitable patches and habitat fragmentation, strongly influence species invasions</w:t>
      </w:r>
      <w:r w:rsidR="00C36DF4">
        <w:rPr>
          <w:rFonts w:cs="Times New Roman"/>
        </w:rPr>
        <w:t xml:space="preserve">. </w:t>
      </w:r>
      <w:r w:rsidR="00C36DF4" w:rsidRPr="004D005A">
        <w:rPr>
          <w:rFonts w:cs="Times New Roman"/>
        </w:rPr>
        <w:t xml:space="preserve">Integrated modeling methods provide a way to test these theoretical predictions </w:t>
      </w:r>
      <w:r w:rsidR="00C36DF4">
        <w:rPr>
          <w:rFonts w:cs="Times New Roman"/>
        </w:rPr>
        <w:t>with</w:t>
      </w:r>
      <w:r w:rsidR="00C36DF4" w:rsidRPr="004D005A">
        <w:rPr>
          <w:rFonts w:cs="Times New Roman"/>
        </w:rPr>
        <w:t xml:space="preserve"> empirical data.</w:t>
      </w:r>
      <w:r w:rsidR="00C36DF4">
        <w:rPr>
          <w:rFonts w:cs="Times New Roman"/>
        </w:rPr>
        <w:t xml:space="preserve"> </w:t>
      </w:r>
    </w:p>
    <w:p w14:paraId="0A5574D5" w14:textId="01C3E3AE" w:rsidR="00FF24C7" w:rsidRPr="00310A8E" w:rsidRDefault="00310A8E" w:rsidP="00310A8E">
      <w:pPr>
        <w:spacing w:line="480" w:lineRule="auto"/>
        <w:ind w:firstLine="720"/>
        <w:rPr>
          <w:rFonts w:cs="Times New Roman"/>
        </w:rPr>
      </w:pPr>
      <w:r>
        <w:rPr>
          <w:rFonts w:cs="Times New Roman"/>
        </w:rPr>
        <w:t xml:space="preserve">In this study, </w:t>
      </w:r>
      <w:r w:rsidR="00FF24C7">
        <w:t xml:space="preserve">I constructed a linked demographic and species distribution model for </w:t>
      </w:r>
      <w:r w:rsidR="00FF24C7">
        <w:rPr>
          <w:i/>
        </w:rPr>
        <w:t>F</w:t>
      </w:r>
      <w:r w:rsidR="000B3E73">
        <w:rPr>
          <w:i/>
        </w:rPr>
        <w:t>rangula</w:t>
      </w:r>
      <w:r w:rsidR="00FF24C7">
        <w:rPr>
          <w:i/>
        </w:rPr>
        <w:t xml:space="preserve"> </w:t>
      </w:r>
      <w:proofErr w:type="spellStart"/>
      <w:r w:rsidR="00FF24C7">
        <w:rPr>
          <w:i/>
        </w:rPr>
        <w:t>alnus</w:t>
      </w:r>
      <w:proofErr w:type="spellEnd"/>
      <w:r w:rsidR="00FF24C7">
        <w:t xml:space="preserve"> to examine the demographic processes result</w:t>
      </w:r>
      <w:r w:rsidR="006E6178">
        <w:t>ing</w:t>
      </w:r>
      <w:r w:rsidR="00FF24C7">
        <w:t xml:space="preserve"> in </w:t>
      </w:r>
      <w:proofErr w:type="spellStart"/>
      <w:r w:rsidR="00FF24C7">
        <w:t>areal</w:t>
      </w:r>
      <w:proofErr w:type="spellEnd"/>
      <w:r w:rsidR="00FF24C7">
        <w:t xml:space="preserve"> growth matching its pattern of spread through the 20</w:t>
      </w:r>
      <w:r w:rsidR="00FF24C7" w:rsidRPr="00CD18D2">
        <w:rPr>
          <w:vertAlign w:val="superscript"/>
        </w:rPr>
        <w:t>th</w:t>
      </w:r>
      <w:r w:rsidR="00FF24C7">
        <w:t xml:space="preserve"> century. </w:t>
      </w:r>
      <w:r>
        <w:t xml:space="preserve">Analysis of </w:t>
      </w:r>
      <w:r w:rsidR="00FF24C7">
        <w:rPr>
          <w:rFonts w:cs="Times New Roman"/>
          <w:i/>
          <w:iCs/>
        </w:rPr>
        <w:t xml:space="preserve">F. </w:t>
      </w:r>
      <w:proofErr w:type="spellStart"/>
      <w:r w:rsidR="00FF24C7">
        <w:rPr>
          <w:rFonts w:cs="Times New Roman"/>
          <w:i/>
          <w:iCs/>
        </w:rPr>
        <w:t>alnus</w:t>
      </w:r>
      <w:proofErr w:type="spellEnd"/>
      <w:r w:rsidR="00FF24C7">
        <w:rPr>
          <w:rFonts w:cs="Times New Roman"/>
          <w:i/>
          <w:iCs/>
        </w:rPr>
        <w:t xml:space="preserve"> </w:t>
      </w:r>
      <w:r w:rsidR="00FF24C7">
        <w:rPr>
          <w:rFonts w:cs="Times New Roman"/>
          <w:iCs/>
        </w:rPr>
        <w:t xml:space="preserve">occurrence records </w:t>
      </w:r>
      <w:r>
        <w:rPr>
          <w:rFonts w:cs="Times New Roman"/>
          <w:iCs/>
        </w:rPr>
        <w:t>suggest</w:t>
      </w:r>
      <w:r w:rsidR="00FF24C7">
        <w:rPr>
          <w:rFonts w:cs="Times New Roman"/>
          <w:iCs/>
        </w:rPr>
        <w:t xml:space="preserve"> an extended lag </w:t>
      </w:r>
      <w:r w:rsidR="00B5338D">
        <w:rPr>
          <w:rFonts w:cs="Times New Roman"/>
          <w:iCs/>
        </w:rPr>
        <w:t>from its first observation in 1879</w:t>
      </w:r>
      <w:r w:rsidR="00FF24C7">
        <w:rPr>
          <w:rFonts w:cs="Times New Roman"/>
          <w:iCs/>
        </w:rPr>
        <w:t xml:space="preserve"> </w:t>
      </w:r>
      <w:r w:rsidR="00B5338D">
        <w:rPr>
          <w:rFonts w:cs="Times New Roman"/>
          <w:iCs/>
        </w:rPr>
        <w:t xml:space="preserve">to </w:t>
      </w:r>
      <w:r w:rsidR="00FF24C7">
        <w:rPr>
          <w:rFonts w:cs="Times New Roman"/>
          <w:iCs/>
        </w:rPr>
        <w:t>approximately 1910 to 1920</w:t>
      </w:r>
      <w:r w:rsidR="000B3E73">
        <w:rPr>
          <w:rFonts w:cs="Times New Roman"/>
          <w:iCs/>
        </w:rPr>
        <w:t>, followed by relatively rapid expansion throughout northeastern North America</w:t>
      </w:r>
      <w:r w:rsidR="00777A5B">
        <w:rPr>
          <w:rFonts w:cs="Times New Roman"/>
          <w:iCs/>
        </w:rPr>
        <w:t xml:space="preserve"> </w:t>
      </w:r>
      <w:r w:rsidR="009737A6" w:rsidRPr="009737A6">
        <w:rPr>
          <w:rFonts w:cs="Times New Roman"/>
        </w:rPr>
        <w:t>(Aiello-Lammens 2014)</w:t>
      </w:r>
      <w:r w:rsidR="00FF24C7">
        <w:rPr>
          <w:rFonts w:cs="Times New Roman"/>
          <w:iCs/>
        </w:rPr>
        <w:t xml:space="preserve">. </w:t>
      </w:r>
      <w:r w:rsidR="00FF24C7">
        <w:rPr>
          <w:rFonts w:cs="Times New Roman"/>
        </w:rPr>
        <w:t>I used linked demographic and distribution models t</w:t>
      </w:r>
      <w:r w:rsidR="00FF24C7" w:rsidRPr="003C01FF">
        <w:rPr>
          <w:rFonts w:cs="Times New Roman"/>
        </w:rPr>
        <w:t xml:space="preserve">o </w:t>
      </w:r>
      <w:r w:rsidR="00D74C5F">
        <w:rPr>
          <w:rFonts w:cs="Times New Roman"/>
        </w:rPr>
        <w:t>test multiple hypotheses regarding th</w:t>
      </w:r>
      <w:r w:rsidR="000B3E73">
        <w:rPr>
          <w:rFonts w:cs="Times New Roman"/>
        </w:rPr>
        <w:t>is</w:t>
      </w:r>
      <w:r w:rsidR="00D74C5F">
        <w:rPr>
          <w:rFonts w:cs="Times New Roman"/>
        </w:rPr>
        <w:t xml:space="preserve"> invasion</w:t>
      </w:r>
      <w:r w:rsidR="000B3E73">
        <w:rPr>
          <w:rFonts w:cs="Times New Roman"/>
        </w:rPr>
        <w:t>.</w:t>
      </w:r>
      <w:r w:rsidR="00D74C5F">
        <w:rPr>
          <w:rFonts w:cs="Times New Roman"/>
        </w:rPr>
        <w:t xml:space="preserve"> </w:t>
      </w:r>
      <w:r w:rsidR="00D74C5F">
        <w:rPr>
          <w:rFonts w:eastAsiaTheme="minorEastAsia" w:cs="Times New Roman"/>
          <w:iCs/>
        </w:rPr>
        <w:t xml:space="preserve">First, that </w:t>
      </w:r>
      <w:r w:rsidR="006A1E96">
        <w:rPr>
          <w:rFonts w:eastAsiaTheme="minorEastAsia" w:cs="Times New Roman"/>
          <w:iCs/>
        </w:rPr>
        <w:t xml:space="preserve">life-history characteristics, including high fecundity and survival, were integral to the expansion of </w:t>
      </w:r>
      <w:r w:rsidR="006A1E96">
        <w:rPr>
          <w:rFonts w:eastAsiaTheme="minorEastAsia" w:cs="Times New Roman"/>
          <w:i/>
          <w:iCs/>
        </w:rPr>
        <w:t xml:space="preserve">F. </w:t>
      </w:r>
      <w:proofErr w:type="spellStart"/>
      <w:r w:rsidR="006A1E96">
        <w:rPr>
          <w:rFonts w:eastAsiaTheme="minorEastAsia" w:cs="Times New Roman"/>
          <w:i/>
          <w:iCs/>
        </w:rPr>
        <w:t>alnus</w:t>
      </w:r>
      <w:proofErr w:type="spellEnd"/>
      <w:r w:rsidR="006A1E96">
        <w:rPr>
          <w:rFonts w:eastAsiaTheme="minorEastAsia" w:cs="Times New Roman"/>
          <w:i/>
          <w:iCs/>
        </w:rPr>
        <w:t>.</w:t>
      </w:r>
      <w:r w:rsidR="006A1E96">
        <w:rPr>
          <w:rFonts w:eastAsiaTheme="minorEastAsia" w:cs="Times New Roman"/>
          <w:iCs/>
        </w:rPr>
        <w:t xml:space="preserve"> Second, that 20</w:t>
      </w:r>
      <w:r w:rsidR="006A1E96" w:rsidRPr="006A1E96">
        <w:rPr>
          <w:rFonts w:eastAsiaTheme="minorEastAsia" w:cs="Times New Roman"/>
          <w:iCs/>
          <w:vertAlign w:val="superscript"/>
        </w:rPr>
        <w:t>th</w:t>
      </w:r>
      <w:r w:rsidR="006A1E96">
        <w:rPr>
          <w:rFonts w:eastAsiaTheme="minorEastAsia" w:cs="Times New Roman"/>
          <w:iCs/>
        </w:rPr>
        <w:t xml:space="preserve"> century land-use change, particularly conversion from intensive agriculture to old-field and forest habitat in northeastern United States, was positively associated with </w:t>
      </w:r>
      <w:r w:rsidR="006A1E96">
        <w:rPr>
          <w:rFonts w:eastAsiaTheme="minorEastAsia" w:cs="Times New Roman"/>
          <w:i/>
          <w:iCs/>
        </w:rPr>
        <w:t xml:space="preserve">F. </w:t>
      </w:r>
      <w:proofErr w:type="spellStart"/>
      <w:r w:rsidR="006A1E96">
        <w:rPr>
          <w:rFonts w:eastAsiaTheme="minorEastAsia" w:cs="Times New Roman"/>
          <w:i/>
          <w:iCs/>
        </w:rPr>
        <w:t>alnus</w:t>
      </w:r>
      <w:proofErr w:type="spellEnd"/>
      <w:r w:rsidR="006A1E96">
        <w:rPr>
          <w:rFonts w:eastAsiaTheme="minorEastAsia" w:cs="Times New Roman"/>
          <w:i/>
          <w:iCs/>
        </w:rPr>
        <w:t xml:space="preserve"> </w:t>
      </w:r>
      <w:r w:rsidR="006A1E96">
        <w:rPr>
          <w:rFonts w:eastAsiaTheme="minorEastAsia" w:cs="Times New Roman"/>
          <w:iCs/>
        </w:rPr>
        <w:t>range expansion.</w:t>
      </w:r>
      <w:r w:rsidR="00D0677E">
        <w:rPr>
          <w:rFonts w:eastAsiaTheme="minorEastAsia" w:cs="Times New Roman"/>
          <w:iCs/>
        </w:rPr>
        <w:t xml:space="preserve"> Third, that long-distance dispersal events were an important </w:t>
      </w:r>
      <w:r w:rsidR="00C91EDA">
        <w:rPr>
          <w:rFonts w:eastAsiaTheme="minorEastAsia" w:cs="Times New Roman"/>
          <w:iCs/>
        </w:rPr>
        <w:t>contributor</w:t>
      </w:r>
      <w:r w:rsidR="00D0677E">
        <w:rPr>
          <w:rFonts w:eastAsiaTheme="minorEastAsia" w:cs="Times New Roman"/>
          <w:iCs/>
        </w:rPr>
        <w:t xml:space="preserve"> to its rapid spread.</w:t>
      </w:r>
      <w:r w:rsidR="006A1E96">
        <w:rPr>
          <w:rFonts w:eastAsiaTheme="minorEastAsia" w:cs="Times New Roman"/>
          <w:iCs/>
        </w:rPr>
        <w:t xml:space="preserve"> </w:t>
      </w:r>
      <w:r w:rsidR="00FF24C7" w:rsidRPr="003C01FF">
        <w:rPr>
          <w:rFonts w:cs="Times New Roman"/>
        </w:rPr>
        <w:t>I estimate</w:t>
      </w:r>
      <w:r w:rsidR="00FF24C7">
        <w:rPr>
          <w:rFonts w:cs="Times New Roman"/>
        </w:rPr>
        <w:t>d</w:t>
      </w:r>
      <w:r w:rsidR="00FF24C7" w:rsidRPr="003C01FF">
        <w:rPr>
          <w:rFonts w:cs="Times New Roman"/>
        </w:rPr>
        <w:t xml:space="preserve"> </w:t>
      </w:r>
      <w:r w:rsidR="006A1E96">
        <w:rPr>
          <w:rFonts w:cs="Times New Roman"/>
        </w:rPr>
        <w:t>model</w:t>
      </w:r>
      <w:r w:rsidR="00FF24C7" w:rsidRPr="003C01FF">
        <w:rPr>
          <w:rFonts w:cs="Times New Roman"/>
        </w:rPr>
        <w:t xml:space="preserve"> parameters using demographic data collected </w:t>
      </w:r>
      <w:r w:rsidR="0061252D">
        <w:rPr>
          <w:rFonts w:cs="Times New Roman"/>
        </w:rPr>
        <w:t>in</w:t>
      </w:r>
      <w:r w:rsidR="00FF24C7" w:rsidRPr="003C01FF">
        <w:rPr>
          <w:rFonts w:cs="Times New Roman"/>
        </w:rPr>
        <w:t xml:space="preserve"> field surveys from </w:t>
      </w:r>
      <w:r w:rsidR="00FF24C7">
        <w:rPr>
          <w:rFonts w:cs="Times New Roman"/>
        </w:rPr>
        <w:t xml:space="preserve">two </w:t>
      </w:r>
      <w:r w:rsidR="00FF24C7" w:rsidRPr="00C37CD0">
        <w:rPr>
          <w:rFonts w:cs="Times New Roman"/>
        </w:rPr>
        <w:t xml:space="preserve">geographic locations </w:t>
      </w:r>
      <w:r w:rsidR="00FF24C7" w:rsidRPr="003C01FF">
        <w:rPr>
          <w:rFonts w:cs="Times New Roman"/>
        </w:rPr>
        <w:t>in northeast Nort</w:t>
      </w:r>
      <w:r w:rsidR="00FF24C7">
        <w:rPr>
          <w:rFonts w:cs="Times New Roman"/>
        </w:rPr>
        <w:t>h America</w:t>
      </w:r>
      <w:r w:rsidR="006A1E96">
        <w:rPr>
          <w:rFonts w:cs="Times New Roman"/>
        </w:rPr>
        <w:t xml:space="preserve"> over three years</w:t>
      </w:r>
      <w:r w:rsidR="00FF24C7">
        <w:rPr>
          <w:rFonts w:cs="Times New Roman"/>
        </w:rPr>
        <w:t xml:space="preserve">, as well as </w:t>
      </w:r>
      <w:r w:rsidR="00FF24C7" w:rsidRPr="00383B0C">
        <w:rPr>
          <w:rFonts w:cs="Times New Roman"/>
        </w:rPr>
        <w:t xml:space="preserve">data from </w:t>
      </w:r>
      <w:r w:rsidR="00D0677E">
        <w:rPr>
          <w:rFonts w:cs="Times New Roman"/>
        </w:rPr>
        <w:t xml:space="preserve">peer-reviewed </w:t>
      </w:r>
      <w:r w:rsidR="00FF24C7" w:rsidRPr="00383B0C">
        <w:rPr>
          <w:rFonts w:cs="Times New Roman"/>
        </w:rPr>
        <w:t xml:space="preserve">and </w:t>
      </w:r>
      <w:r w:rsidR="00FF24C7">
        <w:rPr>
          <w:rFonts w:cs="Times New Roman"/>
        </w:rPr>
        <w:t>grey literature</w:t>
      </w:r>
      <w:r w:rsidR="00FF24C7" w:rsidRPr="00383B0C">
        <w:rPr>
          <w:rFonts w:cs="Times New Roman"/>
        </w:rPr>
        <w:t>.</w:t>
      </w:r>
      <w:r w:rsidR="00FF24C7">
        <w:rPr>
          <w:rFonts w:cs="Times New Roman"/>
        </w:rPr>
        <w:t xml:space="preserve"> </w:t>
      </w:r>
      <w:r w:rsidR="00D0677E">
        <w:rPr>
          <w:rFonts w:cs="Times New Roman"/>
          <w:iCs/>
        </w:rPr>
        <w:t xml:space="preserve">I </w:t>
      </w:r>
      <w:r w:rsidR="00FF24C7">
        <w:rPr>
          <w:rFonts w:cs="Times New Roman"/>
          <w:iCs/>
        </w:rPr>
        <w:t xml:space="preserve">compared </w:t>
      </w:r>
      <w:r w:rsidR="00D0677E">
        <w:rPr>
          <w:rFonts w:cs="Times New Roman"/>
          <w:iCs/>
        </w:rPr>
        <w:t xml:space="preserve">patterns of </w:t>
      </w:r>
      <w:r w:rsidR="00FF24C7">
        <w:rPr>
          <w:rFonts w:cs="Times New Roman"/>
          <w:iCs/>
        </w:rPr>
        <w:t>the simulated spatial spread</w:t>
      </w:r>
      <w:r w:rsidR="00D0677E">
        <w:rPr>
          <w:rFonts w:cs="Times New Roman"/>
          <w:iCs/>
        </w:rPr>
        <w:t xml:space="preserve"> for </w:t>
      </w:r>
      <w:r w:rsidR="00D0677E">
        <w:rPr>
          <w:rFonts w:eastAsiaTheme="minorEastAsia" w:cs="Times New Roman"/>
          <w:i/>
          <w:iCs/>
        </w:rPr>
        <w:t xml:space="preserve">F. </w:t>
      </w:r>
      <w:proofErr w:type="spellStart"/>
      <w:r w:rsidR="00D0677E">
        <w:rPr>
          <w:rFonts w:eastAsiaTheme="minorEastAsia" w:cs="Times New Roman"/>
          <w:i/>
          <w:iCs/>
        </w:rPr>
        <w:t>alnus</w:t>
      </w:r>
      <w:proofErr w:type="spellEnd"/>
      <w:r w:rsidR="00D0677E">
        <w:rPr>
          <w:rFonts w:eastAsiaTheme="minorEastAsia" w:cs="Times New Roman"/>
          <w:i/>
          <w:iCs/>
        </w:rPr>
        <w:t xml:space="preserve"> </w:t>
      </w:r>
      <w:r w:rsidR="00FF24C7">
        <w:rPr>
          <w:rFonts w:cs="Times New Roman"/>
          <w:iCs/>
        </w:rPr>
        <w:t xml:space="preserve">to </w:t>
      </w:r>
      <w:r w:rsidR="00D0677E">
        <w:rPr>
          <w:rFonts w:cs="Times New Roman"/>
          <w:iCs/>
        </w:rPr>
        <w:t xml:space="preserve">patterns of </w:t>
      </w:r>
      <w:r w:rsidR="00FF24C7">
        <w:rPr>
          <w:rFonts w:cs="Times New Roman"/>
          <w:iCs/>
        </w:rPr>
        <w:t xml:space="preserve">observed occurrences through time. </w:t>
      </w:r>
      <w:r w:rsidR="002128E3" w:rsidRPr="00B45D81">
        <w:rPr>
          <w:rFonts w:cs="Times New Roman"/>
          <w:iCs/>
        </w:rPr>
        <w:t>Exploring the parameter uncertainty space for this model and examin</w:t>
      </w:r>
      <w:r w:rsidR="00D222EB" w:rsidRPr="00B45D81">
        <w:rPr>
          <w:rFonts w:cs="Times New Roman"/>
          <w:iCs/>
        </w:rPr>
        <w:t>in</w:t>
      </w:r>
      <w:r w:rsidR="002128E3" w:rsidRPr="00B45D81">
        <w:rPr>
          <w:rFonts w:cs="Times New Roman"/>
          <w:iCs/>
        </w:rPr>
        <w:t>g d</w:t>
      </w:r>
      <w:r w:rsidR="00FF24C7" w:rsidRPr="00B45D81">
        <w:rPr>
          <w:rFonts w:cs="Times New Roman"/>
          <w:iCs/>
        </w:rPr>
        <w:t xml:space="preserve">eviations of the simulated spread from observed occurrences </w:t>
      </w:r>
      <w:r w:rsidR="006A1E96">
        <w:rPr>
          <w:rFonts w:cs="Times New Roman"/>
          <w:iCs/>
        </w:rPr>
        <w:t>allow</w:t>
      </w:r>
      <w:r w:rsidR="00D0677E">
        <w:rPr>
          <w:rFonts w:cs="Times New Roman"/>
          <w:iCs/>
        </w:rPr>
        <w:t>ed</w:t>
      </w:r>
      <w:r w:rsidR="006A1E96">
        <w:rPr>
          <w:rFonts w:cs="Times New Roman"/>
          <w:iCs/>
        </w:rPr>
        <w:t xml:space="preserve"> for both testing of my initial hypotheses and development of </w:t>
      </w:r>
      <w:r w:rsidR="00D0677E">
        <w:rPr>
          <w:rFonts w:cs="Times New Roman"/>
          <w:iCs/>
        </w:rPr>
        <w:t>additional</w:t>
      </w:r>
      <w:r w:rsidR="00FF24C7" w:rsidRPr="00B45D81">
        <w:rPr>
          <w:rFonts w:cs="Times New Roman"/>
          <w:iCs/>
        </w:rPr>
        <w:t xml:space="preserve"> </w:t>
      </w:r>
      <w:r w:rsidR="006A1E96">
        <w:rPr>
          <w:rFonts w:cs="Times New Roman"/>
          <w:iCs/>
        </w:rPr>
        <w:t>explanations.</w:t>
      </w:r>
      <w:r w:rsidR="00FF24C7" w:rsidRPr="00B45D81">
        <w:rPr>
          <w:rFonts w:cs="Times New Roman"/>
          <w:iCs/>
        </w:rPr>
        <w:t xml:space="preserve"> While</w:t>
      </w:r>
      <w:r w:rsidR="00FF24C7">
        <w:rPr>
          <w:rFonts w:cs="Times New Roman"/>
          <w:iCs/>
        </w:rPr>
        <w:t xml:space="preserve"> this model focuses </w:t>
      </w:r>
      <w:r w:rsidR="00FF24C7">
        <w:rPr>
          <w:rFonts w:cs="Times New Roman"/>
          <w:iCs/>
        </w:rPr>
        <w:lastRenderedPageBreak/>
        <w:t xml:space="preserve">specifically on the dynamics of </w:t>
      </w:r>
      <w:r w:rsidR="00FF24C7">
        <w:rPr>
          <w:rFonts w:cs="Times New Roman"/>
          <w:i/>
          <w:iCs/>
        </w:rPr>
        <w:t xml:space="preserve">F. </w:t>
      </w:r>
      <w:proofErr w:type="spellStart"/>
      <w:r w:rsidR="00FF24C7">
        <w:rPr>
          <w:rFonts w:cs="Times New Roman"/>
          <w:i/>
          <w:iCs/>
        </w:rPr>
        <w:t>alnus</w:t>
      </w:r>
      <w:proofErr w:type="spellEnd"/>
      <w:r w:rsidR="00FF24C7">
        <w:rPr>
          <w:rFonts w:cs="Times New Roman"/>
          <w:i/>
          <w:iCs/>
        </w:rPr>
        <w:t xml:space="preserve">, </w:t>
      </w:r>
      <w:r w:rsidR="00FF24C7">
        <w:rPr>
          <w:rFonts w:cs="Times New Roman"/>
          <w:iCs/>
        </w:rPr>
        <w:t xml:space="preserve">it provides a framework </w:t>
      </w:r>
      <w:r w:rsidR="00D0677E">
        <w:rPr>
          <w:rFonts w:cs="Times New Roman"/>
          <w:iCs/>
        </w:rPr>
        <w:t>to apply to</w:t>
      </w:r>
      <w:r w:rsidR="00FF24C7">
        <w:rPr>
          <w:rFonts w:cs="Times New Roman"/>
          <w:iCs/>
        </w:rPr>
        <w:t xml:space="preserve"> other invasive species. </w:t>
      </w:r>
      <w:bookmarkStart w:id="1" w:name="methods-and-results"/>
      <w:r w:rsidR="00FF24C7">
        <w:rPr>
          <w:rFonts w:cs="Times New Roman"/>
        </w:rPr>
        <w:br w:type="page"/>
      </w:r>
    </w:p>
    <w:p w14:paraId="0B6FD73D" w14:textId="065B7D6F" w:rsidR="00FF24C7" w:rsidRPr="00D01097" w:rsidRDefault="00FF24C7" w:rsidP="008579EE">
      <w:pPr>
        <w:spacing w:line="480" w:lineRule="auto"/>
        <w:rPr>
          <w:b/>
          <w:sz w:val="28"/>
          <w:szCs w:val="28"/>
        </w:rPr>
      </w:pPr>
      <w:r w:rsidRPr="00D01097">
        <w:rPr>
          <w:b/>
          <w:sz w:val="28"/>
          <w:szCs w:val="28"/>
        </w:rPr>
        <w:lastRenderedPageBreak/>
        <w:t>Methods</w:t>
      </w:r>
    </w:p>
    <w:p w14:paraId="26A5BC16" w14:textId="77777777" w:rsidR="00FF24C7" w:rsidRPr="00451A7F" w:rsidRDefault="00FF24C7" w:rsidP="008579EE">
      <w:pPr>
        <w:spacing w:line="480" w:lineRule="auto"/>
        <w:rPr>
          <w:b/>
        </w:rPr>
      </w:pPr>
      <w:r w:rsidRPr="00451A7F">
        <w:rPr>
          <w:b/>
        </w:rPr>
        <w:t>Study species and field observations</w:t>
      </w:r>
    </w:p>
    <w:p w14:paraId="3F2D5908" w14:textId="510531E6" w:rsidR="00FF24C7" w:rsidRDefault="00FF24C7" w:rsidP="008579EE">
      <w:pPr>
        <w:spacing w:line="480" w:lineRule="auto"/>
        <w:ind w:firstLine="475"/>
        <w:rPr>
          <w:rFonts w:cs="Times New Roman"/>
          <w:iCs/>
        </w:rPr>
      </w:pPr>
      <w:r>
        <w:rPr>
          <w:rFonts w:cs="Times New Roman"/>
          <w:i/>
          <w:iCs/>
        </w:rPr>
        <w:t xml:space="preserve">Frangula </w:t>
      </w:r>
      <w:proofErr w:type="spellStart"/>
      <w:r>
        <w:rPr>
          <w:rFonts w:cs="Times New Roman"/>
          <w:i/>
          <w:iCs/>
        </w:rPr>
        <w:t>alnus</w:t>
      </w:r>
      <w:proofErr w:type="spellEnd"/>
      <w:r>
        <w:rPr>
          <w:rFonts w:cs="Times New Roman"/>
          <w:i/>
          <w:iCs/>
        </w:rPr>
        <w:t xml:space="preserve"> </w:t>
      </w:r>
      <w:r>
        <w:rPr>
          <w:rFonts w:cs="Times New Roman"/>
          <w:iCs/>
        </w:rPr>
        <w:t xml:space="preserve">is a </w:t>
      </w:r>
      <w:r w:rsidR="00D01097">
        <w:rPr>
          <w:rFonts w:cs="Times New Roman"/>
          <w:iCs/>
        </w:rPr>
        <w:t xml:space="preserve">woody plant native to Eurasia. </w:t>
      </w:r>
      <w:r>
        <w:rPr>
          <w:rFonts w:cs="Times New Roman"/>
          <w:iCs/>
        </w:rPr>
        <w:t>It</w:t>
      </w:r>
      <w:r w:rsidR="00D01097">
        <w:rPr>
          <w:rFonts w:cs="Times New Roman"/>
          <w:iCs/>
        </w:rPr>
        <w:t xml:space="preserve"> grows to approximately 8 m in height and</w:t>
      </w:r>
      <w:r>
        <w:rPr>
          <w:rFonts w:cs="Times New Roman"/>
          <w:iCs/>
        </w:rPr>
        <w:t xml:space="preserve"> produces fleshy fruit</w:t>
      </w:r>
      <w:r w:rsidR="0025074E">
        <w:rPr>
          <w:rFonts w:cs="Times New Roman"/>
          <w:iCs/>
        </w:rPr>
        <w:t>, each</w:t>
      </w:r>
      <w:r>
        <w:rPr>
          <w:rFonts w:cs="Times New Roman"/>
          <w:iCs/>
        </w:rPr>
        <w:t xml:space="preserve"> containing two to three seeds</w:t>
      </w:r>
      <w:r w:rsidR="0025074E">
        <w:rPr>
          <w:rFonts w:cs="Times New Roman"/>
          <w:iCs/>
        </w:rPr>
        <w:t>,</w:t>
      </w:r>
      <w:r>
        <w:rPr>
          <w:rFonts w:cs="Times New Roman"/>
          <w:iCs/>
        </w:rPr>
        <w:t xml:space="preserve"> with individual plants able to produce several hundred fruit per year </w:t>
      </w:r>
      <w:r w:rsidR="00A87297">
        <w:rPr>
          <w:rFonts w:cs="Times New Roman"/>
        </w:rPr>
        <w:t>(Godwin 1943; Medan 1994)</w:t>
      </w:r>
      <w:r>
        <w:rPr>
          <w:rFonts w:cs="Times New Roman"/>
          <w:iCs/>
        </w:rPr>
        <w:t xml:space="preserve">. Seeds are </w:t>
      </w:r>
      <w:r w:rsidR="00C241D6">
        <w:rPr>
          <w:rFonts w:cs="Times New Roman"/>
          <w:iCs/>
        </w:rPr>
        <w:t>dispersed by birds</w:t>
      </w:r>
      <w:r w:rsidR="00463CEA">
        <w:rPr>
          <w:rFonts w:cs="Times New Roman"/>
          <w:iCs/>
        </w:rPr>
        <w:t xml:space="preserve"> </w:t>
      </w:r>
      <w:r w:rsidR="00A87297">
        <w:rPr>
          <w:rFonts w:cs="Times New Roman"/>
        </w:rPr>
        <w:t>(Howell and Blackwell 1977; Hampe et al. 2003; Hampe 2008)</w:t>
      </w:r>
      <w:r w:rsidR="00C241D6">
        <w:rPr>
          <w:rFonts w:cs="Times New Roman"/>
          <w:iCs/>
        </w:rPr>
        <w:t xml:space="preserve">, </w:t>
      </w:r>
      <w:r>
        <w:rPr>
          <w:rFonts w:cs="Times New Roman"/>
          <w:iCs/>
        </w:rPr>
        <w:t>small mammals</w:t>
      </w:r>
      <w:r w:rsidR="00463CEA">
        <w:rPr>
          <w:rFonts w:cs="Times New Roman"/>
          <w:iCs/>
        </w:rPr>
        <w:t xml:space="preserve"> </w:t>
      </w:r>
      <w:r w:rsidR="00BC2D5C" w:rsidRPr="00BC2D5C">
        <w:rPr>
          <w:rFonts w:cs="Times New Roman"/>
        </w:rPr>
        <w:t>(Godwin 1936)</w:t>
      </w:r>
      <w:r>
        <w:rPr>
          <w:rFonts w:cs="Times New Roman"/>
          <w:iCs/>
        </w:rPr>
        <w:t>, and hydrochory</w:t>
      </w:r>
      <w:r w:rsidR="00463CEA">
        <w:rPr>
          <w:rFonts w:cs="Times New Roman"/>
          <w:iCs/>
        </w:rPr>
        <w:t xml:space="preserve"> </w:t>
      </w:r>
      <w:r w:rsidR="00BC2D5C" w:rsidRPr="00BC2D5C">
        <w:rPr>
          <w:rFonts w:cs="Times New Roman"/>
        </w:rPr>
        <w:t>(</w:t>
      </w:r>
      <w:proofErr w:type="spellStart"/>
      <w:r w:rsidR="00BC2D5C" w:rsidRPr="00BC2D5C">
        <w:rPr>
          <w:rFonts w:cs="Times New Roman"/>
        </w:rPr>
        <w:t>Hampe</w:t>
      </w:r>
      <w:proofErr w:type="spellEnd"/>
      <w:r w:rsidR="00BC2D5C" w:rsidRPr="00BC2D5C">
        <w:rPr>
          <w:rFonts w:cs="Times New Roman"/>
        </w:rPr>
        <w:t xml:space="preserve"> 2004)</w:t>
      </w:r>
      <w:r>
        <w:rPr>
          <w:rFonts w:cs="Times New Roman"/>
          <w:iCs/>
        </w:rPr>
        <w:t xml:space="preserve">.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spread rapidly throughout North America during the 20</w:t>
      </w:r>
      <w:r w:rsidRPr="00806F24">
        <w:rPr>
          <w:rFonts w:cs="Times New Roman"/>
          <w:iCs/>
          <w:vertAlign w:val="superscript"/>
        </w:rPr>
        <w:t>th</w:t>
      </w:r>
      <w:r w:rsidR="00D01097">
        <w:rPr>
          <w:rFonts w:cs="Times New Roman"/>
          <w:iCs/>
        </w:rPr>
        <w:t xml:space="preserve"> century</w:t>
      </w:r>
      <w:r w:rsidR="00463CEA">
        <w:rPr>
          <w:rFonts w:cs="Times New Roman"/>
          <w:iCs/>
        </w:rPr>
        <w:t xml:space="preserve"> </w:t>
      </w:r>
      <w:r w:rsidR="00585348">
        <w:rPr>
          <w:rFonts w:cs="Times New Roman"/>
        </w:rPr>
        <w:t>(Howell and Blackwell 1977; Catling and Porebski 1994; Frappier et al. 2003a)</w:t>
      </w:r>
      <w:r w:rsidR="00013CF5">
        <w:rPr>
          <w:rFonts w:cs="Times New Roman"/>
          <w:iCs/>
          <w:noProof/>
        </w:rPr>
        <w:t>,</w:t>
      </w:r>
      <w:r w:rsidR="00D01097">
        <w:rPr>
          <w:rFonts w:cs="Times New Roman"/>
          <w:iCs/>
        </w:rPr>
        <w:t xml:space="preserve"> where i</w:t>
      </w:r>
      <w:r>
        <w:rPr>
          <w:rFonts w:cs="Times New Roman"/>
          <w:iCs/>
        </w:rPr>
        <w:t xml:space="preserve">ts </w:t>
      </w:r>
      <w:r w:rsidR="00D01097">
        <w:rPr>
          <w:rFonts w:cs="Times New Roman"/>
          <w:iCs/>
        </w:rPr>
        <w:t xml:space="preserve">ability to dominate understory and canopy layers </w:t>
      </w:r>
      <w:r>
        <w:rPr>
          <w:rFonts w:cs="Times New Roman"/>
          <w:iCs/>
        </w:rPr>
        <w:t>negatively impact</w:t>
      </w:r>
      <w:r w:rsidR="00D01097">
        <w:rPr>
          <w:rFonts w:cs="Times New Roman"/>
          <w:iCs/>
        </w:rPr>
        <w:t>s</w:t>
      </w:r>
      <w:r>
        <w:rPr>
          <w:rFonts w:cs="Times New Roman"/>
          <w:iCs/>
        </w:rPr>
        <w:t xml:space="preserve"> native flora</w:t>
      </w:r>
      <w:r w:rsidR="00463CEA">
        <w:rPr>
          <w:rFonts w:cs="Times New Roman"/>
          <w:iCs/>
        </w:rPr>
        <w:t xml:space="preserve"> </w:t>
      </w:r>
      <w:r w:rsidR="00585348">
        <w:rPr>
          <w:rFonts w:cs="Times New Roman"/>
        </w:rPr>
        <w:t>(</w:t>
      </w:r>
      <w:proofErr w:type="spellStart"/>
      <w:r w:rsidR="00585348">
        <w:rPr>
          <w:rFonts w:cs="Times New Roman"/>
        </w:rPr>
        <w:t>Possessky</w:t>
      </w:r>
      <w:proofErr w:type="spellEnd"/>
      <w:r w:rsidR="00585348">
        <w:rPr>
          <w:rFonts w:cs="Times New Roman"/>
        </w:rPr>
        <w:t xml:space="preserve"> et al. 2000; Frappier et al. 2003a; Fagan and Peart 2004)</w:t>
      </w:r>
      <w:r>
        <w:rPr>
          <w:rFonts w:cs="Times New Roman"/>
          <w:iCs/>
        </w:rPr>
        <w:t xml:space="preserve">. </w:t>
      </w:r>
    </w:p>
    <w:p w14:paraId="663BCBD1" w14:textId="5CC6195B" w:rsidR="00FF24C7" w:rsidRPr="00A3168B" w:rsidRDefault="00FF24C7" w:rsidP="00C57F4F">
      <w:pPr>
        <w:spacing w:line="480" w:lineRule="auto"/>
        <w:ind w:firstLine="475"/>
        <w:rPr>
          <w:rFonts w:cs="Times New Roman"/>
        </w:rPr>
      </w:pPr>
      <w:r>
        <w:rPr>
          <w:rFonts w:cs="Times New Roman"/>
          <w:iCs/>
        </w:rPr>
        <w:t xml:space="preserve">I </w:t>
      </w:r>
      <w:r w:rsidR="00AB246E">
        <w:rPr>
          <w:rFonts w:cs="Times New Roman"/>
          <w:iCs/>
        </w:rPr>
        <w:t>collected demographic data for</w:t>
      </w:r>
      <w:r>
        <w:rPr>
          <w:rFonts w:cs="Times New Roman"/>
          <w:iCs/>
        </w:rPr>
        <w:t xml:space="preserve">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 xml:space="preserve">in two geographic locations </w:t>
      </w:r>
      <w:r w:rsidR="00C241D6">
        <w:rPr>
          <w:rFonts w:cs="Times New Roman"/>
          <w:iCs/>
        </w:rPr>
        <w:t xml:space="preserve">in </w:t>
      </w:r>
      <w:r>
        <w:rPr>
          <w:rFonts w:cs="Times New Roman"/>
          <w:iCs/>
        </w:rPr>
        <w:t>the invaded range – Long Island, New York and coastal New Hampshire</w:t>
      </w:r>
      <w:r w:rsidR="00D01097">
        <w:rPr>
          <w:rFonts w:cs="Times New Roman"/>
          <w:iCs/>
        </w:rPr>
        <w:t xml:space="preserve">, </w:t>
      </w:r>
      <w:r w:rsidR="00216FE6">
        <w:rPr>
          <w:rFonts w:cs="Times New Roman"/>
          <w:iCs/>
        </w:rPr>
        <w:t>from</w:t>
      </w:r>
      <w:r w:rsidR="00D01097">
        <w:rPr>
          <w:rFonts w:cs="Times New Roman"/>
          <w:iCs/>
        </w:rPr>
        <w:t xml:space="preserve"> the summer of 2010</w:t>
      </w:r>
      <w:r w:rsidR="00216FE6">
        <w:rPr>
          <w:rFonts w:cs="Times New Roman"/>
          <w:iCs/>
        </w:rPr>
        <w:t xml:space="preserve"> until the Fall of 2012</w:t>
      </w:r>
      <w:r>
        <w:rPr>
          <w:rFonts w:cs="Times New Roman"/>
          <w:iCs/>
        </w:rPr>
        <w:t xml:space="preserve">. </w:t>
      </w:r>
      <w:r w:rsidR="000655B2">
        <w:rPr>
          <w:rFonts w:cs="Times New Roman"/>
          <w:iCs/>
        </w:rPr>
        <w:t>D</w:t>
      </w:r>
      <w:r w:rsidRPr="00DF7836">
        <w:rPr>
          <w:rFonts w:cs="Times New Roman"/>
          <w:iCs/>
        </w:rPr>
        <w:t>ata were collected at three different sites</w:t>
      </w:r>
      <w:r w:rsidR="00AB246E">
        <w:rPr>
          <w:rFonts w:cs="Times New Roman"/>
          <w:iCs/>
        </w:rPr>
        <w:t xml:space="preserve"> </w:t>
      </w:r>
      <w:r w:rsidR="000655B2">
        <w:rPr>
          <w:rFonts w:cs="Times New Roman"/>
          <w:iCs/>
        </w:rPr>
        <w:t>per location</w:t>
      </w:r>
      <w:r w:rsidR="002A4FC1">
        <w:rPr>
          <w:rFonts w:cs="Times New Roman"/>
          <w:iCs/>
        </w:rPr>
        <w:t>.</w:t>
      </w:r>
      <w:r w:rsidR="000655B2">
        <w:rPr>
          <w:rFonts w:cs="Times New Roman"/>
          <w:iCs/>
        </w:rPr>
        <w:t xml:space="preserve"> </w:t>
      </w:r>
      <w:r w:rsidR="002A4FC1">
        <w:rPr>
          <w:rFonts w:cs="Times New Roman"/>
          <w:iCs/>
        </w:rPr>
        <w:t>Sites</w:t>
      </w:r>
      <w:r w:rsidRPr="00DF7836">
        <w:rPr>
          <w:rFonts w:cs="Times New Roman"/>
          <w:iCs/>
        </w:rPr>
        <w:t xml:space="preserve"> were separated by 1 to 10 km</w:t>
      </w:r>
      <w:r w:rsidR="000655B2">
        <w:rPr>
          <w:rFonts w:cs="Times New Roman"/>
          <w:iCs/>
        </w:rPr>
        <w:t>.</w:t>
      </w:r>
      <w:r w:rsidRPr="00DF7836">
        <w:rPr>
          <w:rFonts w:cs="Times New Roman"/>
          <w:iCs/>
        </w:rPr>
        <w:t xml:space="preserve"> </w:t>
      </w:r>
      <w:r w:rsidR="000655B2">
        <w:rPr>
          <w:rFonts w:cs="Times New Roman"/>
          <w:iCs/>
        </w:rPr>
        <w:t>U</w:t>
      </w:r>
      <w:r w:rsidR="00AB246E">
        <w:rPr>
          <w:rFonts w:cs="Times New Roman"/>
          <w:iCs/>
        </w:rPr>
        <w:t>pland, old field, and wetland</w:t>
      </w:r>
      <w:r w:rsidR="00D01097">
        <w:rPr>
          <w:rFonts w:cs="Times New Roman"/>
          <w:iCs/>
        </w:rPr>
        <w:t xml:space="preserve"> habitat types</w:t>
      </w:r>
      <w:r w:rsidR="000655B2">
        <w:rPr>
          <w:rFonts w:cs="Times New Roman"/>
          <w:iCs/>
        </w:rPr>
        <w:t xml:space="preserve"> were represented in the sites</w:t>
      </w:r>
      <w:r w:rsidR="00AB246E">
        <w:rPr>
          <w:rFonts w:cs="Times New Roman"/>
          <w:iCs/>
        </w:rPr>
        <w:t xml:space="preserve">. </w:t>
      </w:r>
      <w:r w:rsidR="00C57F4F">
        <w:rPr>
          <w:rFonts w:cs="Times New Roman"/>
        </w:rPr>
        <w:t>Within</w:t>
      </w:r>
      <w:r w:rsidR="00C241D6">
        <w:rPr>
          <w:rFonts w:cs="Times New Roman"/>
        </w:rPr>
        <w:t xml:space="preserve"> each</w:t>
      </w:r>
      <w:r>
        <w:rPr>
          <w:rFonts w:cs="Times New Roman"/>
        </w:rPr>
        <w:t xml:space="preserve"> site</w:t>
      </w:r>
      <w:r w:rsidR="00C57F4F">
        <w:rPr>
          <w:rFonts w:cs="Times New Roman"/>
        </w:rPr>
        <w:t xml:space="preserve"> </w:t>
      </w:r>
      <w:r w:rsidR="002A4FC1">
        <w:rPr>
          <w:rFonts w:cs="Times New Roman"/>
        </w:rPr>
        <w:t xml:space="preserve">I establish </w:t>
      </w:r>
      <w:r w:rsidR="00C57F4F">
        <w:rPr>
          <w:rFonts w:cs="Times New Roman"/>
        </w:rPr>
        <w:t xml:space="preserve">15 or 20 </w:t>
      </w:r>
      <w:r w:rsidR="000655B2">
        <w:rPr>
          <w:rFonts w:cs="Times New Roman"/>
        </w:rPr>
        <w:t xml:space="preserve">randomly located </w:t>
      </w:r>
      <w:r w:rsidR="00C57F4F">
        <w:rPr>
          <w:rFonts w:cs="Times New Roman"/>
        </w:rPr>
        <w:t xml:space="preserve">2 x 2 meter plots </w:t>
      </w:r>
      <w:r w:rsidR="000655B2">
        <w:rPr>
          <w:rFonts w:cs="Times New Roman"/>
        </w:rPr>
        <w:t>in which</w:t>
      </w:r>
      <w:r w:rsidR="00DC07B0">
        <w:rPr>
          <w:rFonts w:cs="Times New Roman"/>
        </w:rPr>
        <w:t xml:space="preserve"> </w:t>
      </w:r>
      <w:r w:rsidR="00DC07B0">
        <w:rPr>
          <w:rFonts w:eastAsiaTheme="minorEastAsia" w:cs="Times New Roman"/>
          <w:i/>
          <w:iCs/>
        </w:rPr>
        <w:t xml:space="preserve">F. </w:t>
      </w:r>
      <w:proofErr w:type="spellStart"/>
      <w:r w:rsidR="00DC07B0">
        <w:rPr>
          <w:rFonts w:eastAsiaTheme="minorEastAsia" w:cs="Times New Roman"/>
          <w:i/>
          <w:iCs/>
        </w:rPr>
        <w:t>alnus</w:t>
      </w:r>
      <w:proofErr w:type="spellEnd"/>
      <w:r w:rsidR="00DC07B0">
        <w:rPr>
          <w:rFonts w:eastAsiaTheme="minorEastAsia" w:cs="Times New Roman"/>
          <w:i/>
          <w:iCs/>
        </w:rPr>
        <w:t xml:space="preserve"> </w:t>
      </w:r>
      <w:r>
        <w:rPr>
          <w:rFonts w:cs="Times New Roman"/>
        </w:rPr>
        <w:t xml:space="preserve">plants were </w:t>
      </w:r>
      <w:r w:rsidR="00C241D6">
        <w:rPr>
          <w:rFonts w:cs="Times New Roman"/>
        </w:rPr>
        <w:t>measured and tagged for multi-year monitoring</w:t>
      </w:r>
      <w:r>
        <w:rPr>
          <w:rFonts w:cs="Times New Roman"/>
        </w:rPr>
        <w:t xml:space="preserve">. </w:t>
      </w:r>
      <w:r w:rsidR="00D01097">
        <w:rPr>
          <w:rFonts w:cs="Times New Roman"/>
        </w:rPr>
        <w:t>Measurements included d</w:t>
      </w:r>
      <w:r w:rsidRPr="00383B0C">
        <w:rPr>
          <w:rFonts w:cs="Times New Roman"/>
        </w:rPr>
        <w:t>iameter at basal</w:t>
      </w:r>
      <w:r>
        <w:rPr>
          <w:rFonts w:cs="Times New Roman"/>
        </w:rPr>
        <w:t xml:space="preserve"> (ankle) height (DAH) in centim</w:t>
      </w:r>
      <w:r w:rsidRPr="00383B0C">
        <w:rPr>
          <w:rFonts w:cs="Times New Roman"/>
        </w:rPr>
        <w:t>eters (cm)</w:t>
      </w:r>
      <w:r w:rsidR="00D01097">
        <w:rPr>
          <w:rFonts w:cs="Times New Roman"/>
        </w:rPr>
        <w:t>, h</w:t>
      </w:r>
      <w:r w:rsidRPr="00383B0C">
        <w:rPr>
          <w:rFonts w:cs="Times New Roman"/>
        </w:rPr>
        <w:t>eight</w:t>
      </w:r>
      <w:r w:rsidR="00D01097">
        <w:rPr>
          <w:rFonts w:cs="Times New Roman"/>
        </w:rPr>
        <w:t xml:space="preserve"> (cm), n</w:t>
      </w:r>
      <w:r w:rsidRPr="00383B0C">
        <w:rPr>
          <w:rFonts w:cs="Times New Roman"/>
        </w:rPr>
        <w:t>umber of basal stems</w:t>
      </w:r>
      <w:r w:rsidR="00D01097">
        <w:rPr>
          <w:rFonts w:cs="Times New Roman"/>
        </w:rPr>
        <w:t>, and n</w:t>
      </w:r>
      <w:r w:rsidRPr="00383B0C">
        <w:rPr>
          <w:rFonts w:cs="Times New Roman"/>
        </w:rPr>
        <w:t xml:space="preserve">umber of fruit on the </w:t>
      </w:r>
      <w:r>
        <w:rPr>
          <w:rFonts w:cs="Times New Roman"/>
        </w:rPr>
        <w:t>plant</w:t>
      </w:r>
      <w:r w:rsidR="00D01097">
        <w:rPr>
          <w:rFonts w:cs="Times New Roman"/>
        </w:rPr>
        <w:t>. F</w:t>
      </w:r>
      <w:r>
        <w:rPr>
          <w:rFonts w:cs="Times New Roman"/>
        </w:rPr>
        <w:t xml:space="preserve">or plants with more than one basal stem, the DAH </w:t>
      </w:r>
      <w:r w:rsidR="00D01097">
        <w:rPr>
          <w:rFonts w:cs="Times New Roman"/>
        </w:rPr>
        <w:t>of</w:t>
      </w:r>
      <w:r>
        <w:rPr>
          <w:rFonts w:cs="Times New Roman"/>
        </w:rPr>
        <w:t xml:space="preserve"> the largest stem was measured. </w:t>
      </w:r>
      <w:r w:rsidRPr="00383B0C">
        <w:rPr>
          <w:rFonts w:cs="Times New Roman"/>
        </w:rPr>
        <w:t xml:space="preserve">All measurements were </w:t>
      </w:r>
      <w:r w:rsidR="00AB246E">
        <w:rPr>
          <w:rFonts w:cs="Times New Roman"/>
        </w:rPr>
        <w:t>made</w:t>
      </w:r>
      <w:r w:rsidRPr="00383B0C">
        <w:rPr>
          <w:rFonts w:cs="Times New Roman"/>
        </w:rPr>
        <w:t xml:space="preserve"> between September and November each year. </w:t>
      </w:r>
      <w:r w:rsidR="00C241D6">
        <w:rPr>
          <w:rFonts w:cs="Times New Roman"/>
        </w:rPr>
        <w:t xml:space="preserve">In total, </w:t>
      </w:r>
      <w:r w:rsidR="00AB246E">
        <w:rPr>
          <w:rFonts w:cs="Times New Roman"/>
        </w:rPr>
        <w:t xml:space="preserve">I </w:t>
      </w:r>
      <w:r w:rsidR="00C241D6">
        <w:rPr>
          <w:rFonts w:cs="Times New Roman"/>
        </w:rPr>
        <w:t xml:space="preserve">measured and monitored </w:t>
      </w:r>
      <w:r w:rsidR="00AB246E">
        <w:rPr>
          <w:rFonts w:cs="Times New Roman"/>
        </w:rPr>
        <w:t>815 plants</w:t>
      </w:r>
      <w:r w:rsidR="00C241D6">
        <w:rPr>
          <w:rFonts w:cs="Times New Roman"/>
        </w:rPr>
        <w:t xml:space="preserve">. </w:t>
      </w:r>
      <w:r w:rsidR="00AB246E">
        <w:rPr>
          <w:rFonts w:cs="Times New Roman"/>
        </w:rPr>
        <w:t>I marked a</w:t>
      </w:r>
      <w:r w:rsidR="00216FE6">
        <w:rPr>
          <w:rFonts w:cs="Times New Roman"/>
        </w:rPr>
        <w:t>n</w:t>
      </w:r>
      <w:r w:rsidRPr="00383B0C">
        <w:rPr>
          <w:rFonts w:cs="Times New Roman"/>
        </w:rPr>
        <w:t xml:space="preserve"> addition</w:t>
      </w:r>
      <w:r w:rsidR="00216FE6">
        <w:rPr>
          <w:rFonts w:cs="Times New Roman"/>
        </w:rPr>
        <w:t>al</w:t>
      </w:r>
      <w:r w:rsidRPr="00383B0C">
        <w:rPr>
          <w:rFonts w:cs="Times New Roman"/>
        </w:rPr>
        <w:t xml:space="preserve"> 385 seedlings </w:t>
      </w:r>
      <w:r w:rsidR="00AB246E">
        <w:rPr>
          <w:rFonts w:cs="Times New Roman"/>
        </w:rPr>
        <w:t xml:space="preserve">in </w:t>
      </w:r>
      <w:r w:rsidRPr="00383B0C">
        <w:rPr>
          <w:rFonts w:cs="Times New Roman"/>
        </w:rPr>
        <w:t xml:space="preserve">2011 </w:t>
      </w:r>
      <w:r w:rsidR="00216FE6">
        <w:rPr>
          <w:rFonts w:cs="Times New Roman"/>
        </w:rPr>
        <w:t>and re-surveyed</w:t>
      </w:r>
      <w:r w:rsidR="00AB246E">
        <w:rPr>
          <w:rFonts w:cs="Times New Roman"/>
        </w:rPr>
        <w:t xml:space="preserve"> them</w:t>
      </w:r>
      <w:r w:rsidR="00216FE6">
        <w:rPr>
          <w:rFonts w:cs="Times New Roman"/>
        </w:rPr>
        <w:t xml:space="preserve"> in </w:t>
      </w:r>
      <w:r w:rsidRPr="00383B0C">
        <w:rPr>
          <w:rFonts w:cs="Times New Roman"/>
        </w:rPr>
        <w:t>2012</w:t>
      </w:r>
      <w:r>
        <w:rPr>
          <w:rFonts w:cs="Times New Roman"/>
        </w:rPr>
        <w:t xml:space="preserve"> to estimate seedling survival values. </w:t>
      </w:r>
      <w:r w:rsidR="00216FE6">
        <w:rPr>
          <w:rFonts w:cs="Times New Roman"/>
        </w:rPr>
        <w:t>All</w:t>
      </w:r>
      <w:r>
        <w:rPr>
          <w:rFonts w:cs="Times New Roman"/>
        </w:rPr>
        <w:t xml:space="preserve"> measurements were used to parameterize a </w:t>
      </w:r>
      <w:r>
        <w:rPr>
          <w:rFonts w:cs="Times New Roman"/>
        </w:rPr>
        <w:lastRenderedPageBreak/>
        <w:t xml:space="preserve">demographic model of </w:t>
      </w:r>
      <w:r>
        <w:rPr>
          <w:rFonts w:cs="Times New Roman"/>
          <w:i/>
          <w:iCs/>
        </w:rPr>
        <w:t xml:space="preserve">F. </w:t>
      </w:r>
      <w:proofErr w:type="spellStart"/>
      <w:r>
        <w:rPr>
          <w:rFonts w:cs="Times New Roman"/>
          <w:i/>
          <w:iCs/>
        </w:rPr>
        <w:t>alnus</w:t>
      </w:r>
      <w:proofErr w:type="spellEnd"/>
      <w:r>
        <w:rPr>
          <w:rFonts w:cs="Times New Roman"/>
          <w:iCs/>
        </w:rPr>
        <w:t xml:space="preserve">. </w:t>
      </w:r>
      <w:r w:rsidR="00AB246E">
        <w:rPr>
          <w:rFonts w:cs="Times New Roman"/>
          <w:iCs/>
        </w:rPr>
        <w:t>Additional</w:t>
      </w:r>
      <w:r w:rsidR="00DC07B0">
        <w:rPr>
          <w:rFonts w:cs="Times New Roman"/>
          <w:iCs/>
        </w:rPr>
        <w:t xml:space="preserve"> field-sampling</w:t>
      </w:r>
      <w:r w:rsidR="00AB246E">
        <w:rPr>
          <w:rFonts w:cs="Times New Roman"/>
          <w:iCs/>
        </w:rPr>
        <w:t xml:space="preserve"> details can be found in </w:t>
      </w:r>
      <w:r w:rsidR="00EF6CD3" w:rsidRPr="00574CE4">
        <w:rPr>
          <w:rFonts w:cs="Times New Roman"/>
          <w:iCs/>
        </w:rPr>
        <w:t>Online Resource</w:t>
      </w:r>
      <w:r w:rsidR="002A4FC1">
        <w:rPr>
          <w:rFonts w:cs="Times New Roman"/>
          <w:iCs/>
        </w:rPr>
        <w:t xml:space="preserve"> – Appendix 1</w:t>
      </w:r>
      <w:r w:rsidR="00AB246E">
        <w:rPr>
          <w:rFonts w:cs="Times New Roman"/>
          <w:iCs/>
        </w:rPr>
        <w:t>.</w:t>
      </w:r>
    </w:p>
    <w:p w14:paraId="1F0702F8" w14:textId="163CC7FA" w:rsidR="00FF24C7" w:rsidRPr="00E53AC3" w:rsidRDefault="00FF24C7" w:rsidP="008579EE">
      <w:pPr>
        <w:spacing w:line="480" w:lineRule="auto"/>
        <w:rPr>
          <w:b/>
        </w:rPr>
      </w:pPr>
      <w:r w:rsidRPr="00E53AC3">
        <w:rPr>
          <w:b/>
        </w:rPr>
        <w:t xml:space="preserve">Demographic model </w:t>
      </w:r>
    </w:p>
    <w:p w14:paraId="6CA92F72" w14:textId="24B65B29" w:rsidR="00FF24C7" w:rsidRPr="002351BB" w:rsidRDefault="00FF24C7" w:rsidP="008579EE">
      <w:pPr>
        <w:spacing w:line="480" w:lineRule="auto"/>
        <w:ind w:firstLine="720"/>
      </w:pPr>
      <w:r>
        <w:t xml:space="preserve">I </w:t>
      </w:r>
      <w:r w:rsidR="00C241D6">
        <w:t>constructed</w:t>
      </w:r>
      <w:r>
        <w:t xml:space="preserve"> an integral projection model (IPM) </w:t>
      </w:r>
      <w:r w:rsidR="004475C3">
        <w:t>to simulate the</w:t>
      </w:r>
      <w:r>
        <w:t xml:space="preserve"> demographic </w:t>
      </w:r>
      <w:r w:rsidR="004475C3">
        <w:t>processes</w:t>
      </w:r>
      <w:r>
        <w:t xml:space="preserve"> </w:t>
      </w:r>
      <w:r w:rsidR="00EF6CD3">
        <w:t xml:space="preserve">of </w:t>
      </w:r>
      <w:r>
        <w:rPr>
          <w:rFonts w:cs="Times New Roman"/>
          <w:i/>
          <w:iCs/>
        </w:rPr>
        <w:t xml:space="preserve">F. </w:t>
      </w:r>
      <w:proofErr w:type="spellStart"/>
      <w:r>
        <w:rPr>
          <w:rFonts w:cs="Times New Roman"/>
          <w:i/>
          <w:iCs/>
        </w:rPr>
        <w:t>alnus</w:t>
      </w:r>
      <w:proofErr w:type="spellEnd"/>
      <w:r>
        <w:t xml:space="preserve"> </w:t>
      </w:r>
      <w:r w:rsidR="00A87297">
        <w:rPr>
          <w:rFonts w:cs="Times New Roman"/>
        </w:rPr>
        <w:t>(Easterling et al. 2000; Ellner and Rees 2006; Merow et al. 2014)</w:t>
      </w:r>
      <w:r>
        <w:t>. At the core of an IPM is a function describing</w:t>
      </w:r>
      <w:r>
        <w:rPr>
          <w:rFonts w:cs="Times New Roman"/>
        </w:rPr>
        <w:t xml:space="preserve"> the transition of the population distribution from time </w:t>
      </w:r>
      <w:r>
        <w:rPr>
          <w:rFonts w:cs="Times New Roman"/>
          <w:i/>
        </w:rPr>
        <w:t>t</w:t>
      </w:r>
      <w:r>
        <w:rPr>
          <w:rFonts w:cs="Times New Roman"/>
        </w:rPr>
        <w:t xml:space="preserve"> to </w:t>
      </w:r>
      <w:r>
        <w:rPr>
          <w:rFonts w:cs="Times New Roman"/>
          <w:i/>
        </w:rPr>
        <w:t>t +</w:t>
      </w:r>
      <w:r>
        <w:rPr>
          <w:rFonts w:cs="Times New Roman"/>
        </w:rPr>
        <w:t xml:space="preserve"> </w:t>
      </w:r>
      <w:r w:rsidRPr="00F8487B">
        <w:rPr>
          <w:rFonts w:cs="Times New Roman"/>
        </w:rPr>
        <w:t>1</w:t>
      </w:r>
      <w:r>
        <w:rPr>
          <w:rFonts w:cs="Times New Roman"/>
        </w:rPr>
        <w:t>, given a continuous structuring variable:</w:t>
      </w:r>
    </w:p>
    <w:p w14:paraId="318E22EC" w14:textId="77777777" w:rsidR="00FF24C7" w:rsidRPr="00AC261B" w:rsidRDefault="00FF24C7" w:rsidP="008579EE">
      <w:pPr>
        <w:spacing w:line="480" w:lineRule="auto"/>
        <w:rPr>
          <w:rFonts w:eastAsiaTheme="minorEastAsia" w:cs="Times New Roman"/>
        </w:rPr>
      </w:pPr>
      <w:r>
        <w:rPr>
          <w:rFonts w:eastAsiaTheme="minorEastAsia" w:cs="Times New Roman"/>
        </w:rPr>
        <w:t>(</w:t>
      </w:r>
      <w:r w:rsidRPr="00AC261B">
        <w:rPr>
          <w:rFonts w:eastAsiaTheme="minorEastAsia" w:cs="Times New Roman"/>
        </w:rPr>
        <w:t>1</w:t>
      </w:r>
      <w:r>
        <w:rPr>
          <w:rFonts w:eastAsiaTheme="minorEastAsia" w:cs="Times New Roman"/>
        </w:rPr>
        <w:t>)</w:t>
      </w:r>
      <w:r w:rsidRPr="00AC261B">
        <w:rPr>
          <w:rFonts w:eastAsiaTheme="minorEastAsia" w:cs="Times New Roman"/>
        </w:rPr>
        <w:t xml:space="preserve"> </w:t>
      </w:r>
      <w:r w:rsidRPr="00AC261B">
        <w:rPr>
          <w:rFonts w:eastAsiaTheme="minorEastAsia" w:cs="Times New Roman"/>
        </w:rPr>
        <w:tab/>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y,t+1</m:t>
            </m:r>
          </m:e>
        </m:d>
        <m:r>
          <w:rPr>
            <w:rFonts w:ascii="Cambria Math" w:hAnsi="Cambria Math" w:cs="Times New Roman"/>
          </w:rPr>
          <m:t>=</m:t>
        </m:r>
        <m:nary>
          <m:naryPr>
            <m:limLoc m:val="subSup"/>
            <m:ctrlPr>
              <w:rPr>
                <w:rFonts w:ascii="Cambria Math" w:hAnsi="Cambria Math" w:cs="Times New Roman"/>
                <w:i/>
              </w:rPr>
            </m:ctrlPr>
          </m:naryPr>
          <m:sub>
            <m:r>
              <m:rPr>
                <m:sty m:val="p"/>
              </m:rPr>
              <w:rPr>
                <w:rFonts w:ascii="Cambria Math" w:hAnsi="Cambria Math" w:cs="Times New Roman"/>
              </w:rPr>
              <m:t>Ω</m:t>
            </m:r>
          </m:sub>
          <m:sup/>
          <m:e>
            <m:r>
              <w:rPr>
                <w:rFonts w:ascii="Cambria Math" w:hAnsi="Cambria Math" w:cs="Times New Roman"/>
              </w:rPr>
              <m:t>k(y,x) n</m:t>
            </m:r>
            <m:d>
              <m:dPr>
                <m:ctrlPr>
                  <w:rPr>
                    <w:rFonts w:ascii="Cambria Math" w:hAnsi="Cambria Math" w:cs="Times New Roman"/>
                    <w:i/>
                  </w:rPr>
                </m:ctrlPr>
              </m:dPr>
              <m:e>
                <m:r>
                  <w:rPr>
                    <w:rFonts w:ascii="Cambria Math" w:hAnsi="Cambria Math" w:cs="Times New Roman"/>
                  </w:rPr>
                  <m:t>x,t</m:t>
                </m:r>
              </m:e>
            </m:d>
            <m:r>
              <w:rPr>
                <w:rFonts w:ascii="Cambria Math" w:hAnsi="Cambria Math" w:cs="Times New Roman"/>
              </w:rPr>
              <m:t>dx</m:t>
            </m:r>
          </m:e>
        </m:nary>
      </m:oMath>
    </w:p>
    <w:p w14:paraId="34DE90FA" w14:textId="0633978F" w:rsidR="00FF24C7" w:rsidRPr="00AC261B" w:rsidRDefault="00FF24C7" w:rsidP="008579EE">
      <w:pPr>
        <w:spacing w:line="480" w:lineRule="auto"/>
        <w:rPr>
          <w:rFonts w:eastAsiaTheme="minorEastAsia" w:cs="Times New Roman"/>
        </w:rPr>
      </w:pPr>
      <w:r w:rsidRPr="00AC261B">
        <w:rPr>
          <w:rFonts w:eastAsiaTheme="minorEastAsia" w:cs="Times New Roman"/>
        </w:rPr>
        <w:t xml:space="preserve">where </w:t>
      </w:r>
      <w:r w:rsidRPr="00AC261B">
        <w:rPr>
          <w:rFonts w:eastAsiaTheme="minorEastAsia" w:cs="Times New Roman"/>
          <w:i/>
        </w:rPr>
        <w:t>k(</w:t>
      </w:r>
      <w:proofErr w:type="spellStart"/>
      <w:r w:rsidRPr="00AC261B">
        <w:rPr>
          <w:rFonts w:eastAsiaTheme="minorEastAsia" w:cs="Times New Roman"/>
          <w:i/>
        </w:rPr>
        <w:t>y,x</w:t>
      </w:r>
      <w:proofErr w:type="spellEnd"/>
      <w:r w:rsidRPr="00AC261B">
        <w:rPr>
          <w:rFonts w:eastAsiaTheme="minorEastAsia" w:cs="Times New Roman"/>
          <w:i/>
        </w:rPr>
        <w:t>)</w:t>
      </w:r>
      <w:r w:rsidRPr="00AC261B">
        <w:rPr>
          <w:rFonts w:eastAsiaTheme="minorEastAsia" w:cs="Times New Roman"/>
        </w:rPr>
        <w:t xml:space="preserve"> is the IPM kernel representing all possible transitions of individuals from size </w:t>
      </w:r>
      <w:r w:rsidRPr="00AC261B">
        <w:rPr>
          <w:rFonts w:eastAsiaTheme="minorEastAsia" w:cs="Times New Roman"/>
          <w:i/>
        </w:rPr>
        <w:t>x</w:t>
      </w:r>
      <w:r w:rsidRPr="00AC261B">
        <w:rPr>
          <w:rFonts w:eastAsiaTheme="minorEastAsia" w:cs="Times New Roman"/>
        </w:rPr>
        <w:t xml:space="preserve"> to size </w:t>
      </w:r>
      <w:r w:rsidRPr="00AC261B">
        <w:rPr>
          <w:rFonts w:eastAsiaTheme="minorEastAsia" w:cs="Times New Roman"/>
          <w:i/>
        </w:rPr>
        <w:t>y</w:t>
      </w:r>
      <w:r w:rsidR="004475C3">
        <w:rPr>
          <w:rFonts w:eastAsiaTheme="minorEastAsia" w:cs="Times New Roman"/>
        </w:rPr>
        <w:t>.</w:t>
      </w:r>
      <w:r w:rsidRPr="00AC261B">
        <w:rPr>
          <w:rFonts w:eastAsiaTheme="minorEastAsia" w:cs="Times New Roman"/>
        </w:rPr>
        <w:t xml:space="preserve"> </w:t>
      </w:r>
      <w:r w:rsidR="004475C3">
        <w:rPr>
          <w:rFonts w:eastAsiaTheme="minorEastAsia" w:cs="Times New Roman"/>
        </w:rPr>
        <w:t>The kernel</w:t>
      </w:r>
      <w:r w:rsidRPr="00AC261B">
        <w:rPr>
          <w:rFonts w:eastAsiaTheme="minorEastAsia" w:cs="Times New Roman"/>
        </w:rPr>
        <w:t xml:space="preserve"> is analogous to the projection matrix in matrix projection models (MPM)</w:t>
      </w:r>
      <w:r w:rsidR="00463CEA">
        <w:rPr>
          <w:rFonts w:eastAsiaTheme="minorEastAsia" w:cs="Times New Roman"/>
          <w:noProof/>
        </w:rPr>
        <w:t xml:space="preserve"> </w:t>
      </w:r>
      <w:r w:rsidR="00BC2D5C" w:rsidRPr="00BC2D5C">
        <w:rPr>
          <w:rFonts w:cs="Times New Roman"/>
        </w:rPr>
        <w:t>(Easterling et al. 2000)</w:t>
      </w:r>
      <w:r w:rsidRPr="00AC261B">
        <w:rPr>
          <w:rFonts w:eastAsiaTheme="minorEastAsia" w:cs="Times New Roman"/>
        </w:rPr>
        <w:t xml:space="preserve">. Assuming the structuring variable is size, integrating the kernel multiplied by the size distribution at year </w:t>
      </w:r>
      <w:r w:rsidRPr="00AC261B">
        <w:rPr>
          <w:rFonts w:eastAsiaTheme="minorEastAsia" w:cs="Times New Roman"/>
          <w:i/>
        </w:rPr>
        <w:t>t</w:t>
      </w:r>
      <w:r w:rsidRPr="00AC261B">
        <w:rPr>
          <w:rFonts w:eastAsiaTheme="minorEastAsia" w:cs="Times New Roman"/>
        </w:rPr>
        <w:t xml:space="preserve"> (i.e., </w:t>
      </w:r>
      <w:r w:rsidRPr="00AC261B">
        <w:rPr>
          <w:rFonts w:eastAsiaTheme="minorEastAsia" w:cs="Times New Roman"/>
          <w:i/>
        </w:rPr>
        <w:t>n(x, t)</w:t>
      </w:r>
      <w:r w:rsidRPr="00AC261B">
        <w:rPr>
          <w:rFonts w:eastAsiaTheme="minorEastAsia" w:cs="Times New Roman"/>
        </w:rPr>
        <w:t xml:space="preserve">) over all possible sizes, </w:t>
      </w:r>
      <w:r w:rsidRPr="00AC261B">
        <w:rPr>
          <w:rFonts w:eastAsiaTheme="minorEastAsia" w:cs="Times New Roman"/>
          <w:i/>
        </w:rPr>
        <w:t>Ω</w:t>
      </w:r>
      <w:r w:rsidRPr="00AC261B">
        <w:rPr>
          <w:rFonts w:eastAsiaTheme="minorEastAsia" w:cs="Times New Roman"/>
        </w:rPr>
        <w:t xml:space="preserve">, results in the size distribution at year </w:t>
      </w:r>
      <w:r w:rsidRPr="00AC261B">
        <w:rPr>
          <w:rFonts w:eastAsiaTheme="minorEastAsia" w:cs="Times New Roman"/>
          <w:i/>
        </w:rPr>
        <w:t xml:space="preserve">t </w:t>
      </w:r>
      <w:r w:rsidRPr="00AC261B">
        <w:rPr>
          <w:rFonts w:eastAsiaTheme="minorEastAsia" w:cs="Times New Roman"/>
        </w:rPr>
        <w:t xml:space="preserve">+ 1, (i.e., </w:t>
      </w:r>
      <w:r w:rsidRPr="00AC261B">
        <w:rPr>
          <w:rFonts w:eastAsiaTheme="minorEastAsia" w:cs="Times New Roman"/>
          <w:i/>
        </w:rPr>
        <w:t>n(y, t</w:t>
      </w:r>
      <w:r w:rsidRPr="00AC261B">
        <w:rPr>
          <w:rFonts w:eastAsiaTheme="minorEastAsia" w:cs="Times New Roman"/>
        </w:rPr>
        <w:t xml:space="preserve"> + 1</w:t>
      </w:r>
      <w:r w:rsidRPr="00AC261B">
        <w:rPr>
          <w:rFonts w:eastAsiaTheme="minorEastAsia" w:cs="Times New Roman"/>
          <w:i/>
        </w:rPr>
        <w:t>)</w:t>
      </w:r>
      <w:r w:rsidRPr="00AC261B">
        <w:rPr>
          <w:rFonts w:eastAsiaTheme="minorEastAsia" w:cs="Times New Roman"/>
        </w:rPr>
        <w:t xml:space="preserve">). </w:t>
      </w:r>
    </w:p>
    <w:p w14:paraId="1A0E1948" w14:textId="46FE65A8" w:rsidR="00DD71BE" w:rsidRDefault="00FF24C7" w:rsidP="008579EE">
      <w:pPr>
        <w:spacing w:line="480" w:lineRule="auto"/>
        <w:ind w:firstLine="720"/>
        <w:rPr>
          <w:rFonts w:cs="Times New Roman"/>
        </w:rPr>
      </w:pPr>
      <w:r w:rsidRPr="00AC261B">
        <w:rPr>
          <w:rFonts w:eastAsiaTheme="minorEastAsia" w:cs="Times New Roman"/>
        </w:rPr>
        <w:t>The IPM ke</w:t>
      </w:r>
      <w:r w:rsidR="003E6557">
        <w:rPr>
          <w:rFonts w:eastAsiaTheme="minorEastAsia" w:cs="Times New Roman"/>
        </w:rPr>
        <w:t xml:space="preserve">rnel is composed of sub-kernels </w:t>
      </w:r>
      <w:r w:rsidR="00C241D6">
        <w:rPr>
          <w:rFonts w:eastAsiaTheme="minorEastAsia" w:cs="Times New Roman"/>
        </w:rPr>
        <w:t>representing</w:t>
      </w:r>
      <w:r w:rsidRPr="00AC261B">
        <w:rPr>
          <w:rFonts w:eastAsiaTheme="minorEastAsia" w:cs="Times New Roman"/>
        </w:rPr>
        <w:t xml:space="preserve"> different demographic processes</w:t>
      </w:r>
      <w:r w:rsidR="003E6557">
        <w:rPr>
          <w:rFonts w:eastAsiaTheme="minorEastAsia" w:cs="Times New Roman"/>
        </w:rPr>
        <w:t xml:space="preserve"> (</w:t>
      </w:r>
      <w:proofErr w:type="spellStart"/>
      <w:r w:rsidR="003E6557">
        <w:rPr>
          <w:rFonts w:eastAsiaTheme="minorEastAsia" w:cs="Times New Roman"/>
        </w:rPr>
        <w:t>e.g</w:t>
      </w:r>
      <w:proofErr w:type="spellEnd"/>
      <w:r w:rsidRPr="00AC261B">
        <w:rPr>
          <w:rFonts w:eastAsiaTheme="minorEastAsia" w:cs="Times New Roman"/>
        </w:rPr>
        <w:t>, survival, growth, and fecundity</w:t>
      </w:r>
      <w:r w:rsidR="003E6557">
        <w:rPr>
          <w:rFonts w:eastAsiaTheme="minorEastAsia" w:cs="Times New Roman"/>
        </w:rPr>
        <w:t>)</w:t>
      </w:r>
      <w:r w:rsidRPr="00AC261B">
        <w:rPr>
          <w:rFonts w:eastAsiaTheme="minorEastAsia" w:cs="Times New Roman"/>
        </w:rPr>
        <w:t xml:space="preserve">. </w:t>
      </w:r>
      <w:r w:rsidR="00C241D6">
        <w:rPr>
          <w:rFonts w:cs="Times New Roman"/>
        </w:rPr>
        <w:t xml:space="preserve">Using </w:t>
      </w:r>
      <w:r w:rsidR="00DC07B0">
        <w:rPr>
          <w:rFonts w:cs="Times New Roman"/>
        </w:rPr>
        <w:t>the</w:t>
      </w:r>
      <w:r>
        <w:rPr>
          <w:rFonts w:cs="Times New Roman"/>
        </w:rPr>
        <w:t xml:space="preserve"> fie</w:t>
      </w:r>
      <w:r w:rsidR="003E6557">
        <w:rPr>
          <w:rFonts w:cs="Times New Roman"/>
        </w:rPr>
        <w:t>ld observations</w:t>
      </w:r>
      <w:r w:rsidR="00C241D6">
        <w:rPr>
          <w:rFonts w:cs="Times New Roman"/>
        </w:rPr>
        <w:t>,</w:t>
      </w:r>
      <w:r>
        <w:rPr>
          <w:rFonts w:cs="Times New Roman"/>
        </w:rPr>
        <w:t xml:space="preserve"> </w:t>
      </w:r>
      <w:r w:rsidRPr="002B3E14">
        <w:rPr>
          <w:rFonts w:cs="Times New Roman"/>
        </w:rPr>
        <w:t>I</w:t>
      </w:r>
      <w:r>
        <w:rPr>
          <w:rFonts w:cs="Times New Roman"/>
        </w:rPr>
        <w:t xml:space="preserve"> estimate</w:t>
      </w:r>
      <w:r w:rsidR="00C241D6">
        <w:rPr>
          <w:rFonts w:cs="Times New Roman"/>
        </w:rPr>
        <w:t>d</w:t>
      </w:r>
      <w:r>
        <w:rPr>
          <w:rFonts w:cs="Times New Roman"/>
        </w:rPr>
        <w:t xml:space="preserve"> the relationship between size and annual survival </w:t>
      </w:r>
      <w:r w:rsidR="00C241D6">
        <w:rPr>
          <w:rFonts w:cs="Times New Roman"/>
        </w:rPr>
        <w:t xml:space="preserve">via a logistic regression </w:t>
      </w:r>
      <w:r>
        <w:rPr>
          <w:rFonts w:cs="Times New Roman"/>
        </w:rPr>
        <w:t xml:space="preserve">and </w:t>
      </w:r>
      <w:r w:rsidR="00C241D6">
        <w:rPr>
          <w:rFonts w:cs="Times New Roman"/>
        </w:rPr>
        <w:t xml:space="preserve">the </w:t>
      </w:r>
      <w:r>
        <w:rPr>
          <w:rFonts w:cs="Times New Roman"/>
        </w:rPr>
        <w:t>relationship between size and growth rate</w:t>
      </w:r>
      <w:r w:rsidR="00C241D6">
        <w:rPr>
          <w:rFonts w:cs="Times New Roman"/>
        </w:rPr>
        <w:t xml:space="preserve"> via a linear regression</w:t>
      </w:r>
      <w:r>
        <w:rPr>
          <w:rFonts w:cs="Times New Roman"/>
        </w:rPr>
        <w:t xml:space="preserve">. </w:t>
      </w:r>
      <w:r w:rsidR="003E6557">
        <w:rPr>
          <w:rFonts w:cs="Times New Roman"/>
        </w:rPr>
        <w:t xml:space="preserve">Combined, these yield the survival-growth sub-kernel. </w:t>
      </w:r>
      <w:r>
        <w:rPr>
          <w:rFonts w:cs="Times New Roman"/>
        </w:rPr>
        <w:t xml:space="preserve">I calculated the fecundity sub-kernel using ANCOVA to determine the relationship between the number of fruit produced versus plant size and </w:t>
      </w:r>
      <w:r w:rsidR="002F1DA1">
        <w:rPr>
          <w:rFonts w:cs="Times New Roman"/>
        </w:rPr>
        <w:t xml:space="preserve">a measure of </w:t>
      </w:r>
      <w:r w:rsidR="00EF6CD3">
        <w:rPr>
          <w:rFonts w:cs="Times New Roman"/>
        </w:rPr>
        <w:t>population</w:t>
      </w:r>
      <w:r>
        <w:rPr>
          <w:rFonts w:cs="Times New Roman"/>
        </w:rPr>
        <w:t xml:space="preserve"> density. Population density can greatly affect demographic processes </w:t>
      </w:r>
      <w:r w:rsidR="00A87297">
        <w:rPr>
          <w:rFonts w:cs="Times New Roman"/>
        </w:rPr>
        <w:t>(</w:t>
      </w:r>
      <w:r w:rsidR="00860972">
        <w:rPr>
          <w:rFonts w:cs="Times New Roman"/>
        </w:rPr>
        <w:t xml:space="preserve">e.g., </w:t>
      </w:r>
      <w:r w:rsidR="00A87297">
        <w:rPr>
          <w:rFonts w:cs="Times New Roman"/>
        </w:rPr>
        <w:t>Comita and Hubbell 2009; Pardini et al. 2009; Dwyer et al. 2010; Ramula and Buckley 2010)</w:t>
      </w:r>
      <w:r>
        <w:rPr>
          <w:rFonts w:cs="Times New Roman"/>
        </w:rPr>
        <w:t xml:space="preserve">, </w:t>
      </w:r>
      <w:r w:rsidR="00EF6CD3">
        <w:rPr>
          <w:rFonts w:cs="Times New Roman"/>
        </w:rPr>
        <w:t>but</w:t>
      </w:r>
      <w:r>
        <w:rPr>
          <w:rFonts w:cs="Times New Roman"/>
        </w:rPr>
        <w:t xml:space="preserve"> these </w:t>
      </w:r>
      <w:r w:rsidR="00DD71BE">
        <w:rPr>
          <w:rFonts w:cs="Times New Roman"/>
        </w:rPr>
        <w:t>e</w:t>
      </w:r>
      <w:r>
        <w:rPr>
          <w:rFonts w:cs="Times New Roman"/>
        </w:rPr>
        <w:t xml:space="preserve">ffects are often ignored in plant </w:t>
      </w:r>
      <w:r>
        <w:rPr>
          <w:rFonts w:cs="Times New Roman"/>
        </w:rPr>
        <w:lastRenderedPageBreak/>
        <w:t>demograph</w:t>
      </w:r>
      <w:r w:rsidR="002F1DA1">
        <w:rPr>
          <w:rFonts w:cs="Times New Roman"/>
        </w:rPr>
        <w:t>ic models</w:t>
      </w:r>
      <w:r w:rsidR="00463CEA">
        <w:rPr>
          <w:rFonts w:cs="Times New Roman"/>
        </w:rPr>
        <w:t xml:space="preserve"> </w:t>
      </w:r>
      <w:r w:rsidR="00A87297">
        <w:rPr>
          <w:rFonts w:cs="Times New Roman"/>
        </w:rPr>
        <w:t>(Menges 2000; Crone et al. 2010)</w:t>
      </w:r>
      <w:r>
        <w:rPr>
          <w:rFonts w:cs="Times New Roman"/>
        </w:rPr>
        <w:t xml:space="preserve">. </w:t>
      </w:r>
      <w:r w:rsidR="00C57F4F">
        <w:rPr>
          <w:rFonts w:cs="Times New Roman"/>
        </w:rPr>
        <w:t xml:space="preserve">I estimated population density for each plant based on the total number of plants within </w:t>
      </w:r>
      <w:r w:rsidR="00060412">
        <w:rPr>
          <w:rFonts w:cs="Times New Roman"/>
        </w:rPr>
        <w:t>its</w:t>
      </w:r>
      <w:r w:rsidR="00C57F4F">
        <w:rPr>
          <w:rFonts w:cs="Times New Roman"/>
        </w:rPr>
        <w:t xml:space="preserve"> 2 x 2 meter plot that were in a similar size class or larger. </w:t>
      </w:r>
      <w:r w:rsidR="00E41E10">
        <w:rPr>
          <w:rFonts w:cs="Times New Roman"/>
        </w:rPr>
        <w:t xml:space="preserve">I define this density estimate as the </w:t>
      </w:r>
      <w:r w:rsidR="00E41E10">
        <w:rPr>
          <w:rFonts w:cs="Times New Roman"/>
          <w:i/>
          <w:iCs/>
        </w:rPr>
        <w:t xml:space="preserve">effective density. </w:t>
      </w:r>
      <w:r>
        <w:rPr>
          <w:rFonts w:cs="Times New Roman"/>
        </w:rPr>
        <w:t xml:space="preserve">The fecundity </w:t>
      </w:r>
      <w:r w:rsidR="00EF6CD3">
        <w:rPr>
          <w:rFonts w:cs="Times New Roman"/>
        </w:rPr>
        <w:t>sub-</w:t>
      </w:r>
      <w:r>
        <w:rPr>
          <w:rFonts w:cs="Times New Roman"/>
        </w:rPr>
        <w:t xml:space="preserve">kernel also includes parameters for the number of fruit per seed, seed germination, and establishment rates, which </w:t>
      </w:r>
      <w:r w:rsidR="00E72EF2">
        <w:rPr>
          <w:rFonts w:cs="Times New Roman"/>
        </w:rPr>
        <w:t>I</w:t>
      </w:r>
      <w:r>
        <w:rPr>
          <w:rFonts w:cs="Times New Roman"/>
        </w:rPr>
        <w:t xml:space="preserve"> estimated </w:t>
      </w:r>
      <w:r w:rsidR="00060412">
        <w:rPr>
          <w:rFonts w:cs="Times New Roman"/>
        </w:rPr>
        <w:t>using</w:t>
      </w:r>
      <w:r>
        <w:rPr>
          <w:rFonts w:cs="Times New Roman"/>
        </w:rPr>
        <w:t xml:space="preserve"> information from published literature and field observations. </w:t>
      </w:r>
      <w:r w:rsidR="002F1DA1">
        <w:rPr>
          <w:rFonts w:cs="Times New Roman"/>
        </w:rPr>
        <w:t xml:space="preserve">Additional details on the demographic model construction, including further details on the effective density approach, can be found in </w:t>
      </w:r>
      <w:r w:rsidR="002F1DA1" w:rsidRPr="00574CE4">
        <w:rPr>
          <w:rFonts w:cs="Times New Roman"/>
          <w:iCs/>
        </w:rPr>
        <w:t>Online Resource</w:t>
      </w:r>
      <w:r w:rsidR="001D4179">
        <w:rPr>
          <w:rFonts w:cs="Times New Roman"/>
          <w:iCs/>
        </w:rPr>
        <w:t xml:space="preserve"> – Appendix 2</w:t>
      </w:r>
      <w:r w:rsidR="002F1DA1">
        <w:rPr>
          <w:rFonts w:cs="Times New Roman"/>
          <w:iCs/>
        </w:rPr>
        <w:t>.</w:t>
      </w:r>
    </w:p>
    <w:p w14:paraId="657491C1" w14:textId="470F1E64" w:rsidR="00FF24C7" w:rsidRPr="00522026" w:rsidRDefault="00FF24C7" w:rsidP="008579EE">
      <w:pPr>
        <w:spacing w:line="480" w:lineRule="auto"/>
        <w:ind w:firstLine="720"/>
        <w:rPr>
          <w:rFonts w:cs="Times New Roman"/>
        </w:rPr>
      </w:pPr>
      <w:r w:rsidRPr="00383B0C">
        <w:rPr>
          <w:rFonts w:cs="Times New Roman"/>
        </w:rPr>
        <w:t>Taking advantage of the similarities between IPMs and MPMs</w:t>
      </w:r>
      <w:r w:rsidR="00356392">
        <w:rPr>
          <w:rFonts w:cs="Times New Roman"/>
        </w:rPr>
        <w:t xml:space="preserve"> </w:t>
      </w:r>
      <w:r w:rsidR="00A87297">
        <w:rPr>
          <w:rFonts w:cs="Times New Roman"/>
        </w:rPr>
        <w:t>(Easterling et al. 2000; Merow et al. 2014)</w:t>
      </w:r>
      <w:r w:rsidRPr="00383B0C">
        <w:rPr>
          <w:rFonts w:cs="Times New Roman"/>
        </w:rPr>
        <w:t xml:space="preserve">, I used RAMAS </w:t>
      </w:r>
      <w:proofErr w:type="spellStart"/>
      <w:r w:rsidRPr="00383B0C">
        <w:rPr>
          <w:rFonts w:cs="Times New Roman"/>
        </w:rPr>
        <w:t>Metapop</w:t>
      </w:r>
      <w:proofErr w:type="spellEnd"/>
      <w:r w:rsidR="00356392">
        <w:rPr>
          <w:rFonts w:cs="Times New Roman"/>
        </w:rPr>
        <w:t xml:space="preserve"> </w:t>
      </w:r>
      <w:r w:rsidR="00BC2D5C" w:rsidRPr="00BC2D5C">
        <w:rPr>
          <w:rFonts w:cs="Times New Roman"/>
        </w:rPr>
        <w:t>(</w:t>
      </w:r>
      <w:proofErr w:type="spellStart"/>
      <w:r w:rsidR="00BC2D5C" w:rsidRPr="00BC2D5C">
        <w:rPr>
          <w:rFonts w:cs="Times New Roman"/>
        </w:rPr>
        <w:t>Akçakaya</w:t>
      </w:r>
      <w:proofErr w:type="spellEnd"/>
      <w:r w:rsidR="00BC2D5C" w:rsidRPr="00BC2D5C">
        <w:rPr>
          <w:rFonts w:cs="Times New Roman"/>
        </w:rPr>
        <w:t xml:space="preserve"> 2002)</w:t>
      </w:r>
      <w:r w:rsidRPr="00383B0C">
        <w:rPr>
          <w:rFonts w:cs="Times New Roman"/>
        </w:rPr>
        <w:t>, an MPM simulation program, to approximate</w:t>
      </w:r>
      <w:r>
        <w:rPr>
          <w:rFonts w:cs="Times New Roman"/>
        </w:rPr>
        <w:t xml:space="preserve"> the</w:t>
      </w:r>
      <w:r w:rsidRPr="00383B0C">
        <w:rPr>
          <w:rFonts w:cs="Times New Roman"/>
        </w:rPr>
        <w:t xml:space="preserve"> </w:t>
      </w:r>
      <w:r>
        <w:rPr>
          <w:rFonts w:cs="Times New Roman"/>
        </w:rPr>
        <w:t xml:space="preserve">integral of the </w:t>
      </w:r>
      <w:r w:rsidRPr="00383B0C">
        <w:rPr>
          <w:rFonts w:cs="Times New Roman"/>
        </w:rPr>
        <w:t>IP</w:t>
      </w:r>
      <w:r w:rsidR="003E6557">
        <w:rPr>
          <w:rFonts w:cs="Times New Roman"/>
        </w:rPr>
        <w:t xml:space="preserve">M kernel. </w:t>
      </w:r>
      <w:r w:rsidR="00060412">
        <w:rPr>
          <w:rFonts w:cs="Times New Roman"/>
        </w:rPr>
        <w:t>T</w:t>
      </w:r>
      <w:r w:rsidR="003E6557">
        <w:rPr>
          <w:rFonts w:cs="Times New Roman"/>
        </w:rPr>
        <w:t xml:space="preserve">his </w:t>
      </w:r>
      <w:r>
        <w:rPr>
          <w:rFonts w:cs="Times New Roman"/>
        </w:rPr>
        <w:t>is identical to using a mid-point approximation rule generally applied in IPMs</w:t>
      </w:r>
      <w:r w:rsidR="00356392">
        <w:rPr>
          <w:rFonts w:cs="Times New Roman"/>
        </w:rPr>
        <w:t xml:space="preserve"> </w:t>
      </w:r>
      <w:r w:rsidR="00BC2D5C" w:rsidRPr="00BC2D5C">
        <w:rPr>
          <w:rFonts w:cs="Times New Roman"/>
        </w:rPr>
        <w:t>(</w:t>
      </w:r>
      <w:proofErr w:type="spellStart"/>
      <w:r w:rsidR="00BC2D5C" w:rsidRPr="00BC2D5C">
        <w:rPr>
          <w:rFonts w:cs="Times New Roman"/>
        </w:rPr>
        <w:t>Merow</w:t>
      </w:r>
      <w:proofErr w:type="spellEnd"/>
      <w:r w:rsidR="00BC2D5C" w:rsidRPr="00BC2D5C">
        <w:rPr>
          <w:rFonts w:cs="Times New Roman"/>
        </w:rPr>
        <w:t xml:space="preserve"> et al. 2014)</w:t>
      </w:r>
      <w:r>
        <w:rPr>
          <w:rFonts w:cs="Times New Roman"/>
        </w:rPr>
        <w:t xml:space="preserve">. </w:t>
      </w:r>
    </w:p>
    <w:p w14:paraId="440896D8" w14:textId="77777777" w:rsidR="00FF24C7" w:rsidRPr="005143FE" w:rsidRDefault="00FF24C7" w:rsidP="008579EE">
      <w:pPr>
        <w:spacing w:line="480" w:lineRule="auto"/>
        <w:rPr>
          <w:b/>
        </w:rPr>
      </w:pPr>
      <w:r w:rsidRPr="005143FE">
        <w:rPr>
          <w:b/>
        </w:rPr>
        <w:t>Habitat suitability through time</w:t>
      </w:r>
    </w:p>
    <w:p w14:paraId="51D14629" w14:textId="4B1A4999" w:rsidR="00F332AF" w:rsidRDefault="00FF24C7" w:rsidP="008579EE">
      <w:pPr>
        <w:spacing w:line="480" w:lineRule="auto"/>
        <w:ind w:firstLine="720"/>
        <w:rPr>
          <w:rFonts w:cs="Times New Roman"/>
          <w:iCs/>
        </w:rPr>
      </w:pPr>
      <w:r>
        <w:t>I used the Max</w:t>
      </w:r>
      <w:r w:rsidR="00E72EF2">
        <w:t>e</w:t>
      </w:r>
      <w:r>
        <w:t>nt species distribution modeling</w:t>
      </w:r>
      <w:r w:rsidR="00893875">
        <w:t xml:space="preserve"> (SDM)</w:t>
      </w:r>
      <w:r>
        <w:t xml:space="preserve"> software to estimate habitat suitability of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in space and time throughout its North American range</w:t>
      </w:r>
      <w:r w:rsidR="00356392">
        <w:rPr>
          <w:rFonts w:cs="Times New Roman"/>
          <w:iCs/>
        </w:rPr>
        <w:t xml:space="preserve"> </w:t>
      </w:r>
      <w:r w:rsidR="00A87297" w:rsidRPr="00A87297">
        <w:rPr>
          <w:rFonts w:cs="Times New Roman"/>
        </w:rPr>
        <w:t>(Phillips et al. 2006; Phillips and Dudík 2008; Elith et al. 2010)</w:t>
      </w:r>
      <w:r>
        <w:rPr>
          <w:rFonts w:cs="Times New Roman"/>
          <w:iCs/>
        </w:rPr>
        <w:t xml:space="preserve">. </w:t>
      </w:r>
      <w:r w:rsidR="00A75693">
        <w:rPr>
          <w:rFonts w:cs="Times New Roman"/>
          <w:iCs/>
        </w:rPr>
        <w:t>I compiled 2929 o</w:t>
      </w:r>
      <w:r>
        <w:rPr>
          <w:rFonts w:cs="Times New Roman"/>
          <w:iCs/>
        </w:rPr>
        <w:t xml:space="preserve">ccurrence </w:t>
      </w:r>
      <w:r w:rsidRPr="00DD5377">
        <w:rPr>
          <w:rFonts w:cs="Times New Roman"/>
          <w:iCs/>
        </w:rPr>
        <w:t xml:space="preserve">locations </w:t>
      </w:r>
      <w:r w:rsidR="00296588">
        <w:rPr>
          <w:rFonts w:cs="Times New Roman"/>
          <w:iCs/>
        </w:rPr>
        <w:t xml:space="preserve">for </w:t>
      </w:r>
      <w:r w:rsidR="00296588">
        <w:rPr>
          <w:rFonts w:eastAsiaTheme="minorEastAsia" w:cs="Times New Roman"/>
          <w:i/>
          <w:iCs/>
        </w:rPr>
        <w:t xml:space="preserve">F. </w:t>
      </w:r>
      <w:proofErr w:type="spellStart"/>
      <w:r w:rsidR="00296588">
        <w:rPr>
          <w:rFonts w:eastAsiaTheme="minorEastAsia" w:cs="Times New Roman"/>
          <w:i/>
          <w:iCs/>
        </w:rPr>
        <w:t>alnus</w:t>
      </w:r>
      <w:proofErr w:type="spellEnd"/>
      <w:r w:rsidR="00296588">
        <w:rPr>
          <w:rFonts w:eastAsiaTheme="minorEastAsia" w:cs="Times New Roman"/>
          <w:i/>
          <w:iCs/>
        </w:rPr>
        <w:t xml:space="preserve"> </w:t>
      </w:r>
      <w:r w:rsidR="00A75693">
        <w:rPr>
          <w:rFonts w:eastAsiaTheme="minorEastAsia" w:cs="Times New Roman"/>
          <w:iCs/>
        </w:rPr>
        <w:t>using</w:t>
      </w:r>
      <w:r w:rsidRPr="00DD5377">
        <w:rPr>
          <w:rFonts w:cs="Times New Roman"/>
          <w:iCs/>
        </w:rPr>
        <w:t xml:space="preserve"> </w:t>
      </w:r>
      <w:r>
        <w:rPr>
          <w:rFonts w:cs="Times New Roman"/>
          <w:iCs/>
        </w:rPr>
        <w:t xml:space="preserve">published </w:t>
      </w:r>
      <w:r w:rsidRPr="00DD5377">
        <w:rPr>
          <w:rFonts w:cs="Times New Roman"/>
          <w:iCs/>
        </w:rPr>
        <w:t xml:space="preserve">literature, </w:t>
      </w:r>
      <w:r w:rsidR="00E72EF2" w:rsidRPr="00DD5377">
        <w:rPr>
          <w:rFonts w:cs="Times New Roman"/>
          <w:iCs/>
        </w:rPr>
        <w:t>publicly</w:t>
      </w:r>
      <w:r w:rsidRPr="00DD5377">
        <w:rPr>
          <w:rFonts w:cs="Times New Roman"/>
          <w:iCs/>
        </w:rPr>
        <w:t xml:space="preserve"> accessible biodiversity and invasive species databases, and </w:t>
      </w:r>
      <w:r w:rsidR="00296588">
        <w:rPr>
          <w:rFonts w:cs="Times New Roman"/>
          <w:iCs/>
        </w:rPr>
        <w:t>regional herbarium records</w:t>
      </w:r>
      <w:r w:rsidR="008C0BB7">
        <w:rPr>
          <w:rFonts w:cs="Times New Roman"/>
          <w:iCs/>
        </w:rPr>
        <w:t xml:space="preserve">. </w:t>
      </w:r>
      <w:r w:rsidR="002E059D">
        <w:rPr>
          <w:rFonts w:cs="Times New Roman"/>
          <w:iCs/>
        </w:rPr>
        <w:t xml:space="preserve">For environmental predictor variables, </w:t>
      </w:r>
      <w:r w:rsidRPr="00DD5377">
        <w:rPr>
          <w:rFonts w:cs="Times New Roman"/>
          <w:iCs/>
        </w:rPr>
        <w:t xml:space="preserve">I chose a set of </w:t>
      </w:r>
      <w:r w:rsidR="00A75693">
        <w:rPr>
          <w:rFonts w:cs="Times New Roman"/>
          <w:iCs/>
        </w:rPr>
        <w:t xml:space="preserve">temporally </w:t>
      </w:r>
      <w:r w:rsidRPr="00DD5377">
        <w:rPr>
          <w:rFonts w:cs="Times New Roman"/>
          <w:iCs/>
        </w:rPr>
        <w:t xml:space="preserve">dynamic climate and land-use variables and static environmental variables based on </w:t>
      </w:r>
      <w:r w:rsidRPr="00DD5377">
        <w:rPr>
          <w:rFonts w:cs="Times New Roman"/>
          <w:i/>
          <w:iCs/>
        </w:rPr>
        <w:t>a priori</w:t>
      </w:r>
      <w:r w:rsidRPr="00DD5377">
        <w:rPr>
          <w:rFonts w:cs="Times New Roman"/>
          <w:iCs/>
        </w:rPr>
        <w:t xml:space="preserve"> assumptions of how </w:t>
      </w:r>
      <w:r w:rsidR="00A75693">
        <w:rPr>
          <w:rFonts w:cs="Times New Roman"/>
          <w:iCs/>
        </w:rPr>
        <w:t>environmental conditions</w:t>
      </w:r>
      <w:r w:rsidRPr="00DD5377">
        <w:rPr>
          <w:rFonts w:cs="Times New Roman"/>
          <w:iCs/>
        </w:rPr>
        <w:t xml:space="preserve"> </w:t>
      </w:r>
      <w:r w:rsidR="00A75693">
        <w:rPr>
          <w:rFonts w:cs="Times New Roman"/>
          <w:iCs/>
        </w:rPr>
        <w:t>a</w:t>
      </w:r>
      <w:r w:rsidRPr="00DD5377">
        <w:rPr>
          <w:rFonts w:cs="Times New Roman"/>
          <w:iCs/>
        </w:rPr>
        <w:t>ffect vital rates</w:t>
      </w:r>
      <w:r w:rsidR="002E059D">
        <w:rPr>
          <w:rFonts w:cs="Times New Roman"/>
          <w:iCs/>
        </w:rPr>
        <w:t xml:space="preserve"> (Table 1)</w:t>
      </w:r>
      <w:r w:rsidR="007435B8">
        <w:rPr>
          <w:rFonts w:cs="Times New Roman"/>
          <w:iCs/>
        </w:rPr>
        <w:t xml:space="preserve"> and minimizing highly correlated variables</w:t>
      </w:r>
      <w:r w:rsidRPr="00DD5377">
        <w:rPr>
          <w:rFonts w:cs="Times New Roman"/>
          <w:iCs/>
        </w:rPr>
        <w:t xml:space="preserve">. </w:t>
      </w:r>
    </w:p>
    <w:p w14:paraId="30ED4DA7" w14:textId="57D0DFB0" w:rsidR="00FF24C7" w:rsidRPr="00DD5377" w:rsidRDefault="00E72EF2" w:rsidP="000D6063">
      <w:pPr>
        <w:spacing w:line="480" w:lineRule="auto"/>
        <w:ind w:firstLine="720"/>
        <w:rPr>
          <w:rFonts w:cs="Times New Roman"/>
          <w:iCs/>
        </w:rPr>
      </w:pPr>
      <w:r>
        <w:rPr>
          <w:rFonts w:cs="Times New Roman"/>
          <w:iCs/>
        </w:rPr>
        <w:t>To</w:t>
      </w:r>
      <w:r w:rsidR="00FF24C7" w:rsidRPr="00DD5377">
        <w:rPr>
          <w:rFonts w:cs="Times New Roman"/>
          <w:iCs/>
        </w:rPr>
        <w:t xml:space="preserve"> optimize </w:t>
      </w:r>
      <w:r w:rsidR="002E059D">
        <w:rPr>
          <w:rFonts w:cs="Times New Roman"/>
          <w:iCs/>
        </w:rPr>
        <w:t xml:space="preserve">Maxent </w:t>
      </w:r>
      <w:r w:rsidR="00FF24C7" w:rsidRPr="00DD5377">
        <w:rPr>
          <w:rFonts w:cs="Times New Roman"/>
          <w:iCs/>
        </w:rPr>
        <w:t>model tuning parameters</w:t>
      </w:r>
      <w:r w:rsidR="002E059D">
        <w:rPr>
          <w:rFonts w:cs="Times New Roman"/>
          <w:iCs/>
        </w:rPr>
        <w:t xml:space="preserve"> (i.e., regularization and feature selection)</w:t>
      </w:r>
      <w:r w:rsidR="00FF24C7" w:rsidRPr="00DD5377">
        <w:rPr>
          <w:rFonts w:cs="Times New Roman"/>
          <w:iCs/>
        </w:rPr>
        <w:t xml:space="preserve">, I constructed multiple SDMs for a 50-year timeframe from 1960 to 2010. I calculated 50-year </w:t>
      </w:r>
      <w:r w:rsidR="00FF24C7" w:rsidRPr="00DD5377">
        <w:rPr>
          <w:rFonts w:cs="Times New Roman"/>
          <w:iCs/>
        </w:rPr>
        <w:lastRenderedPageBreak/>
        <w:t xml:space="preserve">average values for all dynamic </w:t>
      </w:r>
      <w:r w:rsidR="000D6063">
        <w:rPr>
          <w:rFonts w:cs="Times New Roman"/>
          <w:iCs/>
        </w:rPr>
        <w:t>climate</w:t>
      </w:r>
      <w:r w:rsidR="002E059D">
        <w:rPr>
          <w:rFonts w:cs="Times New Roman"/>
          <w:iCs/>
        </w:rPr>
        <w:t xml:space="preserve"> and land-use variables and</w:t>
      </w:r>
      <w:r w:rsidR="00FF24C7" w:rsidRPr="00DD5377">
        <w:rPr>
          <w:rFonts w:cs="Times New Roman"/>
          <w:iCs/>
        </w:rPr>
        <w:t xml:space="preserve"> </w:t>
      </w:r>
      <w:r w:rsidR="002E059D">
        <w:rPr>
          <w:rFonts w:cs="Times New Roman"/>
          <w:iCs/>
        </w:rPr>
        <w:t xml:space="preserve">included </w:t>
      </w:r>
      <w:r w:rsidR="00FF24C7" w:rsidRPr="00DD5377">
        <w:rPr>
          <w:rFonts w:cs="Times New Roman"/>
          <w:iCs/>
        </w:rPr>
        <w:t>the static variables CTI</w:t>
      </w:r>
      <w:r w:rsidR="003963B4">
        <w:rPr>
          <w:rFonts w:cs="Times New Roman"/>
          <w:iCs/>
        </w:rPr>
        <w:t>,</w:t>
      </w:r>
      <w:r w:rsidR="00FF24C7" w:rsidRPr="00DD5377">
        <w:rPr>
          <w:rFonts w:cs="Times New Roman"/>
          <w:iCs/>
        </w:rPr>
        <w:t xml:space="preserve"> pH Top</w:t>
      </w:r>
      <w:r w:rsidR="007435B8">
        <w:rPr>
          <w:rFonts w:cs="Times New Roman"/>
          <w:iCs/>
        </w:rPr>
        <w:t>,</w:t>
      </w:r>
      <w:r w:rsidR="003963B4">
        <w:rPr>
          <w:rFonts w:cs="Times New Roman"/>
          <w:iCs/>
        </w:rPr>
        <w:t xml:space="preserve"> Crop, Grass</w:t>
      </w:r>
      <w:r w:rsidR="007435B8">
        <w:rPr>
          <w:rFonts w:cs="Times New Roman"/>
          <w:iCs/>
        </w:rPr>
        <w:t>, and Potential Veg</w:t>
      </w:r>
      <w:r w:rsidR="00FF24C7" w:rsidRPr="00DD5377">
        <w:rPr>
          <w:rFonts w:cs="Times New Roman"/>
          <w:iCs/>
        </w:rPr>
        <w:t>, resulting in a total of 11 predictor variables (9 continuous and 2 categorical). I examined the influence of increasing model complexity (i.e., adding additional features) and regularization (i.e., increasing the penalty on complex models)</w:t>
      </w:r>
      <w:r w:rsidR="000D6063">
        <w:rPr>
          <w:rFonts w:cs="Times New Roman"/>
          <w:iCs/>
        </w:rPr>
        <w:t xml:space="preserve"> on model testing values area under the receiver operating curve (AUC) and omission rate at maximum specificity and sensitivity values</w:t>
      </w:r>
      <w:r w:rsidR="00FF24C7" w:rsidRPr="00DD5377">
        <w:rPr>
          <w:rFonts w:cs="Times New Roman"/>
          <w:iCs/>
        </w:rPr>
        <w:t xml:space="preserve"> using 5-fold </w:t>
      </w:r>
      <w:r w:rsidR="002E059D">
        <w:rPr>
          <w:rFonts w:cs="Times New Roman"/>
          <w:iCs/>
        </w:rPr>
        <w:t>cross-</w:t>
      </w:r>
      <w:r w:rsidR="00FF24C7" w:rsidRPr="00DD5377">
        <w:rPr>
          <w:rFonts w:cs="Times New Roman"/>
          <w:iCs/>
        </w:rPr>
        <w:t>validation.</w:t>
      </w:r>
      <w:r w:rsidR="00FF24C7">
        <w:rPr>
          <w:rFonts w:cs="Times New Roman"/>
          <w:iCs/>
        </w:rPr>
        <w:t xml:space="preserve"> </w:t>
      </w:r>
      <w:r w:rsidR="000D6063">
        <w:rPr>
          <w:rFonts w:cs="Times New Roman"/>
          <w:iCs/>
        </w:rPr>
        <w:t>Balancing these two metrics, I chose final model parameters of</w:t>
      </w:r>
      <w:r w:rsidR="00FF24C7" w:rsidRPr="00DD5377">
        <w:rPr>
          <w:rFonts w:cs="Times New Roman"/>
          <w:iCs/>
        </w:rPr>
        <w:t xml:space="preserve"> a regularization multiplier equal to 1 (i.e., default regularization) and Linear + Quadratic + Product features. </w:t>
      </w:r>
      <w:r w:rsidR="000D6063">
        <w:rPr>
          <w:rFonts w:cs="Times New Roman"/>
          <w:iCs/>
        </w:rPr>
        <w:t xml:space="preserve">Further details are noted in the </w:t>
      </w:r>
      <w:r w:rsidR="000D6063" w:rsidRPr="00574CE4">
        <w:rPr>
          <w:rFonts w:cs="Times New Roman"/>
          <w:iCs/>
        </w:rPr>
        <w:t xml:space="preserve">Online Resource </w:t>
      </w:r>
      <w:r w:rsidR="00095C5C" w:rsidRPr="00574CE4">
        <w:rPr>
          <w:rFonts w:cs="Times New Roman"/>
          <w:iCs/>
        </w:rPr>
        <w:t>–</w:t>
      </w:r>
      <w:r w:rsidR="00095C5C">
        <w:rPr>
          <w:rFonts w:cs="Times New Roman"/>
          <w:iCs/>
        </w:rPr>
        <w:t xml:space="preserve"> Appendix 3</w:t>
      </w:r>
      <w:r w:rsidR="000D6063">
        <w:rPr>
          <w:rFonts w:cs="Times New Roman"/>
          <w:iCs/>
        </w:rPr>
        <w:t>.</w:t>
      </w:r>
    </w:p>
    <w:p w14:paraId="1AC8C115" w14:textId="5CD921A1" w:rsidR="00FF24C7" w:rsidRPr="00DD5377" w:rsidRDefault="00FF24C7" w:rsidP="008579EE">
      <w:pPr>
        <w:spacing w:line="480" w:lineRule="auto"/>
        <w:ind w:firstLine="720"/>
        <w:rPr>
          <w:rFonts w:cs="Times New Roman"/>
          <w:iCs/>
        </w:rPr>
      </w:pPr>
      <w:r w:rsidRPr="00DD5377">
        <w:rPr>
          <w:rFonts w:cs="Times New Roman"/>
          <w:iCs/>
        </w:rPr>
        <w:t xml:space="preserve">To </w:t>
      </w:r>
      <w:r w:rsidR="00C04B27">
        <w:rPr>
          <w:rFonts w:cs="Times New Roman"/>
          <w:iCs/>
        </w:rPr>
        <w:t>incorporate</w:t>
      </w:r>
      <w:r w:rsidRPr="00DD5377">
        <w:rPr>
          <w:rFonts w:cs="Times New Roman"/>
          <w:iCs/>
        </w:rPr>
        <w:t xml:space="preserve"> changes to the spatial structure of the </w:t>
      </w:r>
      <w:r w:rsidRPr="00DD5377">
        <w:rPr>
          <w:rFonts w:cs="Times New Roman"/>
          <w:i/>
          <w:iCs/>
        </w:rPr>
        <w:t xml:space="preserve">F. </w:t>
      </w:r>
      <w:proofErr w:type="spellStart"/>
      <w:r w:rsidRPr="00DD5377">
        <w:rPr>
          <w:rFonts w:cs="Times New Roman"/>
          <w:i/>
          <w:iCs/>
        </w:rPr>
        <w:t>alnus</w:t>
      </w:r>
      <w:proofErr w:type="spellEnd"/>
      <w:r w:rsidRPr="00DD5377">
        <w:rPr>
          <w:rFonts w:cs="Times New Roman"/>
          <w:i/>
          <w:iCs/>
        </w:rPr>
        <w:t xml:space="preserve"> </w:t>
      </w:r>
      <w:r w:rsidRPr="00DD5377">
        <w:rPr>
          <w:rFonts w:cs="Times New Roman"/>
          <w:iCs/>
        </w:rPr>
        <w:t xml:space="preserve">metapopulation through time, I constructed an SDM with 10-year aggregated layers for all dynamic predictor variables. </w:t>
      </w:r>
      <w:r w:rsidR="000D6063">
        <w:rPr>
          <w:rFonts w:cs="Times New Roman"/>
          <w:iCs/>
        </w:rPr>
        <w:t xml:space="preserve">For each occurrence record </w:t>
      </w:r>
      <w:r w:rsidRPr="00DD5377">
        <w:rPr>
          <w:rFonts w:cs="Times New Roman"/>
          <w:iCs/>
        </w:rPr>
        <w:t>I extracted the values from the corresponding 10-year aggregate layers</w:t>
      </w:r>
      <w:r w:rsidR="000D6063">
        <w:rPr>
          <w:rFonts w:cs="Times New Roman"/>
          <w:iCs/>
        </w:rPr>
        <w:t>, which included</w:t>
      </w:r>
      <w:r w:rsidR="00635AA4">
        <w:rPr>
          <w:rFonts w:cs="Times New Roman"/>
          <w:iCs/>
        </w:rPr>
        <w:t xml:space="preserve"> the</w:t>
      </w:r>
      <w:r w:rsidRPr="00DD5377">
        <w:rPr>
          <w:rFonts w:cs="Times New Roman"/>
          <w:iCs/>
        </w:rPr>
        <w:t xml:space="preserve"> ten years leading up to, and including, the year the occurrence record was recorded. Additionally, I extracted random background points, proportional to the number of occurrences represented by </w:t>
      </w:r>
      <w:r w:rsidR="000D6063">
        <w:rPr>
          <w:rFonts w:cs="Times New Roman"/>
          <w:iCs/>
        </w:rPr>
        <w:t>each</w:t>
      </w:r>
      <w:r w:rsidRPr="00DD5377">
        <w:rPr>
          <w:rFonts w:cs="Times New Roman"/>
          <w:iCs/>
        </w:rPr>
        <w:t xml:space="preserve"> year. </w:t>
      </w:r>
      <w:r w:rsidR="000D6063">
        <w:rPr>
          <w:rFonts w:cs="Times New Roman"/>
          <w:iCs/>
        </w:rPr>
        <w:t>O</w:t>
      </w:r>
      <w:r w:rsidRPr="00DD5377">
        <w:rPr>
          <w:rFonts w:cs="Times New Roman"/>
          <w:iCs/>
        </w:rPr>
        <w:t xml:space="preserve">ccurrence locations were thinned </w:t>
      </w:r>
      <w:r w:rsidR="000D6063">
        <w:rPr>
          <w:rFonts w:cs="Times New Roman"/>
          <w:iCs/>
        </w:rPr>
        <w:t xml:space="preserve">within years </w:t>
      </w:r>
      <w:r w:rsidRPr="00DD5377">
        <w:rPr>
          <w:rFonts w:cs="Times New Roman"/>
          <w:iCs/>
        </w:rPr>
        <w:t>such tha</w:t>
      </w:r>
      <w:r w:rsidR="001E3B84">
        <w:rPr>
          <w:rFonts w:cs="Times New Roman"/>
          <w:iCs/>
        </w:rPr>
        <w:t>t only one occurrence per 5 x 5 arc minute</w:t>
      </w:r>
      <w:r w:rsidRPr="00DD5377">
        <w:rPr>
          <w:rFonts w:cs="Times New Roman"/>
          <w:iCs/>
        </w:rPr>
        <w:t xml:space="preserve"> grid cell was used. Values for static predictor variables (i.e., potential vegetation and topsoil pH) were also extracted for both occurrence and background points. </w:t>
      </w:r>
      <w:r w:rsidR="00635AA4">
        <w:rPr>
          <w:rFonts w:cs="Times New Roman"/>
          <w:iCs/>
        </w:rPr>
        <w:t>Model tuning parameters were identical to the static model described above</w:t>
      </w:r>
      <w:r w:rsidR="000435C7">
        <w:rPr>
          <w:rFonts w:cs="Times New Roman"/>
          <w:iCs/>
        </w:rPr>
        <w:t xml:space="preserve"> and </w:t>
      </w:r>
      <w:r w:rsidR="000435C7" w:rsidRPr="00DD5377">
        <w:rPr>
          <w:rFonts w:cs="Times New Roman"/>
          <w:iCs/>
        </w:rPr>
        <w:t xml:space="preserve">the resulting habitat suitability layers </w:t>
      </w:r>
      <w:r w:rsidR="000435C7">
        <w:rPr>
          <w:rFonts w:cs="Times New Roman"/>
          <w:iCs/>
        </w:rPr>
        <w:t xml:space="preserve">were </w:t>
      </w:r>
      <w:r w:rsidR="000435C7" w:rsidRPr="00DD5377">
        <w:rPr>
          <w:rFonts w:cs="Times New Roman"/>
          <w:iCs/>
        </w:rPr>
        <w:t>projected to a Lambert Equal Area projection with grain size of 20 x 20 km</w:t>
      </w:r>
      <w:r w:rsidR="00635AA4">
        <w:rPr>
          <w:rFonts w:cs="Times New Roman"/>
          <w:iCs/>
        </w:rPr>
        <w:t>.</w:t>
      </w:r>
    </w:p>
    <w:p w14:paraId="0A6F7597" w14:textId="6CA76063" w:rsidR="00FF24C7" w:rsidRPr="005B08EA" w:rsidRDefault="00FF24C7" w:rsidP="008579EE">
      <w:pPr>
        <w:spacing w:line="480" w:lineRule="auto"/>
        <w:rPr>
          <w:b/>
          <w:bCs/>
          <w:iCs/>
        </w:rPr>
      </w:pPr>
      <w:r w:rsidRPr="005B08EA">
        <w:rPr>
          <w:b/>
          <w:bCs/>
          <w:iCs/>
        </w:rPr>
        <w:t xml:space="preserve">Linking population demography and species </w:t>
      </w:r>
      <w:r w:rsidR="009B7D2D" w:rsidRPr="005B08EA">
        <w:rPr>
          <w:b/>
          <w:bCs/>
          <w:iCs/>
        </w:rPr>
        <w:t>distribution</w:t>
      </w:r>
      <w:r w:rsidRPr="005B08EA">
        <w:rPr>
          <w:b/>
          <w:bCs/>
          <w:iCs/>
        </w:rPr>
        <w:t xml:space="preserve"> models</w:t>
      </w:r>
    </w:p>
    <w:p w14:paraId="70FEE909" w14:textId="4C1868E0" w:rsidR="00FF24C7" w:rsidRPr="007C2AA3" w:rsidRDefault="005B08EA" w:rsidP="008579EE">
      <w:pPr>
        <w:spacing w:line="480" w:lineRule="auto"/>
        <w:ind w:firstLine="720"/>
      </w:pPr>
      <w:r>
        <w:lastRenderedPageBreak/>
        <w:t>I linked the</w:t>
      </w:r>
      <w:r w:rsidR="00FF24C7">
        <w:t xml:space="preserve"> demographic model </w:t>
      </w:r>
      <w:r>
        <w:t xml:space="preserve">with the </w:t>
      </w:r>
      <w:r w:rsidR="009B7D2D">
        <w:t>SDM</w:t>
      </w:r>
      <w:r w:rsidR="00FF24C7">
        <w:t xml:space="preserve"> results </w:t>
      </w:r>
      <w:r>
        <w:t>to construct</w:t>
      </w:r>
      <w:r w:rsidR="00FF24C7">
        <w:t xml:space="preserve"> a metapopulation model</w:t>
      </w:r>
      <w:r w:rsidR="003778D9">
        <w:t xml:space="preserve"> using RAMAS GIS</w:t>
      </w:r>
      <w:r w:rsidR="00FF24C7">
        <w:t xml:space="preserve">. </w:t>
      </w:r>
      <w:r>
        <w:t xml:space="preserve">In </w:t>
      </w:r>
      <w:r w:rsidR="007435B8">
        <w:t>this</w:t>
      </w:r>
      <w:r>
        <w:t xml:space="preserve"> model each</w:t>
      </w:r>
      <w:r w:rsidR="00FF24C7">
        <w:t xml:space="preserve"> 20 x 20 km grid was considered a potential habitat patch</w:t>
      </w:r>
      <w:r>
        <w:t xml:space="preserve"> if it</w:t>
      </w:r>
      <w:r w:rsidR="001E79FC">
        <w:t xml:space="preserve"> had a logistic output value </w:t>
      </w:r>
      <w:r w:rsidR="00FF24C7">
        <w:t xml:space="preserve">greater than the 10% omission rate value across all modeled years. I assumed patch carrying capacity was proportional to the </w:t>
      </w:r>
      <w:r w:rsidR="007435B8">
        <w:t>logistic output</w:t>
      </w:r>
      <w:r w:rsidR="00FF24C7">
        <w:t xml:space="preserve"> projected for a given year. </w:t>
      </w:r>
      <w:r>
        <w:t xml:space="preserve">To </w:t>
      </w:r>
      <w:r w:rsidR="00FF24C7">
        <w:t xml:space="preserve">examine the sensitivity of my model outcomes to this assumption </w:t>
      </w:r>
      <w:r>
        <w:t>I</w:t>
      </w:r>
      <w:r w:rsidR="00FF24C7">
        <w:t xml:space="preserve"> test</w:t>
      </w:r>
      <w:r>
        <w:t>ed</w:t>
      </w:r>
      <w:r w:rsidR="00FF24C7">
        <w:t xml:space="preserve"> three different carrying capacity scenarios</w:t>
      </w:r>
      <w:r w:rsidR="00574CE4">
        <w:t>, as described</w:t>
      </w:r>
      <w:r w:rsidR="00FF24C7">
        <w:t xml:space="preserve"> below. Lastly, to examine the role of land-use change in the spread of </w:t>
      </w:r>
      <w:r w:rsidR="00FF24C7">
        <w:rPr>
          <w:rFonts w:cs="Times New Roman"/>
          <w:i/>
          <w:iCs/>
        </w:rPr>
        <w:t xml:space="preserve">F. </w:t>
      </w:r>
      <w:proofErr w:type="spellStart"/>
      <w:r w:rsidR="00FF24C7">
        <w:rPr>
          <w:rFonts w:cs="Times New Roman"/>
          <w:i/>
          <w:iCs/>
        </w:rPr>
        <w:t>alnus</w:t>
      </w:r>
      <w:proofErr w:type="spellEnd"/>
      <w:r w:rsidR="00FF24C7">
        <w:rPr>
          <w:rFonts w:cs="Times New Roman"/>
          <w:i/>
          <w:iCs/>
        </w:rPr>
        <w:t xml:space="preserve"> </w:t>
      </w:r>
      <w:r w:rsidR="00FF24C7">
        <w:rPr>
          <w:rFonts w:cs="Times New Roman"/>
          <w:iCs/>
        </w:rPr>
        <w:t xml:space="preserve">I constructed a </w:t>
      </w:r>
      <w:r>
        <w:rPr>
          <w:rFonts w:cs="Times New Roman"/>
          <w:iCs/>
        </w:rPr>
        <w:t xml:space="preserve">static </w:t>
      </w:r>
      <w:r w:rsidR="00FF24C7">
        <w:rPr>
          <w:rFonts w:cs="Times New Roman"/>
          <w:iCs/>
        </w:rPr>
        <w:t xml:space="preserve">metapopulation structure assuming </w:t>
      </w:r>
      <w:r>
        <w:rPr>
          <w:rFonts w:cs="Times New Roman"/>
          <w:iCs/>
        </w:rPr>
        <w:t>no</w:t>
      </w:r>
      <w:r w:rsidR="00FF24C7">
        <w:rPr>
          <w:rFonts w:cs="Times New Roman"/>
          <w:iCs/>
        </w:rPr>
        <w:t xml:space="preserve"> change </w:t>
      </w:r>
      <w:r>
        <w:rPr>
          <w:rFonts w:cs="Times New Roman"/>
          <w:iCs/>
        </w:rPr>
        <w:t>in patch carrying capacity after</w:t>
      </w:r>
      <w:r w:rsidR="00FF24C7">
        <w:rPr>
          <w:rFonts w:cs="Times New Roman"/>
          <w:iCs/>
        </w:rPr>
        <w:t xml:space="preserve"> 1910</w:t>
      </w:r>
      <w:r w:rsidR="000435C7">
        <w:rPr>
          <w:rFonts w:cs="Times New Roman"/>
          <w:iCs/>
        </w:rPr>
        <w:t xml:space="preserve"> </w:t>
      </w:r>
      <w:r w:rsidR="00F16CA9">
        <w:rPr>
          <w:rFonts w:cs="Times New Roman"/>
          <w:iCs/>
        </w:rPr>
        <w:t>and</w:t>
      </w:r>
      <w:r w:rsidR="000435C7">
        <w:rPr>
          <w:rFonts w:cs="Times New Roman"/>
          <w:iCs/>
        </w:rPr>
        <w:t xml:space="preserve"> compare</w:t>
      </w:r>
      <w:r w:rsidR="00F16CA9">
        <w:rPr>
          <w:rFonts w:cs="Times New Roman"/>
          <w:iCs/>
        </w:rPr>
        <w:t xml:space="preserve">d results from these simulations to those using a </w:t>
      </w:r>
      <w:r w:rsidR="000435C7">
        <w:rPr>
          <w:rFonts w:cs="Times New Roman"/>
          <w:iCs/>
        </w:rPr>
        <w:t xml:space="preserve">dynamic </w:t>
      </w:r>
      <w:r w:rsidR="00F16CA9">
        <w:rPr>
          <w:rFonts w:cs="Times New Roman"/>
          <w:iCs/>
        </w:rPr>
        <w:t>metapopulation structure</w:t>
      </w:r>
      <w:r w:rsidR="00FF24C7">
        <w:rPr>
          <w:rFonts w:cs="Times New Roman"/>
          <w:iCs/>
        </w:rPr>
        <w:t>.</w:t>
      </w:r>
    </w:p>
    <w:p w14:paraId="7E3EED89" w14:textId="10B96948" w:rsidR="00FF24C7" w:rsidRDefault="000435C7" w:rsidP="008579EE">
      <w:pPr>
        <w:spacing w:line="480" w:lineRule="auto"/>
        <w:ind w:firstLine="720"/>
        <w:rPr>
          <w:rFonts w:cs="Times New Roman"/>
          <w:iCs/>
        </w:rPr>
      </w:pPr>
      <w:r>
        <w:t xml:space="preserve">I </w:t>
      </w:r>
      <w:r w:rsidR="00635AA4">
        <w:t xml:space="preserve"> incorporate</w:t>
      </w:r>
      <w:r>
        <w:t>d</w:t>
      </w:r>
      <w:r w:rsidR="00635AA4">
        <w:t xml:space="preserve"> dispersal</w:t>
      </w:r>
      <w:r>
        <w:t xml:space="preserve"> by</w:t>
      </w:r>
      <w:r w:rsidR="00635AA4">
        <w:t xml:space="preserve"> first</w:t>
      </w:r>
      <w:r w:rsidR="00FF24C7">
        <w:t xml:space="preserve"> calculat</w:t>
      </w:r>
      <w:r>
        <w:t>ing</w:t>
      </w:r>
      <w:r w:rsidR="00FF24C7">
        <w:t xml:space="preserve"> the distance between </w:t>
      </w:r>
      <w:r w:rsidR="00C672EF">
        <w:t>patches</w:t>
      </w:r>
      <w:r w:rsidR="00FF24C7">
        <w:t xml:space="preserve"> as the distance between centers (i.e., 20 km for adjacent cells). I </w:t>
      </w:r>
      <w:r w:rsidR="00635AA4">
        <w:t xml:space="preserve">then </w:t>
      </w:r>
      <w:r w:rsidR="00FF24C7">
        <w:t xml:space="preserve">parameterized a dispersal distance function using reported dispersal rates for </w:t>
      </w:r>
      <w:r w:rsidR="00635AA4">
        <w:t xml:space="preserve">a </w:t>
      </w:r>
      <w:r w:rsidR="00FF24C7">
        <w:t>similar</w:t>
      </w:r>
      <w:r w:rsidR="00635AA4">
        <w:t xml:space="preserve"> </w:t>
      </w:r>
      <w:r w:rsidR="00FF24C7">
        <w:t>invasive species</w:t>
      </w:r>
      <w:r w:rsidR="00635AA4">
        <w:t xml:space="preserve">, </w:t>
      </w:r>
      <w:proofErr w:type="spellStart"/>
      <w:r w:rsidR="00635AA4">
        <w:rPr>
          <w:i/>
        </w:rPr>
        <w:t>Celastrus</w:t>
      </w:r>
      <w:proofErr w:type="spellEnd"/>
      <w:r w:rsidR="00635AA4">
        <w:rPr>
          <w:i/>
        </w:rPr>
        <w:t xml:space="preserve"> </w:t>
      </w:r>
      <w:proofErr w:type="spellStart"/>
      <w:r w:rsidR="00635AA4">
        <w:rPr>
          <w:i/>
        </w:rPr>
        <w:t>orbiculatus</w:t>
      </w:r>
      <w:proofErr w:type="spellEnd"/>
      <w:r w:rsidR="00356392">
        <w:rPr>
          <w:iCs/>
        </w:rPr>
        <w:t xml:space="preserve"> </w:t>
      </w:r>
      <w:r w:rsidR="00BC2D5C" w:rsidRPr="00BC2D5C">
        <w:rPr>
          <w:rFonts w:cs="Times New Roman"/>
        </w:rPr>
        <w:t>(</w:t>
      </w:r>
      <w:proofErr w:type="spellStart"/>
      <w:r w:rsidR="00BC2D5C" w:rsidRPr="00BC2D5C">
        <w:rPr>
          <w:rFonts w:cs="Times New Roman"/>
        </w:rPr>
        <w:t>Merow</w:t>
      </w:r>
      <w:proofErr w:type="spellEnd"/>
      <w:r w:rsidR="00BC2D5C" w:rsidRPr="00BC2D5C">
        <w:rPr>
          <w:rFonts w:cs="Times New Roman"/>
        </w:rPr>
        <w:t xml:space="preserve"> et al. 2011)</w:t>
      </w:r>
      <w:r w:rsidR="00635AA4">
        <w:rPr>
          <w:noProof/>
        </w:rPr>
        <w:t>,</w:t>
      </w:r>
      <w:r w:rsidR="00FF24C7">
        <w:t xml:space="preserve"> and data for </w:t>
      </w:r>
      <w:r w:rsidR="00FF24C7">
        <w:rPr>
          <w:rFonts w:cs="Times New Roman"/>
          <w:i/>
          <w:iCs/>
        </w:rPr>
        <w:t xml:space="preserve">F. </w:t>
      </w:r>
      <w:proofErr w:type="spellStart"/>
      <w:r w:rsidR="00FF24C7">
        <w:rPr>
          <w:rFonts w:cs="Times New Roman"/>
          <w:i/>
          <w:iCs/>
        </w:rPr>
        <w:t>alnus</w:t>
      </w:r>
      <w:proofErr w:type="spellEnd"/>
      <w:r w:rsidR="00FF24C7">
        <w:rPr>
          <w:rFonts w:cs="Times New Roman"/>
          <w:i/>
          <w:iCs/>
        </w:rPr>
        <w:t xml:space="preserve"> </w:t>
      </w:r>
      <w:r w:rsidR="00FF24C7">
        <w:t xml:space="preserve">reported by Berg </w:t>
      </w:r>
      <w:r w:rsidR="00BC2D5C" w:rsidRPr="00BC2D5C">
        <w:rPr>
          <w:rFonts w:cs="Times New Roman"/>
        </w:rPr>
        <w:t>(2011)</w:t>
      </w:r>
      <w:r w:rsidR="00FF24C7">
        <w:t xml:space="preserve"> and </w:t>
      </w:r>
      <w:proofErr w:type="spellStart"/>
      <w:r w:rsidR="00FF24C7">
        <w:t>Hampe</w:t>
      </w:r>
      <w:proofErr w:type="spellEnd"/>
      <w:r w:rsidR="00FF24C7">
        <w:t xml:space="preserve"> </w:t>
      </w:r>
      <w:r w:rsidR="00BC2D5C" w:rsidRPr="00BC2D5C">
        <w:rPr>
          <w:rFonts w:cs="Times New Roman"/>
        </w:rPr>
        <w:t>(2004, 2008)</w:t>
      </w:r>
      <w:r w:rsidR="00FC15F8">
        <w:t xml:space="preserve">. Though there is </w:t>
      </w:r>
      <w:r w:rsidR="00404DA2">
        <w:t>little</w:t>
      </w:r>
      <w:r w:rsidR="00FF24C7">
        <w:t xml:space="preserve"> information on </w:t>
      </w:r>
      <w:r w:rsidR="00FF24C7">
        <w:rPr>
          <w:rFonts w:cs="Times New Roman"/>
          <w:i/>
          <w:iCs/>
        </w:rPr>
        <w:t xml:space="preserve">F. </w:t>
      </w:r>
      <w:proofErr w:type="spellStart"/>
      <w:r w:rsidR="00FF24C7">
        <w:rPr>
          <w:rFonts w:cs="Times New Roman"/>
          <w:i/>
          <w:iCs/>
        </w:rPr>
        <w:t>alnus</w:t>
      </w:r>
      <w:proofErr w:type="spellEnd"/>
      <w:r w:rsidR="00FF24C7">
        <w:rPr>
          <w:rFonts w:cs="Times New Roman"/>
          <w:i/>
          <w:iCs/>
        </w:rPr>
        <w:t xml:space="preserve"> </w:t>
      </w:r>
      <w:r w:rsidR="00FF24C7">
        <w:rPr>
          <w:rFonts w:cs="Times New Roman"/>
          <w:iCs/>
        </w:rPr>
        <w:t>dispersal rates, existing data suggest that dispersal by avian frugivores in limited to a local region. However, as with many invasive species, there can be random long-distance dispersal (LDD) events</w:t>
      </w:r>
      <w:r w:rsidR="00404DA2">
        <w:rPr>
          <w:rFonts w:cs="Times New Roman"/>
          <w:iCs/>
        </w:rPr>
        <w:t>, potentially</w:t>
      </w:r>
      <w:r w:rsidR="00FF24C7">
        <w:rPr>
          <w:rFonts w:cs="Times New Roman"/>
          <w:iCs/>
        </w:rPr>
        <w:t xml:space="preserve"> facilitated by human</w:t>
      </w:r>
      <w:r w:rsidR="00404DA2">
        <w:rPr>
          <w:rFonts w:cs="Times New Roman"/>
          <w:iCs/>
        </w:rPr>
        <w:t>s</w:t>
      </w:r>
      <w:r w:rsidR="00FF24C7">
        <w:rPr>
          <w:rFonts w:cs="Times New Roman"/>
          <w:iCs/>
        </w:rPr>
        <w:t xml:space="preserve">. I incorporated </w:t>
      </w:r>
      <w:r>
        <w:rPr>
          <w:rFonts w:cs="Times New Roman"/>
          <w:iCs/>
        </w:rPr>
        <w:t>such events</w:t>
      </w:r>
      <w:r w:rsidR="00FF24C7">
        <w:rPr>
          <w:rFonts w:cs="Times New Roman"/>
          <w:iCs/>
        </w:rPr>
        <w:t xml:space="preserve"> in my simulations in two ways. First, I assumed random LDD allowing for equal probability of translocation of plants to any patch on the landscape. Second, I assumed weighted random LDD, in which the probability of a patch being the target of translocation was weighted by the human population density within that patch. </w:t>
      </w:r>
      <w:r w:rsidR="007435B8">
        <w:rPr>
          <w:rFonts w:cs="Times New Roman"/>
          <w:iCs/>
        </w:rPr>
        <w:t>The latter</w:t>
      </w:r>
      <w:r w:rsidR="00404DA2">
        <w:rPr>
          <w:rFonts w:cs="Times New Roman"/>
          <w:iCs/>
        </w:rPr>
        <w:t xml:space="preserve"> </w:t>
      </w:r>
      <w:r w:rsidR="00FF24C7">
        <w:rPr>
          <w:rFonts w:cs="Times New Roman"/>
          <w:iCs/>
        </w:rPr>
        <w:t xml:space="preserve">scenario </w:t>
      </w:r>
      <w:r w:rsidR="00404DA2">
        <w:rPr>
          <w:rFonts w:cs="Times New Roman"/>
          <w:iCs/>
        </w:rPr>
        <w:t>assumes</w:t>
      </w:r>
      <w:r w:rsidR="00FF24C7">
        <w:rPr>
          <w:rFonts w:cs="Times New Roman"/>
          <w:iCs/>
        </w:rPr>
        <w:t xml:space="preserve"> that humans are the primary vectors </w:t>
      </w:r>
      <w:r w:rsidR="002366A2">
        <w:rPr>
          <w:rFonts w:cs="Times New Roman"/>
          <w:iCs/>
        </w:rPr>
        <w:t>for</w:t>
      </w:r>
      <w:r w:rsidR="00FF24C7">
        <w:rPr>
          <w:rFonts w:cs="Times New Roman"/>
          <w:iCs/>
        </w:rPr>
        <w:t xml:space="preserve"> LDD</w:t>
      </w:r>
      <w:r w:rsidR="002366A2">
        <w:rPr>
          <w:rFonts w:cs="Times New Roman"/>
          <w:iCs/>
        </w:rPr>
        <w:t>.</w:t>
      </w:r>
    </w:p>
    <w:p w14:paraId="00778B35" w14:textId="542B689B" w:rsidR="002C53DC" w:rsidRDefault="00744B34" w:rsidP="008579EE">
      <w:pPr>
        <w:spacing w:line="480" w:lineRule="auto"/>
        <w:ind w:firstLine="720"/>
        <w:rPr>
          <w:rFonts w:eastAsiaTheme="minorEastAsia" w:cs="Times New Roman"/>
          <w:iCs/>
        </w:rPr>
      </w:pPr>
      <w:r>
        <w:rPr>
          <w:rFonts w:cs="Times New Roman"/>
          <w:iCs/>
        </w:rPr>
        <w:t>E</w:t>
      </w:r>
      <w:r w:rsidR="009B7D2D">
        <w:rPr>
          <w:rFonts w:cs="Times New Roman"/>
          <w:iCs/>
        </w:rPr>
        <w:t>stimat</w:t>
      </w:r>
      <w:r>
        <w:rPr>
          <w:rFonts w:cs="Times New Roman"/>
          <w:iCs/>
        </w:rPr>
        <w:t>es of</w:t>
      </w:r>
      <w:r w:rsidR="009B7D2D">
        <w:rPr>
          <w:rFonts w:cs="Times New Roman"/>
          <w:iCs/>
        </w:rPr>
        <w:t xml:space="preserve"> patch carrying capacity </w:t>
      </w:r>
      <w:r w:rsidR="00824736">
        <w:rPr>
          <w:rFonts w:cs="Times New Roman"/>
          <w:iCs/>
        </w:rPr>
        <w:t>are</w:t>
      </w:r>
      <w:r w:rsidR="009B7D2D">
        <w:rPr>
          <w:rFonts w:cs="Times New Roman"/>
          <w:iCs/>
        </w:rPr>
        <w:t xml:space="preserve"> necessary </w:t>
      </w:r>
      <w:r>
        <w:rPr>
          <w:rFonts w:cs="Times New Roman"/>
          <w:iCs/>
        </w:rPr>
        <w:t>to</w:t>
      </w:r>
      <w:r w:rsidR="009B7D2D">
        <w:rPr>
          <w:rFonts w:cs="Times New Roman"/>
          <w:iCs/>
        </w:rPr>
        <w:t xml:space="preserve"> incorporat</w:t>
      </w:r>
      <w:r>
        <w:rPr>
          <w:rFonts w:cs="Times New Roman"/>
          <w:iCs/>
        </w:rPr>
        <w:t xml:space="preserve">e </w:t>
      </w:r>
      <w:r w:rsidR="009B7D2D">
        <w:rPr>
          <w:rFonts w:cs="Times New Roman"/>
          <w:iCs/>
        </w:rPr>
        <w:t xml:space="preserve">density dependence processes. </w:t>
      </w:r>
      <w:r w:rsidR="00930C91">
        <w:rPr>
          <w:rFonts w:cs="Times New Roman"/>
          <w:iCs/>
        </w:rPr>
        <w:t xml:space="preserve">The </w:t>
      </w:r>
      <w:r>
        <w:rPr>
          <w:rFonts w:cs="Times New Roman"/>
          <w:iCs/>
        </w:rPr>
        <w:t>effects</w:t>
      </w:r>
      <w:r w:rsidR="00930C91">
        <w:rPr>
          <w:rFonts w:cs="Times New Roman"/>
          <w:iCs/>
        </w:rPr>
        <w:t xml:space="preserve"> of density dependence were calculated at a spatial scale of 2 x 2 m (see </w:t>
      </w:r>
      <w:r w:rsidR="000435C7" w:rsidRPr="002C53DC">
        <w:rPr>
          <w:rFonts w:cs="Times New Roman"/>
          <w:iCs/>
        </w:rPr>
        <w:lastRenderedPageBreak/>
        <w:t xml:space="preserve">Online Resources </w:t>
      </w:r>
      <w:r w:rsidR="00B0372F">
        <w:rPr>
          <w:rFonts w:cs="Times New Roman"/>
          <w:iCs/>
        </w:rPr>
        <w:t>– Appendix 2</w:t>
      </w:r>
      <w:r w:rsidR="00930C91">
        <w:rPr>
          <w:rFonts w:cs="Times New Roman"/>
          <w:iCs/>
        </w:rPr>
        <w:t xml:space="preserve"> for details) and therefore carrying capacity was measured as the number of 2 x 2 m cells within the 20 x 20 km patch that have suitable </w:t>
      </w:r>
      <w:r w:rsidR="00930C91">
        <w:rPr>
          <w:rFonts w:eastAsiaTheme="minorEastAsia" w:cs="Times New Roman"/>
          <w:i/>
          <w:iCs/>
        </w:rPr>
        <w:t xml:space="preserve">F. </w:t>
      </w:r>
      <w:proofErr w:type="spellStart"/>
      <w:r w:rsidR="00930C91">
        <w:rPr>
          <w:rFonts w:eastAsiaTheme="minorEastAsia" w:cs="Times New Roman"/>
          <w:i/>
          <w:iCs/>
        </w:rPr>
        <w:t>alnus</w:t>
      </w:r>
      <w:proofErr w:type="spellEnd"/>
      <w:r w:rsidR="00930C91">
        <w:rPr>
          <w:rFonts w:eastAsiaTheme="minorEastAsia" w:cs="Times New Roman"/>
          <w:i/>
          <w:iCs/>
        </w:rPr>
        <w:t xml:space="preserve"> </w:t>
      </w:r>
      <w:r w:rsidR="00930C91">
        <w:rPr>
          <w:rFonts w:eastAsiaTheme="minorEastAsia" w:cs="Times New Roman"/>
          <w:iCs/>
        </w:rPr>
        <w:t xml:space="preserve">habitat. </w:t>
      </w:r>
      <w:r w:rsidR="00930C91" w:rsidRPr="00DD5377">
        <w:rPr>
          <w:rFonts w:cs="Times New Roman"/>
          <w:iCs/>
        </w:rPr>
        <w:t xml:space="preserve">I assumed that the maximum carrying capacity of </w:t>
      </w:r>
      <w:r w:rsidR="00930C91">
        <w:rPr>
          <w:rFonts w:cs="Times New Roman"/>
          <w:iCs/>
        </w:rPr>
        <w:t xml:space="preserve">a patch </w:t>
      </w:r>
      <w:r w:rsidR="00930C91" w:rsidRPr="00DD5377">
        <w:rPr>
          <w:rFonts w:cs="Times New Roman"/>
          <w:iCs/>
        </w:rPr>
        <w:t xml:space="preserve">was the total number of 2 x 2 m cells contained by a 20 x 20 km cell (i.e., 100,000,000 </w:t>
      </w:r>
      <w:r w:rsidR="00930C91">
        <w:rPr>
          <w:rFonts w:cs="Times New Roman"/>
          <w:iCs/>
        </w:rPr>
        <w:t>cells</w:t>
      </w:r>
      <w:r w:rsidR="00930C91" w:rsidRPr="00DD5377">
        <w:rPr>
          <w:rFonts w:cs="Times New Roman"/>
          <w:iCs/>
        </w:rPr>
        <w:t>)</w:t>
      </w:r>
      <w:r w:rsidR="00930C91">
        <w:rPr>
          <w:rFonts w:cs="Times New Roman"/>
          <w:iCs/>
        </w:rPr>
        <w:t xml:space="preserve">. This value was multiplied by the </w:t>
      </w:r>
      <w:r w:rsidR="00824736">
        <w:rPr>
          <w:rFonts w:cs="Times New Roman"/>
          <w:iCs/>
        </w:rPr>
        <w:t>SDM logistic output</w:t>
      </w:r>
      <w:r w:rsidR="00930C91">
        <w:rPr>
          <w:rFonts w:cs="Times New Roman"/>
          <w:iCs/>
        </w:rPr>
        <w:t xml:space="preserve"> value of the patch to yield the total number of cells with suitable </w:t>
      </w:r>
      <w:r w:rsidR="00930C91">
        <w:rPr>
          <w:rFonts w:eastAsiaTheme="minorEastAsia" w:cs="Times New Roman"/>
          <w:i/>
          <w:iCs/>
        </w:rPr>
        <w:t xml:space="preserve">F. </w:t>
      </w:r>
      <w:proofErr w:type="spellStart"/>
      <w:r w:rsidR="00930C91">
        <w:rPr>
          <w:rFonts w:eastAsiaTheme="minorEastAsia" w:cs="Times New Roman"/>
          <w:i/>
          <w:iCs/>
        </w:rPr>
        <w:t>alnus</w:t>
      </w:r>
      <w:proofErr w:type="spellEnd"/>
      <w:r w:rsidR="00930C91">
        <w:rPr>
          <w:rFonts w:eastAsiaTheme="minorEastAsia" w:cs="Times New Roman"/>
          <w:i/>
          <w:iCs/>
        </w:rPr>
        <w:t xml:space="preserve"> </w:t>
      </w:r>
      <w:r w:rsidR="00930C91">
        <w:rPr>
          <w:rFonts w:eastAsiaTheme="minorEastAsia" w:cs="Times New Roman"/>
          <w:iCs/>
        </w:rPr>
        <w:t xml:space="preserve">habitat. </w:t>
      </w:r>
      <w:r w:rsidR="00824736">
        <w:rPr>
          <w:rFonts w:eastAsiaTheme="minorEastAsia" w:cs="Times New Roman"/>
          <w:iCs/>
        </w:rPr>
        <w:t>The logistic output of</w:t>
      </w:r>
      <w:r w:rsidR="00FB05FB">
        <w:rPr>
          <w:rFonts w:eastAsiaTheme="minorEastAsia" w:cs="Times New Roman"/>
          <w:iCs/>
        </w:rPr>
        <w:t xml:space="preserve"> SDMs </w:t>
      </w:r>
      <w:r>
        <w:rPr>
          <w:rFonts w:eastAsiaTheme="minorEastAsia" w:cs="Times New Roman"/>
          <w:iCs/>
        </w:rPr>
        <w:t>can</w:t>
      </w:r>
      <w:r w:rsidR="00FB05FB">
        <w:rPr>
          <w:rFonts w:eastAsiaTheme="minorEastAsia" w:cs="Times New Roman"/>
          <w:iCs/>
        </w:rPr>
        <w:t xml:space="preserve"> adequate</w:t>
      </w:r>
      <w:r>
        <w:rPr>
          <w:rFonts w:eastAsiaTheme="minorEastAsia" w:cs="Times New Roman"/>
          <w:iCs/>
        </w:rPr>
        <w:t>ly</w:t>
      </w:r>
      <w:r w:rsidR="00FB05FB">
        <w:rPr>
          <w:rFonts w:eastAsiaTheme="minorEastAsia" w:cs="Times New Roman"/>
          <w:iCs/>
        </w:rPr>
        <w:t xml:space="preserve"> estimate population carrying capacity</w:t>
      </w:r>
      <w:r w:rsidR="00356392">
        <w:rPr>
          <w:rFonts w:eastAsiaTheme="minorEastAsia" w:cs="Times New Roman"/>
          <w:iCs/>
        </w:rPr>
        <w:t xml:space="preserve"> </w:t>
      </w:r>
      <w:r w:rsidR="00BC2D5C" w:rsidRPr="00BC2D5C">
        <w:rPr>
          <w:rFonts w:cs="Times New Roman"/>
        </w:rPr>
        <w:t>(</w:t>
      </w:r>
      <w:proofErr w:type="spellStart"/>
      <w:r w:rsidR="00BC2D5C" w:rsidRPr="00BC2D5C">
        <w:rPr>
          <w:rFonts w:cs="Times New Roman"/>
        </w:rPr>
        <w:t>VanDerWal</w:t>
      </w:r>
      <w:proofErr w:type="spellEnd"/>
      <w:r w:rsidR="00BC2D5C" w:rsidRPr="00BC2D5C">
        <w:rPr>
          <w:rFonts w:cs="Times New Roman"/>
        </w:rPr>
        <w:t xml:space="preserve"> et al. 2009)</w:t>
      </w:r>
      <w:r w:rsidR="00FB05FB">
        <w:rPr>
          <w:rFonts w:eastAsiaTheme="minorEastAsia" w:cs="Times New Roman"/>
          <w:iCs/>
        </w:rPr>
        <w:t xml:space="preserve">. </w:t>
      </w:r>
      <w:r w:rsidR="00930C91">
        <w:rPr>
          <w:rFonts w:eastAsiaTheme="minorEastAsia" w:cs="Times New Roman"/>
          <w:iCs/>
        </w:rPr>
        <w:t xml:space="preserve">To </w:t>
      </w:r>
      <w:r w:rsidR="006A2E17">
        <w:rPr>
          <w:rFonts w:eastAsiaTheme="minorEastAsia" w:cs="Times New Roman"/>
          <w:iCs/>
        </w:rPr>
        <w:t>test how sensitive my model was to this assumption, I treated these values as a high carrying capacity scenario, and created medium and low scenarios by multiplying this number</w:t>
      </w:r>
      <w:r w:rsidR="00DB25D9">
        <w:rPr>
          <w:rFonts w:eastAsiaTheme="minorEastAsia" w:cs="Times New Roman"/>
          <w:iCs/>
        </w:rPr>
        <w:t xml:space="preserve"> by 0.5 and </w:t>
      </w:r>
      <w:r w:rsidR="00DB25D9" w:rsidRPr="003B6AD1">
        <w:rPr>
          <w:rFonts w:eastAsiaTheme="minorEastAsia" w:cs="Times New Roman"/>
          <w:iCs/>
        </w:rPr>
        <w:t>0.25, respectively</w:t>
      </w:r>
      <w:r w:rsidR="00DB25D9" w:rsidRPr="002C53DC">
        <w:rPr>
          <w:rFonts w:eastAsiaTheme="minorEastAsia" w:cs="Times New Roman"/>
          <w:iCs/>
        </w:rPr>
        <w:t>.</w:t>
      </w:r>
      <w:r w:rsidR="002C53DC">
        <w:rPr>
          <w:rFonts w:eastAsiaTheme="minorEastAsia" w:cs="Times New Roman"/>
          <w:iCs/>
        </w:rPr>
        <w:t xml:space="preserve"> Related estimates for carrying capacity were calculated for an alternative ceiling type density dependence model by multiplying the number of cells deemed suitable in a patch by 40, which is approximately the number of individuals observed in the most dense 2 x 2 m plots in my field observations.</w:t>
      </w:r>
    </w:p>
    <w:p w14:paraId="4F2B96EE" w14:textId="77777777" w:rsidR="00FF24C7" w:rsidRPr="004E5F17" w:rsidRDefault="00FF24C7" w:rsidP="008579EE">
      <w:pPr>
        <w:spacing w:line="480" w:lineRule="auto"/>
        <w:rPr>
          <w:b/>
          <w:bCs/>
          <w:iCs/>
        </w:rPr>
      </w:pPr>
      <w:r w:rsidRPr="004E5F17">
        <w:rPr>
          <w:b/>
          <w:bCs/>
          <w:iCs/>
        </w:rPr>
        <w:t>Exploring parameter space via global sensitivity analysis</w:t>
      </w:r>
    </w:p>
    <w:p w14:paraId="564A1388" w14:textId="237F5884" w:rsidR="00FF24C7" w:rsidRPr="008101FF" w:rsidRDefault="00FF24C7" w:rsidP="008579EE">
      <w:pPr>
        <w:spacing w:line="480" w:lineRule="auto"/>
        <w:ind w:firstLine="720"/>
      </w:pPr>
      <w:r>
        <w:t xml:space="preserve">I applied </w:t>
      </w:r>
      <w:r w:rsidR="006F48A0">
        <w:t>a global sensitivity analysis (GSA) approach</w:t>
      </w:r>
      <w:r>
        <w:t xml:space="preserve"> to examine parameter uncertainty space and find regions of this space resulting in simulations closely match</w:t>
      </w:r>
      <w:r w:rsidR="0007654D">
        <w:t>ing</w:t>
      </w:r>
      <w:r>
        <w:t xml:space="preserve"> </w:t>
      </w:r>
      <w:r w:rsidR="006F48A0">
        <w:t xml:space="preserve">the </w:t>
      </w:r>
      <w:r>
        <w:t>patterns of historical occurrences</w:t>
      </w:r>
      <w:r w:rsidR="00356392">
        <w:t xml:space="preserve"> </w:t>
      </w:r>
      <w:r w:rsidR="00BC2D5C" w:rsidRPr="00BC2D5C">
        <w:rPr>
          <w:rFonts w:cs="Times New Roman"/>
        </w:rPr>
        <w:t xml:space="preserve">(Aiello-Lammens and </w:t>
      </w:r>
      <w:proofErr w:type="spellStart"/>
      <w:r w:rsidR="00BC2D5C" w:rsidRPr="00BC2D5C">
        <w:rPr>
          <w:rFonts w:cs="Times New Roman"/>
        </w:rPr>
        <w:t>Resit</w:t>
      </w:r>
      <w:proofErr w:type="spellEnd"/>
      <w:r w:rsidR="00BC2D5C" w:rsidRPr="00BC2D5C">
        <w:rPr>
          <w:rFonts w:cs="Times New Roman"/>
        </w:rPr>
        <w:t xml:space="preserve"> </w:t>
      </w:r>
      <w:proofErr w:type="spellStart"/>
      <w:r w:rsidR="00BC2D5C" w:rsidRPr="00BC2D5C">
        <w:rPr>
          <w:rFonts w:cs="Times New Roman"/>
        </w:rPr>
        <w:t>Akçakaya</w:t>
      </w:r>
      <w:proofErr w:type="spellEnd"/>
      <w:r w:rsidR="00BC2D5C" w:rsidRPr="00BC2D5C">
        <w:rPr>
          <w:rFonts w:cs="Times New Roman"/>
        </w:rPr>
        <w:t xml:space="preserve"> 2017)</w:t>
      </w:r>
      <w:r>
        <w:t>.</w:t>
      </w:r>
      <w:r>
        <w:rPr>
          <w:rFonts w:cs="Times New Roman"/>
          <w:iCs/>
        </w:rPr>
        <w:t xml:space="preserve"> Additionally, I examined the relative influence of input parameter variation on measures of simulation fit. I generated 500 </w:t>
      </w:r>
      <w:r w:rsidR="00BB23C0">
        <w:rPr>
          <w:rFonts w:cs="Times New Roman"/>
          <w:iCs/>
        </w:rPr>
        <w:t xml:space="preserve">random </w:t>
      </w:r>
      <w:r>
        <w:rPr>
          <w:rFonts w:cs="Times New Roman"/>
          <w:iCs/>
        </w:rPr>
        <w:t xml:space="preserve">parameter sets comprised of </w:t>
      </w:r>
      <w:r w:rsidR="00773DE8">
        <w:rPr>
          <w:rFonts w:cs="Times New Roman"/>
          <w:iCs/>
        </w:rPr>
        <w:t>eight</w:t>
      </w:r>
      <w:r>
        <w:rPr>
          <w:rFonts w:cs="Times New Roman"/>
          <w:iCs/>
        </w:rPr>
        <w:t xml:space="preserve"> continuous and one categorical input parameters (</w:t>
      </w:r>
      <w:r w:rsidRPr="00335464">
        <w:rPr>
          <w:rFonts w:cs="Times New Roman"/>
          <w:iCs/>
        </w:rPr>
        <w:t>Table 2</w:t>
      </w:r>
      <w:r>
        <w:rPr>
          <w:rFonts w:cs="Times New Roman"/>
          <w:iCs/>
        </w:rPr>
        <w:t xml:space="preserve">). Parameter bounds were estimated via analysis of collected field data, </w:t>
      </w:r>
      <w:r w:rsidR="00BB23C0">
        <w:rPr>
          <w:rFonts w:cs="Times New Roman"/>
          <w:iCs/>
        </w:rPr>
        <w:t>estimates</w:t>
      </w:r>
      <w:r>
        <w:rPr>
          <w:rFonts w:cs="Times New Roman"/>
          <w:iCs/>
        </w:rPr>
        <w:t xml:space="preserve"> culled from published literature, and descriptions of </w:t>
      </w:r>
      <w:r>
        <w:rPr>
          <w:rFonts w:cs="Times New Roman"/>
          <w:i/>
          <w:iCs/>
        </w:rPr>
        <w:t xml:space="preserve">F. </w:t>
      </w:r>
      <w:proofErr w:type="spellStart"/>
      <w:r>
        <w:rPr>
          <w:rFonts w:cs="Times New Roman"/>
          <w:i/>
          <w:iCs/>
        </w:rPr>
        <w:t>alnus</w:t>
      </w:r>
      <w:proofErr w:type="spellEnd"/>
      <w:r>
        <w:rPr>
          <w:rFonts w:cs="Times New Roman"/>
          <w:iCs/>
        </w:rPr>
        <w:t xml:space="preserve"> ecology. Additional details </w:t>
      </w:r>
      <w:r w:rsidR="00146B20">
        <w:rPr>
          <w:rFonts w:cs="Times New Roman"/>
          <w:iCs/>
        </w:rPr>
        <w:t>on</w:t>
      </w:r>
      <w:r>
        <w:rPr>
          <w:rFonts w:cs="Times New Roman"/>
          <w:iCs/>
        </w:rPr>
        <w:t xml:space="preserve"> these estimates are provided in the </w:t>
      </w:r>
      <w:r w:rsidR="00720151" w:rsidRPr="00CD1240">
        <w:rPr>
          <w:rFonts w:cs="Times New Roman"/>
          <w:iCs/>
        </w:rPr>
        <w:t>Online Resources</w:t>
      </w:r>
      <w:r w:rsidR="00F46BFE">
        <w:rPr>
          <w:rFonts w:cs="Times New Roman"/>
          <w:iCs/>
        </w:rPr>
        <w:t xml:space="preserve"> – Appendix 4</w:t>
      </w:r>
      <w:r>
        <w:rPr>
          <w:rFonts w:cs="Times New Roman"/>
          <w:iCs/>
        </w:rPr>
        <w:t xml:space="preserve">. To examine the impact of two structural model changes, the functional description of density dependence and changes in land-use through time, I created four simulations for each of the 500 parameter sets representing all </w:t>
      </w:r>
      <w:r>
        <w:rPr>
          <w:rFonts w:cs="Times New Roman"/>
          <w:iCs/>
        </w:rPr>
        <w:lastRenderedPageBreak/>
        <w:t>model structure combinations: ceiling density dependence + land-use change, ceiling density dependence + no land-use change, effective density dependence + land-use change, and effective density</w:t>
      </w:r>
      <w:r w:rsidR="00BB23C0">
        <w:rPr>
          <w:rFonts w:cs="Times New Roman"/>
          <w:iCs/>
        </w:rPr>
        <w:t xml:space="preserve"> dependence</w:t>
      </w:r>
      <w:r>
        <w:rPr>
          <w:rFonts w:cs="Times New Roman"/>
          <w:iCs/>
        </w:rPr>
        <w:t xml:space="preserve"> + no land-use change. In total, 2000 matched simulation models were constructed. Each simulation was run for 100 years (1910 to 2010) with ten replications, which were used to estimate within simulation variability. </w:t>
      </w:r>
      <w:r>
        <w:t>In addition to these 2000 simulations, I constructed and ran 1000 additional simulations, which focused on comparing the two LDD scenarios. For these simulations, 500 new parameter sets were sampled and two simulations each were run, both using effective density dependence + land-use change, but differing on the LDD scenario applied. Thus, these two sets of 500 simulations were matched to each other, but not to the other 2000 simulations.</w:t>
      </w:r>
    </w:p>
    <w:p w14:paraId="72DC37E6" w14:textId="2D738E96" w:rsidR="00FF24C7" w:rsidRPr="0072431B" w:rsidRDefault="00FF24C7" w:rsidP="008579EE">
      <w:pPr>
        <w:spacing w:line="480" w:lineRule="auto"/>
        <w:ind w:firstLine="720"/>
        <w:rPr>
          <w:rFonts w:cs="Times New Roman"/>
          <w:iCs/>
        </w:rPr>
      </w:pPr>
      <w:r>
        <w:rPr>
          <w:rFonts w:cs="Times New Roman"/>
          <w:iCs/>
        </w:rPr>
        <w:t xml:space="preserve">Model evaluation metrics, described below, were calculated for each simulation. Additionally, changes in model endpoints due to structural differences in the models were calculated based on pair-wise comparisons </w:t>
      </w:r>
      <w:r w:rsidR="00CD1240">
        <w:rPr>
          <w:rFonts w:cs="Times New Roman"/>
          <w:iCs/>
        </w:rPr>
        <w:t xml:space="preserve">- </w:t>
      </w:r>
      <w:r>
        <w:rPr>
          <w:rFonts w:cs="Times New Roman"/>
          <w:iCs/>
        </w:rPr>
        <w:t>i.e., comparisons among the four simulations with matched input parameter sets</w:t>
      </w:r>
      <w:r w:rsidR="009B03F2">
        <w:rPr>
          <w:rFonts w:cs="Times New Roman"/>
          <w:iCs/>
        </w:rPr>
        <w:t xml:space="preserve"> </w:t>
      </w:r>
      <w:proofErr w:type="spellStart"/>
      <w:r w:rsidR="009B03F2">
        <w:rPr>
          <w:rFonts w:cs="Times New Roman"/>
          <w:i/>
        </w:rPr>
        <w:t>sensu</w:t>
      </w:r>
      <w:proofErr w:type="spellEnd"/>
      <w:r w:rsidR="00356392">
        <w:rPr>
          <w:rFonts w:cs="Times New Roman"/>
          <w:iCs/>
        </w:rPr>
        <w:t xml:space="preserve"> </w:t>
      </w:r>
      <w:r w:rsidR="00BC2D5C" w:rsidRPr="00BC2D5C">
        <w:rPr>
          <w:rFonts w:cs="Times New Roman"/>
        </w:rPr>
        <w:t xml:space="preserve">(Aiello-Lammens and </w:t>
      </w:r>
      <w:proofErr w:type="spellStart"/>
      <w:r w:rsidR="00BC2D5C" w:rsidRPr="00BC2D5C">
        <w:rPr>
          <w:rFonts w:cs="Times New Roman"/>
        </w:rPr>
        <w:t>Resit</w:t>
      </w:r>
      <w:proofErr w:type="spellEnd"/>
      <w:r w:rsidR="00BC2D5C" w:rsidRPr="00BC2D5C">
        <w:rPr>
          <w:rFonts w:cs="Times New Roman"/>
        </w:rPr>
        <w:t xml:space="preserve"> </w:t>
      </w:r>
      <w:proofErr w:type="spellStart"/>
      <w:r w:rsidR="00BC2D5C" w:rsidRPr="00BC2D5C">
        <w:rPr>
          <w:rFonts w:cs="Times New Roman"/>
        </w:rPr>
        <w:t>Akçakaya</w:t>
      </w:r>
      <w:proofErr w:type="spellEnd"/>
      <w:r w:rsidR="00BC2D5C" w:rsidRPr="00BC2D5C">
        <w:rPr>
          <w:rFonts w:cs="Times New Roman"/>
        </w:rPr>
        <w:t xml:space="preserve"> 2017)</w:t>
      </w:r>
      <w:r>
        <w:rPr>
          <w:rFonts w:cs="Times New Roman"/>
          <w:iCs/>
        </w:rPr>
        <w:t xml:space="preserve">. </w:t>
      </w:r>
      <w:r>
        <w:t>I used boosted regression tree analysis to calculate the relative influence of varying input parameters on model evaluation metrics</w:t>
      </w:r>
      <w:r w:rsidR="00C256EF">
        <w:t xml:space="preserve"> and to establish</w:t>
      </w:r>
      <w:r>
        <w:t xml:space="preserve"> univariate and bivariate response curves </w:t>
      </w:r>
      <w:r w:rsidR="00C256EF">
        <w:t>of the relationships between</w:t>
      </w:r>
      <w:r>
        <w:t xml:space="preserve"> input parameter values and model evaluation metrics. Boosted regression tree analysis is a flexible machine learning analysis method that performs well at fitting complex response curves with mixed types of predictor variables</w:t>
      </w:r>
      <w:r w:rsidR="00A7740D">
        <w:t xml:space="preserve"> </w:t>
      </w:r>
      <w:r w:rsidR="00BC2D5C" w:rsidRPr="00BC2D5C">
        <w:rPr>
          <w:rFonts w:cs="Times New Roman"/>
        </w:rPr>
        <w:t>(</w:t>
      </w:r>
      <w:proofErr w:type="spellStart"/>
      <w:r w:rsidR="00BC2D5C" w:rsidRPr="00BC2D5C">
        <w:rPr>
          <w:rFonts w:cs="Times New Roman"/>
        </w:rPr>
        <w:t>Elith</w:t>
      </w:r>
      <w:proofErr w:type="spellEnd"/>
      <w:r w:rsidR="00BC2D5C" w:rsidRPr="00BC2D5C">
        <w:rPr>
          <w:rFonts w:cs="Times New Roman"/>
        </w:rPr>
        <w:t xml:space="preserve"> et al. 2008)</w:t>
      </w:r>
      <w:r>
        <w:t xml:space="preserve">. Previous sensitivity analyses </w:t>
      </w:r>
      <w:r w:rsidR="00A87297" w:rsidRPr="00A87297">
        <w:rPr>
          <w:rFonts w:cs="Times New Roman"/>
        </w:rPr>
        <w:t>(Prowse et al. 2013; Coutts and Yokomizo 2013; Aiello-Lammens and Resit Akçakaya 2017)</w:t>
      </w:r>
      <w:r w:rsidR="00A7740D">
        <w:t xml:space="preserve"> </w:t>
      </w:r>
      <w:r>
        <w:t xml:space="preserve">have demonstrated this methods utility in this context. </w:t>
      </w:r>
      <w:r>
        <w:rPr>
          <w:rFonts w:cs="Times New Roman"/>
          <w:iCs/>
        </w:rPr>
        <w:t xml:space="preserve">I examined the response curves and relative influence values to determine the parameter values that best matched the historic occurrence patterns for </w:t>
      </w:r>
      <w:r>
        <w:rPr>
          <w:rFonts w:cs="Times New Roman"/>
          <w:i/>
          <w:iCs/>
        </w:rPr>
        <w:t xml:space="preserve">F. </w:t>
      </w:r>
      <w:proofErr w:type="spellStart"/>
      <w:r>
        <w:rPr>
          <w:rFonts w:cs="Times New Roman"/>
          <w:i/>
          <w:iCs/>
        </w:rPr>
        <w:t>alnus</w:t>
      </w:r>
      <w:proofErr w:type="spellEnd"/>
      <w:r>
        <w:rPr>
          <w:rFonts w:cs="Times New Roman"/>
          <w:i/>
          <w:iCs/>
        </w:rPr>
        <w:t>.</w:t>
      </w:r>
    </w:p>
    <w:p w14:paraId="00E8BF4D" w14:textId="2C1119F4" w:rsidR="00FF24C7" w:rsidRPr="00ED6FDB" w:rsidRDefault="00FF24C7" w:rsidP="008579EE">
      <w:pPr>
        <w:spacing w:line="480" w:lineRule="auto"/>
        <w:ind w:firstLine="720"/>
        <w:rPr>
          <w:rFonts w:eastAsiaTheme="minorEastAsia" w:cs="Times New Roman"/>
        </w:rPr>
      </w:pPr>
      <w:r>
        <w:lastRenderedPageBreak/>
        <w:t xml:space="preserve">I </w:t>
      </w:r>
      <w:r w:rsidR="00E62AC1">
        <w:t>used a</w:t>
      </w:r>
      <w:r w:rsidR="009A55DF">
        <w:t xml:space="preserve"> confusion matrix </w:t>
      </w:r>
      <w:r w:rsidR="00E62AC1">
        <w:t>approach</w:t>
      </w:r>
      <w:r w:rsidR="00716036">
        <w:t xml:space="preserve"> </w:t>
      </w:r>
      <w:r w:rsidR="00BC2D5C" w:rsidRPr="00BC2D5C">
        <w:rPr>
          <w:rFonts w:cs="Times New Roman"/>
        </w:rPr>
        <w:t>(Fielding and Bell 1997)</w:t>
      </w:r>
      <w:r w:rsidR="00E62AC1">
        <w:t xml:space="preserve"> </w:t>
      </w:r>
      <w:r w:rsidR="00E62AC1">
        <w:rPr>
          <w:noProof/>
        </w:rPr>
        <w:t>to</w:t>
      </w:r>
      <w:r>
        <w:t xml:space="preserve"> evaluat</w:t>
      </w:r>
      <w:r w:rsidR="00E62AC1">
        <w:t>e</w:t>
      </w:r>
      <w:r>
        <w:t xml:space="preserve"> how well simulations matched the historic pattern of spread of </w:t>
      </w:r>
      <w:r>
        <w:rPr>
          <w:rFonts w:cs="Times New Roman"/>
          <w:i/>
          <w:iCs/>
        </w:rPr>
        <w:t xml:space="preserve">F. </w:t>
      </w:r>
      <w:proofErr w:type="spellStart"/>
      <w:r>
        <w:rPr>
          <w:rFonts w:cs="Times New Roman"/>
          <w:i/>
          <w:iCs/>
        </w:rPr>
        <w:t>alnus</w:t>
      </w:r>
      <w:proofErr w:type="spellEnd"/>
      <w:r>
        <w:rPr>
          <w:rFonts w:cs="Times New Roman"/>
          <w:i/>
          <w:iCs/>
        </w:rPr>
        <w:t xml:space="preserve"> </w:t>
      </w:r>
      <w:r w:rsidR="00BB23C0">
        <w:rPr>
          <w:rFonts w:cs="Times New Roman"/>
          <w:iCs/>
        </w:rPr>
        <w:t>(</w:t>
      </w:r>
      <w:r w:rsidRPr="001B1BB2">
        <w:rPr>
          <w:rFonts w:cs="Times New Roman"/>
          <w:iCs/>
        </w:rPr>
        <w:t>as described in</w:t>
      </w:r>
      <w:r w:rsidR="00716036">
        <w:rPr>
          <w:rFonts w:cs="Times New Roman"/>
          <w:iCs/>
        </w:rPr>
        <w:t xml:space="preserve"> </w:t>
      </w:r>
      <w:r w:rsidR="00BC2D5C" w:rsidRPr="00BC2D5C">
        <w:rPr>
          <w:rFonts w:cs="Times New Roman"/>
        </w:rPr>
        <w:t>Aiello-Lammens 2014)</w:t>
      </w:r>
      <w:r>
        <w:t xml:space="preserve">. </w:t>
      </w:r>
      <w:r w:rsidR="00BD4C44">
        <w:t xml:space="preserve">Using historic occurrence records as true presences, I calculated </w:t>
      </w:r>
      <w:r>
        <w:rPr>
          <w:rFonts w:eastAsiaTheme="minorEastAsia" w:cs="Times New Roman"/>
        </w:rPr>
        <w:t>positive predictive power and</w:t>
      </w:r>
      <w:r w:rsidR="00BD4C44">
        <w:rPr>
          <w:rFonts w:eastAsiaTheme="minorEastAsia" w:cs="Times New Roman"/>
        </w:rPr>
        <w:t xml:space="preserve"> </w:t>
      </w:r>
      <w:r>
        <w:rPr>
          <w:rFonts w:eastAsiaTheme="minorEastAsia" w:cs="Times New Roman"/>
        </w:rPr>
        <w:t xml:space="preserve">sensitivity for each time step in the model simulations, resulting in 100 values </w:t>
      </w:r>
      <w:r w:rsidR="002A5F68">
        <w:rPr>
          <w:rFonts w:eastAsiaTheme="minorEastAsia" w:cs="Times New Roman"/>
        </w:rPr>
        <w:t>of</w:t>
      </w:r>
      <w:r>
        <w:rPr>
          <w:rFonts w:eastAsiaTheme="minorEastAsia" w:cs="Times New Roman"/>
        </w:rPr>
        <w:t xml:space="preserve"> each per simulation. For model evaluation purposes, I calculated the mean of these measures, yielding a mean sensitivity and mean positive predictive power value for each simulation. I calculated an additional model fit metric that combined sensitivity and positive predictive power. In the best model fit scenarios, both sensitivity and positive predictive power would be close to one. However, it is entirely possible to achieve sensitivity values close to 1 with simulations that predict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 xml:space="preserve">occurrence in nearly all patches. In this case, the positive predictive power would be very small (i.e., </w:t>
      </w:r>
      <m:oMath>
        <m:sSub>
          <m:sSubPr>
            <m:ctrlPr>
              <w:rPr>
                <w:rFonts w:ascii="Cambria Math" w:hAnsi="Cambria Math"/>
                <w:i/>
              </w:rPr>
            </m:ctrlPr>
          </m:sSubPr>
          <m:e>
            <m:r>
              <w:rPr>
                <w:rFonts w:ascii="Cambria Math" w:hAnsi="Cambria Math"/>
              </w:rPr>
              <m:t>Area</m:t>
            </m:r>
          </m:e>
          <m:sub>
            <m:r>
              <w:rPr>
                <w:rFonts w:ascii="Cambria Math" w:hAnsi="Cambria Math"/>
              </w:rPr>
              <m:t>Sim</m:t>
            </m:r>
          </m:sub>
        </m:sSub>
        <m:r>
          <w:rPr>
            <w:rFonts w:ascii="Cambria Math" w:hAnsi="Cambria Math"/>
          </w:rPr>
          <m:t xml:space="preserve"> ≫</m:t>
        </m:r>
        <m:sSub>
          <m:sSubPr>
            <m:ctrlPr>
              <w:rPr>
                <w:rFonts w:ascii="Cambria Math" w:hAnsi="Cambria Math"/>
                <w:i/>
              </w:rPr>
            </m:ctrlPr>
          </m:sSubPr>
          <m:e>
            <m:r>
              <w:rPr>
                <w:rFonts w:ascii="Cambria Math" w:hAnsi="Cambria Math"/>
              </w:rPr>
              <m:t>Area</m:t>
            </m:r>
          </m:e>
          <m:sub>
            <m:r>
              <w:rPr>
                <w:rFonts w:ascii="Cambria Math" w:hAnsi="Cambria Math"/>
              </w:rPr>
              <m:t>Sim</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Area</m:t>
                </m:r>
              </m:e>
              <m:sub>
                <m:r>
                  <w:rPr>
                    <w:rFonts w:ascii="Cambria Math" w:hAnsi="Cambria Math"/>
                  </w:rPr>
                  <m:t>Obs</m:t>
                </m:r>
              </m:sub>
            </m:sSub>
          </m:e>
        </m:nary>
      </m:oMath>
      <w:r>
        <w:rPr>
          <w:rFonts w:eastAsiaTheme="minorEastAsia" w:cs="Times New Roman"/>
        </w:rPr>
        <w:t xml:space="preserve">). </w:t>
      </w:r>
      <w:r w:rsidR="00D11A38">
        <w:rPr>
          <w:rFonts w:eastAsiaTheme="minorEastAsia" w:cs="Times New Roman"/>
        </w:rPr>
        <w:t xml:space="preserve">Thus, </w:t>
      </w:r>
      <w:r>
        <w:rPr>
          <w:rFonts w:eastAsiaTheme="minorEastAsia" w:cs="Times New Roman"/>
        </w:rPr>
        <w:t xml:space="preserve">I defined a </w:t>
      </w:r>
      <w:r w:rsidR="00E856E0">
        <w:rPr>
          <w:rFonts w:eastAsiaTheme="minorEastAsia" w:cs="Times New Roman"/>
        </w:rPr>
        <w:t xml:space="preserve">new </w:t>
      </w:r>
      <w:r w:rsidRPr="00E856E0">
        <w:rPr>
          <w:rFonts w:eastAsiaTheme="minorEastAsia" w:cs="Times New Roman"/>
        </w:rPr>
        <w:t>binary</w:t>
      </w:r>
      <w:r>
        <w:rPr>
          <w:rFonts w:eastAsiaTheme="minorEastAsia" w:cs="Times New Roman"/>
        </w:rPr>
        <w:t xml:space="preserve"> model fit metric</w:t>
      </w:r>
      <w:r w:rsidR="00E856E0">
        <w:rPr>
          <w:rFonts w:eastAsiaTheme="minorEastAsia" w:cs="Times New Roman"/>
        </w:rPr>
        <w:t xml:space="preserve"> based on</w:t>
      </w:r>
      <w:r>
        <w:rPr>
          <w:rFonts w:eastAsiaTheme="minorEastAsia" w:cs="Times New Roman"/>
        </w:rPr>
        <w:t xml:space="preserve"> </w:t>
      </w:r>
      <w:r w:rsidRPr="00E856E0">
        <w:rPr>
          <w:rFonts w:eastAsiaTheme="minorEastAsia" w:cs="Times New Roman"/>
          <w:bCs/>
        </w:rPr>
        <w:t>combined sensitivity and positive predictive power</w:t>
      </w:r>
      <w:r w:rsidR="00E856E0">
        <w:rPr>
          <w:rFonts w:eastAsiaTheme="minorEastAsia" w:cs="Times New Roman"/>
          <w:bCs/>
        </w:rPr>
        <w:t xml:space="preserve"> values</w:t>
      </w:r>
      <w:r w:rsidR="00E856E0" w:rsidRPr="00E856E0">
        <w:rPr>
          <w:rFonts w:eastAsiaTheme="minorEastAsia" w:cs="Times New Roman"/>
          <w:bCs/>
        </w:rPr>
        <w:t xml:space="preserve">, </w:t>
      </w:r>
      <w:r w:rsidRPr="00E856E0">
        <w:rPr>
          <w:rFonts w:eastAsiaTheme="minorEastAsia" w:cs="Times New Roman"/>
          <w:bCs/>
        </w:rPr>
        <w:t xml:space="preserve"> </w:t>
      </w:r>
      <w:r w:rsidR="00E856E0">
        <w:rPr>
          <w:rFonts w:eastAsiaTheme="minorEastAsia" w:cs="Times New Roman"/>
          <w:bCs/>
        </w:rPr>
        <w:t xml:space="preserve">and called this the </w:t>
      </w:r>
      <w:r>
        <w:rPr>
          <w:rFonts w:eastAsiaTheme="minorEastAsia" w:cs="Times New Roman"/>
        </w:rPr>
        <w:t>combined metric</w:t>
      </w:r>
      <w:r w:rsidR="00E856E0">
        <w:rPr>
          <w:rFonts w:eastAsiaTheme="minorEastAsia" w:cs="Times New Roman"/>
        </w:rPr>
        <w:t xml:space="preserve">. The combined metric took a value of </w:t>
      </w:r>
      <w:r>
        <w:rPr>
          <w:rFonts w:eastAsiaTheme="minorEastAsia" w:cs="Times New Roman"/>
        </w:rPr>
        <w:t xml:space="preserve">1 if mean sensitivity was greater than or equal to 0.5 </w:t>
      </w:r>
      <w:r w:rsidRPr="00E856E0">
        <w:rPr>
          <w:rFonts w:eastAsiaTheme="minorEastAsia" w:cs="Times New Roman"/>
          <w:i/>
        </w:rPr>
        <w:t>and</w:t>
      </w:r>
      <w:r w:rsidRPr="00E856E0">
        <w:rPr>
          <w:rFonts w:eastAsiaTheme="minorEastAsia" w:cs="Times New Roman"/>
        </w:rPr>
        <w:t xml:space="preserve"> </w:t>
      </w:r>
      <w:r>
        <w:rPr>
          <w:rFonts w:eastAsiaTheme="minorEastAsia" w:cs="Times New Roman"/>
        </w:rPr>
        <w:t xml:space="preserve">the difference between mean sensitivity and mean positive predictive power was less than or equal to 0.1, and 0 otherwise. This metric balances sensitivity with over prediction. </w:t>
      </w:r>
    </w:p>
    <w:p w14:paraId="056CEF41" w14:textId="55A05774" w:rsidR="00FF24C7" w:rsidRPr="00E81286" w:rsidRDefault="00FF24C7" w:rsidP="00E81286">
      <w:pPr>
        <w:spacing w:line="480" w:lineRule="auto"/>
        <w:ind w:firstLine="720"/>
        <w:rPr>
          <w:rFonts w:cs="Times New Roman"/>
          <w:iCs/>
        </w:rPr>
      </w:pPr>
      <w:r>
        <w:rPr>
          <w:rFonts w:eastAsiaTheme="minorEastAsia"/>
        </w:rPr>
        <w:t xml:space="preserve">A major factor that can </w:t>
      </w:r>
      <w:r w:rsidR="002A5F68">
        <w:rPr>
          <w:rFonts w:eastAsiaTheme="minorEastAsia"/>
        </w:rPr>
        <w:t>effect</w:t>
      </w:r>
      <w:r>
        <w:rPr>
          <w:rFonts w:eastAsiaTheme="minorEastAsia"/>
        </w:rPr>
        <w:t xml:space="preserve"> model evaluation measures is the likelihood that a patch that is occupied by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is identified as such. With sim</w:t>
      </w:r>
      <w:r w:rsidR="002C7340">
        <w:rPr>
          <w:rFonts w:cs="Times New Roman"/>
          <w:iCs/>
        </w:rPr>
        <w:t>ulation data, it is possible to be certain that a</w:t>
      </w:r>
      <w:r>
        <w:rPr>
          <w:rFonts w:cs="Times New Roman"/>
          <w:iCs/>
        </w:rPr>
        <w:t xml:space="preserve"> patch is occupied </w:t>
      </w:r>
      <w:r w:rsidR="002C7340">
        <w:rPr>
          <w:rFonts w:cs="Times New Roman"/>
          <w:iCs/>
        </w:rPr>
        <w:t xml:space="preserve">or not </w:t>
      </w:r>
      <w:r>
        <w:rPr>
          <w:rFonts w:cs="Times New Roman"/>
          <w:iCs/>
        </w:rPr>
        <w:t xml:space="preserve">(i.e., patch population size is greater than zero); however, such perfect knowledge is </w:t>
      </w:r>
      <w:r w:rsidR="009A55DF">
        <w:rPr>
          <w:rFonts w:cs="Times New Roman"/>
          <w:iCs/>
        </w:rPr>
        <w:t>not realistic</w:t>
      </w:r>
      <w:r w:rsidR="00C76DB2">
        <w:rPr>
          <w:rFonts w:cs="Times New Roman"/>
          <w:iCs/>
        </w:rPr>
        <w:t xml:space="preserve"> in the field</w:t>
      </w:r>
      <w:r>
        <w:rPr>
          <w:rFonts w:cs="Times New Roman"/>
          <w:iCs/>
        </w:rPr>
        <w:t xml:space="preserve">. </w:t>
      </w:r>
      <w:r w:rsidR="00B10B30" w:rsidRPr="00626139">
        <w:rPr>
          <w:rFonts w:cs="Times New Roman"/>
          <w:iCs/>
        </w:rPr>
        <w:t>Species occurrence information gathered from natural history collections (e.g., herbariums) are subject to collection biases that may mis- or under-represent a species range</w:t>
      </w:r>
      <w:r w:rsidR="0052608D">
        <w:rPr>
          <w:rFonts w:cs="Times New Roman"/>
          <w:iCs/>
        </w:rPr>
        <w:t xml:space="preserve"> </w:t>
      </w:r>
      <w:r w:rsidR="00A87297">
        <w:rPr>
          <w:rFonts w:cs="Times New Roman"/>
        </w:rPr>
        <w:t>(Graham et al. 2004; Anderson 2012; Lavoie 2012)</w:t>
      </w:r>
      <w:r w:rsidR="00626139" w:rsidRPr="00626139">
        <w:rPr>
          <w:rFonts w:cs="Times New Roman"/>
          <w:iCs/>
        </w:rPr>
        <w:t>. T</w:t>
      </w:r>
      <w:r w:rsidR="00B10B30" w:rsidRPr="00626139">
        <w:rPr>
          <w:rFonts w:cs="Times New Roman"/>
          <w:iCs/>
        </w:rPr>
        <w:t>he detection and collection of invasive species in particular may lag behind its establishment in a novel region</w:t>
      </w:r>
      <w:r w:rsidR="0052608D">
        <w:rPr>
          <w:rFonts w:cs="Times New Roman"/>
          <w:iCs/>
        </w:rPr>
        <w:t xml:space="preserve"> </w:t>
      </w:r>
      <w:r w:rsidR="00BC2D5C" w:rsidRPr="00BC2D5C">
        <w:rPr>
          <w:rFonts w:cs="Times New Roman"/>
        </w:rPr>
        <w:t>(Crooks 2005)</w:t>
      </w:r>
      <w:r w:rsidR="00B10B30" w:rsidRPr="00626139">
        <w:rPr>
          <w:rFonts w:cs="Times New Roman"/>
          <w:iCs/>
        </w:rPr>
        <w:t>.</w:t>
      </w:r>
      <w:r w:rsidR="00B10B30">
        <w:rPr>
          <w:rFonts w:cs="Times New Roman"/>
          <w:iCs/>
        </w:rPr>
        <w:t xml:space="preserve"> </w:t>
      </w:r>
      <w:r>
        <w:rPr>
          <w:rFonts w:cs="Times New Roman"/>
          <w:iCs/>
        </w:rPr>
        <w:t xml:space="preserve">This can have a major effect on </w:t>
      </w:r>
      <w:r w:rsidR="002A5F68">
        <w:rPr>
          <w:rFonts w:cs="Times New Roman"/>
          <w:iCs/>
        </w:rPr>
        <w:t xml:space="preserve">whether or not </w:t>
      </w:r>
      <w:r>
        <w:rPr>
          <w:rFonts w:cs="Times New Roman"/>
          <w:iCs/>
        </w:rPr>
        <w:t xml:space="preserve">historical data </w:t>
      </w:r>
      <w:r>
        <w:rPr>
          <w:rFonts w:cs="Times New Roman"/>
          <w:iCs/>
        </w:rPr>
        <w:lastRenderedPageBreak/>
        <w:t xml:space="preserve">adequately represents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 xml:space="preserve">occurrence through time. For example,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 xml:space="preserve">occurrence </w:t>
      </w:r>
      <w:r w:rsidR="000A22B2">
        <w:rPr>
          <w:rFonts w:cs="Times New Roman"/>
          <w:iCs/>
        </w:rPr>
        <w:t>may</w:t>
      </w:r>
      <w:r>
        <w:rPr>
          <w:rFonts w:cs="Times New Roman"/>
          <w:iCs/>
        </w:rPr>
        <w:t xml:space="preserve"> not </w:t>
      </w:r>
      <w:r w:rsidR="000A22B2">
        <w:rPr>
          <w:rFonts w:cs="Times New Roman"/>
          <w:iCs/>
        </w:rPr>
        <w:t xml:space="preserve">have been </w:t>
      </w:r>
      <w:r>
        <w:rPr>
          <w:rFonts w:cs="Times New Roman"/>
          <w:iCs/>
        </w:rPr>
        <w:t>observed because plant density was not high enough for detection</w:t>
      </w:r>
      <w:r w:rsidR="000A22B2">
        <w:rPr>
          <w:rFonts w:cs="Times New Roman"/>
          <w:iCs/>
        </w:rPr>
        <w:t xml:space="preserve">. </w:t>
      </w:r>
      <w:r>
        <w:rPr>
          <w:rFonts w:cs="Times New Roman"/>
          <w:iCs/>
        </w:rPr>
        <w:t xml:space="preserve"> To account for this I used three </w:t>
      </w:r>
      <w:r w:rsidR="00B10B30" w:rsidRPr="00C76DB2">
        <w:rPr>
          <w:rFonts w:cs="Times New Roman"/>
          <w:bCs/>
          <w:iCs/>
        </w:rPr>
        <w:t>occupancy thresholds</w:t>
      </w:r>
      <w:r w:rsidR="00B10B30">
        <w:rPr>
          <w:rFonts w:cs="Times New Roman"/>
          <w:iCs/>
        </w:rPr>
        <w:t xml:space="preserve">, in which a </w:t>
      </w:r>
      <w:r>
        <w:rPr>
          <w:rFonts w:cs="Times New Roman"/>
          <w:iCs/>
        </w:rPr>
        <w:t xml:space="preserve">patch </w:t>
      </w:r>
      <w:r w:rsidR="00B10B30">
        <w:rPr>
          <w:rFonts w:cs="Times New Roman"/>
          <w:iCs/>
        </w:rPr>
        <w:t xml:space="preserve">was considered occupied if it had a </w:t>
      </w:r>
      <w:r>
        <w:rPr>
          <w:rFonts w:cs="Times New Roman"/>
          <w:iCs/>
        </w:rPr>
        <w:t>population size</w:t>
      </w:r>
      <w:r w:rsidR="00B10B30">
        <w:rPr>
          <w:rFonts w:cs="Times New Roman"/>
          <w:iCs/>
        </w:rPr>
        <w:t xml:space="preserve"> of</w:t>
      </w:r>
      <w:r w:rsidR="00E6254A">
        <w:rPr>
          <w:rFonts w:cs="Times New Roman"/>
          <w:iCs/>
        </w:rPr>
        <w:t xml:space="preserve"> at least</w:t>
      </w:r>
      <w:r w:rsidR="00B10B30">
        <w:rPr>
          <w:rFonts w:cs="Times New Roman"/>
          <w:iCs/>
        </w:rPr>
        <w:t xml:space="preserve"> 1, 1000, and 2000 individuals</w:t>
      </w:r>
      <w:r>
        <w:rPr>
          <w:rFonts w:cs="Times New Roman"/>
          <w:iCs/>
        </w:rPr>
        <w:t>. The values were chosen to represent perfect observation, to match the initial population sizes used in simulations, and to represent a density of approximately one reproductive plant per square kilometer in a 20 x 20 km patch, respectively.</w:t>
      </w:r>
      <w:bookmarkEnd w:id="1"/>
      <w:r>
        <w:br w:type="page"/>
      </w:r>
    </w:p>
    <w:p w14:paraId="3F2338A0" w14:textId="45AF4225" w:rsidR="00FF24C7" w:rsidRPr="00C87F16" w:rsidRDefault="00FF24C7" w:rsidP="008579EE">
      <w:pPr>
        <w:spacing w:line="480" w:lineRule="auto"/>
        <w:rPr>
          <w:b/>
          <w:color w:val="FF0000"/>
        </w:rPr>
      </w:pPr>
      <w:r w:rsidRPr="00403D24">
        <w:rPr>
          <w:b/>
        </w:rPr>
        <w:lastRenderedPageBreak/>
        <w:t>Results</w:t>
      </w:r>
    </w:p>
    <w:p w14:paraId="45402BD0" w14:textId="77777777" w:rsidR="00FF24C7" w:rsidRPr="00403D24" w:rsidRDefault="00FF24C7" w:rsidP="008579EE">
      <w:pPr>
        <w:spacing w:line="480" w:lineRule="auto"/>
        <w:rPr>
          <w:i/>
        </w:rPr>
      </w:pPr>
      <w:r w:rsidRPr="00403D24">
        <w:rPr>
          <w:i/>
        </w:rPr>
        <w:t>Demographic model and IPM kernel</w:t>
      </w:r>
    </w:p>
    <w:p w14:paraId="1086E59E" w14:textId="06CDF662" w:rsidR="00FF24C7" w:rsidRPr="00E62EA3" w:rsidRDefault="00E62EA3" w:rsidP="00E62EA3">
      <w:pPr>
        <w:spacing w:line="480" w:lineRule="auto"/>
        <w:ind w:firstLine="720"/>
        <w:rPr>
          <w:rFonts w:eastAsiaTheme="minorEastAsia" w:cs="Times New Roman"/>
          <w:iCs/>
        </w:rPr>
      </w:pPr>
      <w:r>
        <w:t>The</w:t>
      </w:r>
      <w:r w:rsidR="00FF24C7">
        <w:t xml:space="preserve"> IPM kernel </w:t>
      </w:r>
      <w:r>
        <w:t>was comprised of</w:t>
      </w:r>
      <w:r w:rsidR="00FF24C7">
        <w:t xml:space="preserve"> three regression models</w:t>
      </w:r>
      <w:r>
        <w:t xml:space="preserve">. </w:t>
      </w:r>
      <w:r w:rsidR="00FF24C7">
        <w:rPr>
          <w:rFonts w:cs="Times New Roman"/>
        </w:rPr>
        <w:t xml:space="preserve">The logistic regression of plant survival onto size resulted in fitted curves of </w:t>
      </w:r>
      <m:oMath>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s</m:t>
            </m:r>
          </m:num>
          <m:den>
            <m:r>
              <w:rPr>
                <w:rFonts w:ascii="Cambria Math" w:hAnsi="Cambria Math" w:cs="Times New Roman"/>
              </w:rPr>
              <m:t>1-s</m:t>
            </m:r>
          </m:den>
        </m:f>
        <m:r>
          <w:rPr>
            <w:rFonts w:ascii="Cambria Math" w:hAnsi="Cambria Math" w:cs="Times New Roman"/>
          </w:rPr>
          <m:t>=3.712+2.733 x</m:t>
        </m:r>
      </m:oMath>
      <w:r w:rsidR="00FF24C7" w:rsidRPr="00DD5377">
        <w:rPr>
          <w:rFonts w:cs="Times New Roman"/>
          <w:iCs/>
        </w:rPr>
        <w:t xml:space="preserve"> and </w:t>
      </w:r>
      <m:oMath>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s</m:t>
            </m:r>
          </m:num>
          <m:den>
            <m:r>
              <w:rPr>
                <w:rFonts w:ascii="Cambria Math" w:hAnsi="Cambria Math" w:cs="Times New Roman"/>
              </w:rPr>
              <m:t>1-s</m:t>
            </m:r>
          </m:den>
        </m:f>
        <m:r>
          <w:rPr>
            <w:rFonts w:ascii="Cambria Math" w:hAnsi="Cambria Math" w:cs="Times New Roman"/>
          </w:rPr>
          <m:t>=1.335+2.503 x</m:t>
        </m:r>
      </m:oMath>
      <w:r w:rsidR="00FF24C7" w:rsidRPr="00DD5377">
        <w:rPr>
          <w:rFonts w:cs="Times New Roman"/>
          <w:iCs/>
        </w:rPr>
        <w:t xml:space="preserve"> for high and low survival respectively</w:t>
      </w:r>
      <w:r w:rsidR="00FF24C7">
        <w:rPr>
          <w:rFonts w:cs="Times New Roman"/>
          <w:iCs/>
        </w:rPr>
        <w:t xml:space="preserve"> (high – P = 0.152, R</w:t>
      </w:r>
      <w:r w:rsidR="00FF24C7">
        <w:rPr>
          <w:rFonts w:cs="Times New Roman"/>
          <w:iCs/>
          <w:vertAlign w:val="superscript"/>
        </w:rPr>
        <w:t>2</w:t>
      </w:r>
      <w:r w:rsidR="00FF24C7">
        <w:rPr>
          <w:rFonts w:cs="Times New Roman"/>
          <w:iCs/>
        </w:rPr>
        <w:t xml:space="preserve"> = 0.08, df = 910; low – P &lt; 0.001, R</w:t>
      </w:r>
      <w:r w:rsidR="00FF24C7">
        <w:rPr>
          <w:rFonts w:cs="Times New Roman"/>
          <w:iCs/>
          <w:vertAlign w:val="superscript"/>
        </w:rPr>
        <w:t>2</w:t>
      </w:r>
      <w:r w:rsidR="00FF24C7">
        <w:rPr>
          <w:rFonts w:cs="Times New Roman"/>
          <w:iCs/>
        </w:rPr>
        <w:t xml:space="preserve"> = 0.12, df = 910). The low survival calculations treated plants that were not found in subsequent survey</w:t>
      </w:r>
      <w:r w:rsidR="00EB69B0">
        <w:rPr>
          <w:rFonts w:cs="Times New Roman"/>
          <w:iCs/>
        </w:rPr>
        <w:t>s as mortality events (Fi</w:t>
      </w:r>
      <w:r w:rsidR="007441EF">
        <w:rPr>
          <w:rFonts w:cs="Times New Roman"/>
          <w:iCs/>
        </w:rPr>
        <w:t>g.</w:t>
      </w:r>
      <w:r w:rsidR="00EB69B0">
        <w:rPr>
          <w:rFonts w:cs="Times New Roman"/>
          <w:iCs/>
        </w:rPr>
        <w:t xml:space="preserve"> 1a</w:t>
      </w:r>
      <w:r w:rsidR="00FF24C7">
        <w:rPr>
          <w:rFonts w:cs="Times New Roman"/>
          <w:iCs/>
        </w:rPr>
        <w:t xml:space="preserve">), </w:t>
      </w:r>
      <w:r w:rsidR="00C81643">
        <w:rPr>
          <w:rFonts w:cs="Times New Roman"/>
          <w:iCs/>
        </w:rPr>
        <w:t>whereas</w:t>
      </w:r>
      <w:r w:rsidR="00FF24C7">
        <w:rPr>
          <w:rFonts w:cs="Times New Roman"/>
          <w:iCs/>
        </w:rPr>
        <w:t xml:space="preserve"> high survival calculations censored these observations (</w:t>
      </w:r>
      <w:r w:rsidR="007441EF">
        <w:rPr>
          <w:rFonts w:cs="Times New Roman"/>
          <w:iCs/>
        </w:rPr>
        <w:t xml:space="preserve">Online Resources </w:t>
      </w:r>
      <w:r w:rsidR="00352B69" w:rsidRPr="00352B69">
        <w:rPr>
          <w:rFonts w:cs="Times New Roman"/>
          <w:iCs/>
        </w:rPr>
        <w:t>Fi</w:t>
      </w:r>
      <w:r w:rsidR="007441EF">
        <w:rPr>
          <w:rFonts w:cs="Times New Roman"/>
          <w:iCs/>
        </w:rPr>
        <w:t>g.</w:t>
      </w:r>
      <w:r w:rsidR="00352B69" w:rsidRPr="00352B69">
        <w:rPr>
          <w:rFonts w:cs="Times New Roman"/>
          <w:iCs/>
        </w:rPr>
        <w:t xml:space="preserve"> A</w:t>
      </w:r>
      <w:r w:rsidR="00352B69">
        <w:rPr>
          <w:rFonts w:cs="Times New Roman"/>
          <w:iCs/>
        </w:rPr>
        <w:t>4)</w:t>
      </w:r>
      <w:r w:rsidR="00FF24C7">
        <w:rPr>
          <w:rFonts w:cs="Times New Roman"/>
          <w:iCs/>
        </w:rPr>
        <w:t xml:space="preserve">. </w:t>
      </w:r>
      <w:r>
        <w:rPr>
          <w:rFonts w:cs="Times New Roman"/>
          <w:iCs/>
        </w:rPr>
        <w:t>Survival values were calculated</w:t>
      </w:r>
      <w:r w:rsidR="00FF24C7">
        <w:rPr>
          <w:rFonts w:cs="Times New Roman"/>
          <w:iCs/>
        </w:rPr>
        <w:t xml:space="preserve"> as</w:t>
      </w:r>
      <w:r w:rsidR="00FF24C7">
        <w:rPr>
          <w:rFonts w:cs="Times New Roman"/>
        </w:rPr>
        <w:t xml:space="preserve">: </w:t>
      </w:r>
      <m:oMath>
        <m:r>
          <w:rPr>
            <w:rFonts w:ascii="Cambria Math" w:hAnsi="Cambria Math" w:cs="Times New Roman"/>
          </w:rPr>
          <m:t>s</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x</m:t>
                </m:r>
              </m:sup>
            </m:sSup>
          </m:num>
          <m:den>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x</m:t>
                </m:r>
              </m:sup>
            </m:sSup>
          </m:den>
        </m:f>
      </m:oMath>
      <w:r>
        <w:rPr>
          <w:rFonts w:eastAsiaTheme="minorEastAsia" w:cs="Times New Roman"/>
          <w:iCs/>
        </w:rPr>
        <w:t xml:space="preserve"> ,</w:t>
      </w:r>
      <w:r w:rsidR="00FF24C7">
        <w:rPr>
          <w:rFonts w:eastAsiaTheme="minorEastAsia" w:cs="Times New Roman"/>
          <w:iCs/>
        </w:rPr>
        <w:t xml:space="preserve"> </w:t>
      </w:r>
      <w:r>
        <w:rPr>
          <w:rFonts w:eastAsiaTheme="minorEastAsia" w:cs="Times New Roman"/>
          <w:iCs/>
        </w:rPr>
        <w:t>with</w:t>
      </w:r>
      <w:r w:rsidR="00FF24C7">
        <w:rPr>
          <w:rFonts w:eastAsiaTheme="minorEastAsia" w:cs="Times New Roman"/>
          <w:iCs/>
        </w:rPr>
        <w:t xml:space="preserve"> the high and low estimates as bounds in the GSA.</w:t>
      </w:r>
      <w:r>
        <w:rPr>
          <w:rFonts w:eastAsiaTheme="minorEastAsia" w:cs="Times New Roman"/>
          <w:iCs/>
        </w:rPr>
        <w:t xml:space="preserve"> </w:t>
      </w:r>
      <w:r>
        <w:t>The</w:t>
      </w:r>
      <w:r w:rsidR="00FF24C7">
        <w:t xml:space="preserve"> linear regression of growth onto size resulted in regression coefficients of </w:t>
      </w:r>
      <w:r w:rsidR="00FF24C7" w:rsidRPr="009E6A47">
        <w:rPr>
          <w:i/>
        </w:rPr>
        <w:t>b</w:t>
      </w:r>
      <w:r w:rsidR="00FF24C7" w:rsidRPr="009E6A47">
        <w:rPr>
          <w:i/>
          <w:vertAlign w:val="subscript"/>
        </w:rPr>
        <w:t>0</w:t>
      </w:r>
      <w:r w:rsidR="00FF24C7">
        <w:t xml:space="preserve"> = 0.041 and </w:t>
      </w:r>
      <w:r w:rsidR="00FF24C7" w:rsidRPr="009E6A47">
        <w:rPr>
          <w:i/>
        </w:rPr>
        <w:t>b</w:t>
      </w:r>
      <w:r w:rsidR="00FF24C7" w:rsidRPr="009E6A47">
        <w:rPr>
          <w:i/>
          <w:vertAlign w:val="subscript"/>
        </w:rPr>
        <w:t>1</w:t>
      </w:r>
      <w:r w:rsidR="00FF24C7">
        <w:t xml:space="preserve"> = 1.035 (P &lt; 0.001, R</w:t>
      </w:r>
      <w:r w:rsidR="00FF24C7">
        <w:rPr>
          <w:vertAlign w:val="superscript"/>
        </w:rPr>
        <w:t>2</w:t>
      </w:r>
      <w:r w:rsidR="00FF24C7">
        <w:t xml:space="preserve"> = 0.984, df</w:t>
      </w:r>
      <w:r w:rsidR="003E095B">
        <w:t xml:space="preserve"> = 856) (Fi</w:t>
      </w:r>
      <w:r w:rsidR="007441EF">
        <w:t>g.</w:t>
      </w:r>
      <w:r w:rsidR="003E095B">
        <w:t xml:space="preserve"> 1b</w:t>
      </w:r>
      <w:r w:rsidR="00FF24C7">
        <w:t xml:space="preserve">). </w:t>
      </w:r>
      <w:r w:rsidR="00FF24C7">
        <w:rPr>
          <w:rFonts w:cs="Times New Roman"/>
        </w:rPr>
        <w:t>I calculated the</w:t>
      </w:r>
      <w:r w:rsidR="00FF24C7" w:rsidRPr="00DD5377">
        <w:rPr>
          <w:rFonts w:cs="Times New Roman"/>
        </w:rPr>
        <w:t xml:space="preserve"> probability density of an individual of size </w:t>
      </w:r>
      <w:r w:rsidR="00FF24C7" w:rsidRPr="00DD5377">
        <w:rPr>
          <w:rFonts w:cs="Times New Roman"/>
          <w:i/>
        </w:rPr>
        <w:t xml:space="preserve">x </w:t>
      </w:r>
      <w:r w:rsidR="00FF24C7" w:rsidRPr="00DD5377">
        <w:rPr>
          <w:rFonts w:cs="Times New Roman"/>
        </w:rPr>
        <w:t xml:space="preserve">transitioning to size </w:t>
      </w:r>
      <w:r w:rsidR="00FF24C7" w:rsidRPr="00DD5377">
        <w:rPr>
          <w:rFonts w:cs="Times New Roman"/>
          <w:i/>
        </w:rPr>
        <w:t>y</w:t>
      </w:r>
      <w:r w:rsidR="00FF24C7" w:rsidRPr="00DD5377">
        <w:rPr>
          <w:rFonts w:cs="Times New Roman"/>
        </w:rPr>
        <w:t xml:space="preserve"> </w:t>
      </w:r>
      <w:r w:rsidR="00FF24C7">
        <w:rPr>
          <w:rFonts w:cs="Times New Roman"/>
        </w:rPr>
        <w:t>as</w:t>
      </w:r>
      <w:r w:rsidR="00FF24C7" w:rsidRPr="00DD5377">
        <w:rPr>
          <w:rFonts w:cs="Times New Roman"/>
        </w:rPr>
        <w:t>:</w:t>
      </w:r>
      <w:r w:rsidR="00FF24C7">
        <w:rPr>
          <w:rFonts w:cs="Times New Roman"/>
        </w:rPr>
        <w:t xml:space="preserv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r>
              <w:rPr>
                <w:rFonts w:ascii="Cambria Math" w:hAnsi="Cambria Math" w:cs="Times New Roman"/>
              </w:rPr>
              <m:t xml:space="preserve"> σ(x)</m:t>
            </m:r>
          </m:den>
        </m:f>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f>
              <m:fPr>
                <m:type m:val="lin"/>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-(y-μ</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 xml:space="preserve">2 </m:t>
                </m:r>
                <m:sSup>
                  <m:sSupPr>
                    <m:ctrlPr>
                      <w:rPr>
                        <w:rFonts w:ascii="Cambria Math" w:hAnsi="Cambria Math" w:cs="Times New Roman"/>
                        <w:i/>
                      </w:rPr>
                    </m:ctrlPr>
                  </m:sSupPr>
                  <m:e>
                    <m:r>
                      <w:rPr>
                        <w:rFonts w:ascii="Cambria Math" w:hAnsi="Cambria Math" w:cs="Times New Roman"/>
                      </w:rPr>
                      <m:t>σ(x)</m:t>
                    </m:r>
                  </m:e>
                  <m:sup>
                    <m:r>
                      <w:rPr>
                        <w:rFonts w:ascii="Cambria Math" w:hAnsi="Cambria Math" w:cs="Times New Roman"/>
                      </w:rPr>
                      <m:t>2</m:t>
                    </m:r>
                  </m:sup>
                </m:sSup>
              </m:den>
            </m:f>
          </m:sup>
        </m:sSup>
      </m:oMath>
      <w:r w:rsidR="00FF24C7" w:rsidRPr="00DD5377">
        <w:rPr>
          <w:rFonts w:cs="Times New Roman"/>
        </w:rPr>
        <w:t xml:space="preserve">, where </w:t>
      </w:r>
      <m:oMath>
        <m:r>
          <w:rPr>
            <w:rFonts w:ascii="Cambria Math" w:hAnsi="Cambria Math" w:cs="Times New Roman"/>
          </w:rPr>
          <m:t>μ</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w:bookmarkStart w:id="2" w:name="OLE_LINK1"/>
        <w:bookmarkStart w:id="3" w:name="OLE_LINK2"/>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*x)</m:t>
        </m:r>
      </m:oMath>
      <w:r w:rsidR="00FF24C7" w:rsidRPr="00DD5377">
        <w:rPr>
          <w:rFonts w:cs="Times New Roman"/>
        </w:rPr>
        <w:t xml:space="preserve"> </w:t>
      </w:r>
      <w:bookmarkEnd w:id="2"/>
      <w:bookmarkEnd w:id="3"/>
      <w:r w:rsidR="00FF24C7" w:rsidRPr="00DD5377">
        <w:rPr>
          <w:rFonts w:cs="Times New Roman"/>
        </w:rPr>
        <w:t xml:space="preserve">and </w:t>
      </w:r>
      <m:oMath>
        <m:r>
          <w:rPr>
            <w:rFonts w:ascii="Cambria Math" w:hAnsi="Cambria Math" w:cs="Times New Roman"/>
          </w:rPr>
          <m:t>σ(x)</m:t>
        </m:r>
      </m:oMath>
      <w:r w:rsidR="00FF24C7" w:rsidRPr="00DD5377">
        <w:rPr>
          <w:rFonts w:cs="Times New Roman"/>
        </w:rPr>
        <w:t xml:space="preserve"> = </w:t>
      </w:r>
      <w:r w:rsidR="00FF24C7">
        <w:rPr>
          <w:rFonts w:cs="Times New Roman"/>
        </w:rPr>
        <w:t xml:space="preserve">the </w:t>
      </w:r>
      <w:r w:rsidR="00FF24C7" w:rsidRPr="00DD5377">
        <w:rPr>
          <w:rFonts w:cs="Times New Roman"/>
        </w:rPr>
        <w:t>standard deviation of the residuals of the linear regression fit</w:t>
      </w:r>
      <w:r w:rsidR="00B25D2F">
        <w:rPr>
          <w:rFonts w:cs="Times New Roman"/>
        </w:rPr>
        <w:t xml:space="preserve">. </w:t>
      </w:r>
      <w:r w:rsidR="00B25D2F">
        <w:rPr>
          <w:rFonts w:cs="Times New Roman"/>
          <w:iCs/>
        </w:rPr>
        <w:t>For the fecundity kernel, t</w:t>
      </w:r>
      <w:r w:rsidR="00FF24C7">
        <w:rPr>
          <w:rFonts w:cs="Times New Roman"/>
          <w:iCs/>
        </w:rPr>
        <w:t xml:space="preserve">he number of fruit produced declined as an exponential function of effective density: </w:t>
      </w:r>
      <m:oMath>
        <m:m>
          <m:mPr>
            <m:plcHide m:val="1"/>
            <m:mcs>
              <m:mc>
                <m:mcPr>
                  <m:count m:val="1"/>
                  <m:mcJc m:val="center"/>
                </m:mcPr>
              </m:mc>
            </m:mcs>
            <m:ctrlPr>
              <w:rPr>
                <w:rFonts w:ascii="Cambria Math" w:hAnsi="Cambria Math" w:cs="Times New Roman"/>
              </w:rPr>
            </m:ctrlPr>
          </m:mPr>
          <m:mr>
            <m:e>
              <m:r>
                <w:rPr>
                  <w:rFonts w:ascii="Cambria Math" w:hAnsi="Cambria Math" w:cs="Times New Roman"/>
                </w:rPr>
                <m:t>F=a*exp(b*</m:t>
              </m:r>
              <m:f>
                <m:fPr>
                  <m:ctrlPr>
                    <w:rPr>
                      <w:rFonts w:ascii="Cambria Math" w:hAnsi="Cambria Math" w:cs="Times New Roman"/>
                    </w:rPr>
                  </m:ctrlPr>
                </m:fPr>
                <m:num>
                  <m:r>
                    <w:rPr>
                      <w:rFonts w:ascii="Cambria Math" w:hAnsi="Cambria Math" w:cs="Times New Roman"/>
                    </w:rPr>
                    <m:t>EffDens</m:t>
                  </m:r>
                </m:num>
                <m:den>
                  <m:r>
                    <w:rPr>
                      <w:rFonts w:ascii="Cambria Math" w:hAnsi="Cambria Math" w:cs="Times New Roman"/>
                    </w:rPr>
                    <m:t>K</m:t>
                  </m:r>
                </m:den>
              </m:f>
              <m:r>
                <w:rPr>
                  <w:rFonts w:ascii="Cambria Math" w:hAnsi="Cambria Math" w:cs="Times New Roman"/>
                </w:rPr>
                <m:t>)</m:t>
              </m:r>
            </m:e>
          </m:mr>
        </m:m>
      </m:oMath>
      <w:r w:rsidR="00FF24C7" w:rsidRPr="00DD5377">
        <w:rPr>
          <w:rFonts w:cs="Times New Roman"/>
        </w:rPr>
        <w:t xml:space="preserve">, where </w:t>
      </w:r>
      <m:oMath>
        <m:r>
          <w:rPr>
            <w:rFonts w:ascii="Cambria Math" w:hAnsi="Cambria Math" w:cs="Times New Roman"/>
          </w:rPr>
          <m:t>a</m:t>
        </m:r>
      </m:oMath>
      <w:r w:rsidR="00FF24C7" w:rsidRPr="00DD5377">
        <w:rPr>
          <w:rFonts w:cs="Times New Roman"/>
        </w:rPr>
        <w:t xml:space="preserve"> is the number of fruit produced with no density effect, </w:t>
      </w:r>
      <m:oMath>
        <m:r>
          <w:rPr>
            <w:rFonts w:ascii="Cambria Math" w:hAnsi="Cambria Math" w:cs="Times New Roman"/>
          </w:rPr>
          <m:t>b</m:t>
        </m:r>
      </m:oMath>
      <w:r w:rsidR="00FF24C7" w:rsidRPr="00DD5377">
        <w:rPr>
          <w:rFonts w:cs="Times New Roman"/>
        </w:rPr>
        <w:t xml:space="preserve"> is a parameter governing the rate of exponential decline, </w:t>
      </w:r>
      <m:oMath>
        <m:r>
          <w:rPr>
            <w:rFonts w:ascii="Cambria Math" w:hAnsi="Cambria Math" w:cs="Times New Roman"/>
          </w:rPr>
          <m:t>K</m:t>
        </m:r>
      </m:oMath>
      <w:r w:rsidR="00FF24C7" w:rsidRPr="00DD5377">
        <w:rPr>
          <w:rFonts w:cs="Times New Roman"/>
        </w:rPr>
        <w:t xml:space="preserve"> is analogous to the population carrying capacity, and </w:t>
      </w:r>
      <m:oMath>
        <m:r>
          <w:rPr>
            <w:rFonts w:ascii="Cambria Math" w:hAnsi="Cambria Math" w:cs="Times New Roman"/>
          </w:rPr>
          <m:t>EffDens</m:t>
        </m:r>
      </m:oMath>
      <w:r w:rsidR="00FF24C7" w:rsidRPr="00DD5377">
        <w:rPr>
          <w:rFonts w:cs="Times New Roman"/>
        </w:rPr>
        <w:t xml:space="preserve"> is the </w:t>
      </w:r>
      <w:r w:rsidR="00FF24C7" w:rsidRPr="00C52892">
        <w:rPr>
          <w:rFonts w:cs="Times New Roman"/>
        </w:rPr>
        <w:t>effective density</w:t>
      </w:r>
      <w:r w:rsidR="00FF24C7" w:rsidRPr="00DD5377">
        <w:rPr>
          <w:rFonts w:cs="Times New Roman"/>
        </w:rPr>
        <w:t xml:space="preserve"> </w:t>
      </w:r>
      <w:r w:rsidR="00FF24C7">
        <w:rPr>
          <w:rFonts w:cs="Times New Roman"/>
        </w:rPr>
        <w:t>for</w:t>
      </w:r>
      <w:r w:rsidR="00FF24C7" w:rsidRPr="00DD5377">
        <w:rPr>
          <w:rFonts w:cs="Times New Roman"/>
        </w:rPr>
        <w:t xml:space="preserve"> the size class being modeled. I estimated </w:t>
      </w:r>
      <m:oMath>
        <m:r>
          <w:rPr>
            <w:rFonts w:ascii="Cambria Math" w:hAnsi="Cambria Math" w:cs="Times New Roman"/>
          </w:rPr>
          <m:t>a</m:t>
        </m:r>
      </m:oMath>
      <w:r w:rsidR="00FF24C7" w:rsidRPr="00DD5377">
        <w:rPr>
          <w:rFonts w:cs="Times New Roman"/>
        </w:rPr>
        <w:t xml:space="preserve"> and </w:t>
      </w:r>
      <m:oMath>
        <m:r>
          <w:rPr>
            <w:rFonts w:ascii="Cambria Math" w:hAnsi="Cambria Math" w:cs="Times New Roman"/>
          </w:rPr>
          <m:t>b</m:t>
        </m:r>
      </m:oMath>
      <w:r w:rsidR="00FF24C7" w:rsidRPr="00DD5377">
        <w:rPr>
          <w:rFonts w:cs="Times New Roman"/>
        </w:rPr>
        <w:t xml:space="preserve"> using results f</w:t>
      </w:r>
      <w:r w:rsidR="00FF24C7">
        <w:rPr>
          <w:rFonts w:cs="Times New Roman"/>
        </w:rPr>
        <w:t>rom the ANCOVA model (</w:t>
      </w:r>
      <w:r w:rsidR="00F32B63">
        <w:rPr>
          <w:rFonts w:cs="Times New Roman"/>
        </w:rPr>
        <w:t xml:space="preserve">Fig. 1c, </w:t>
      </w:r>
      <w:r w:rsidR="00FF24C7">
        <w:rPr>
          <w:rFonts w:cs="Times New Roman"/>
        </w:rPr>
        <w:t>Table 3</w:t>
      </w:r>
      <w:r w:rsidR="00FF24C7" w:rsidRPr="00DD5377">
        <w:rPr>
          <w:rFonts w:cs="Times New Roman"/>
        </w:rPr>
        <w:t>), in which slopes and intercepts were allowed to vary fr</w:t>
      </w:r>
      <w:r w:rsidR="00FF24C7">
        <w:rPr>
          <w:rFonts w:cs="Times New Roman"/>
        </w:rPr>
        <w:t xml:space="preserve">eely. For each size class I set </w:t>
      </w:r>
      <m:oMath>
        <m:r>
          <w:rPr>
            <w:rFonts w:ascii="Cambria Math" w:hAnsi="Cambria Math" w:cs="Times New Roman"/>
          </w:rPr>
          <m:t>a</m:t>
        </m:r>
      </m:oMath>
      <w:r w:rsidR="00FF24C7" w:rsidRPr="00DD5377">
        <w:rPr>
          <w:rFonts w:cs="Times New Roman"/>
        </w:rPr>
        <w:t xml:space="preserve"> as the exponent of the corresponding intercept value and </w:t>
      </w:r>
      <m:oMath>
        <m:r>
          <w:rPr>
            <w:rFonts w:ascii="Cambria Math" w:hAnsi="Cambria Math" w:cs="Times New Roman"/>
          </w:rPr>
          <m:t>b</m:t>
        </m:r>
      </m:oMath>
      <w:r w:rsidR="00FF24C7" w:rsidRPr="00DD5377">
        <w:rPr>
          <w:rFonts w:cs="Times New Roman"/>
        </w:rPr>
        <w:t xml:space="preserve"> as the slope for that size class in the ANCOVA model. </w:t>
      </w:r>
      <m:oMath>
        <m:r>
          <w:rPr>
            <w:rFonts w:ascii="Cambria Math" w:hAnsi="Cambria Math" w:cs="Times New Roman"/>
          </w:rPr>
          <m:t>K</m:t>
        </m:r>
      </m:oMath>
      <w:r w:rsidR="00FF24C7" w:rsidRPr="00DD5377">
        <w:rPr>
          <w:rFonts w:cs="Times New Roman"/>
        </w:rPr>
        <w:t xml:space="preserve"> was set </w:t>
      </w:r>
      <w:r w:rsidR="00FF24C7" w:rsidRPr="00DD5377">
        <w:rPr>
          <w:rFonts w:cs="Times New Roman"/>
          <w:i/>
        </w:rPr>
        <w:t>a priori</w:t>
      </w:r>
      <w:r w:rsidR="00FF24C7">
        <w:rPr>
          <w:rFonts w:cs="Times New Roman"/>
        </w:rPr>
        <w:t xml:space="preserve"> </w:t>
      </w:r>
      <w:r w:rsidR="00FF24C7" w:rsidRPr="00DD5377">
        <w:rPr>
          <w:rFonts w:cs="Times New Roman"/>
        </w:rPr>
        <w:lastRenderedPageBreak/>
        <w:t>based on the population size and environmental conditions</w:t>
      </w:r>
      <w:r w:rsidR="00B25D2F">
        <w:rPr>
          <w:rFonts w:cs="Times New Roman"/>
        </w:rPr>
        <w:t>, as described above</w:t>
      </w:r>
      <w:r w:rsidR="00FF24C7" w:rsidRPr="00DD5377">
        <w:rPr>
          <w:rFonts w:cs="Times New Roman"/>
        </w:rPr>
        <w:t xml:space="preserve">. </w:t>
      </w:r>
      <m:oMath>
        <m:r>
          <w:rPr>
            <w:rFonts w:ascii="Cambria Math" w:hAnsi="Cambria Math" w:cs="Times New Roman"/>
          </w:rPr>
          <m:t>EffDens</m:t>
        </m:r>
      </m:oMath>
      <w:r w:rsidR="00FF24C7" w:rsidRPr="00DD5377">
        <w:rPr>
          <w:rFonts w:cs="Times New Roman"/>
        </w:rPr>
        <w:t xml:space="preserve"> was calculated at each time step during</w:t>
      </w:r>
      <w:r w:rsidR="00FF24C7">
        <w:rPr>
          <w:rFonts w:cs="Times New Roman"/>
        </w:rPr>
        <w:t xml:space="preserve"> a</w:t>
      </w:r>
      <w:r w:rsidR="00FF24C7" w:rsidRPr="00DD5377">
        <w:rPr>
          <w:rFonts w:cs="Times New Roman"/>
        </w:rPr>
        <w:t xml:space="preserve"> run of </w:t>
      </w:r>
      <w:r w:rsidR="00FF24C7">
        <w:rPr>
          <w:rFonts w:cs="Times New Roman"/>
        </w:rPr>
        <w:t>a</w:t>
      </w:r>
      <w:r w:rsidR="00FF24C7" w:rsidRPr="00DD5377">
        <w:rPr>
          <w:rFonts w:cs="Times New Roman"/>
        </w:rPr>
        <w:t xml:space="preserve"> demographic model.</w:t>
      </w:r>
    </w:p>
    <w:p w14:paraId="222386DD" w14:textId="2A31D8E8" w:rsidR="00FF24C7" w:rsidRPr="00DD5377" w:rsidRDefault="00ED2041" w:rsidP="008579EE">
      <w:pPr>
        <w:spacing w:line="480" w:lineRule="auto"/>
        <w:ind w:firstLine="720"/>
        <w:rPr>
          <w:rFonts w:cs="Times New Roman"/>
          <w:iCs/>
        </w:rPr>
      </w:pPr>
      <w:r>
        <w:rPr>
          <w:rFonts w:cs="Times New Roman"/>
        </w:rPr>
        <w:t xml:space="preserve">Combining these sub-kernels yielded the </w:t>
      </w:r>
      <w:r w:rsidR="00FF24C7" w:rsidRPr="00DD5377">
        <w:rPr>
          <w:rFonts w:cs="Times New Roman"/>
          <w:iCs/>
        </w:rPr>
        <w:t>full model as:</w:t>
      </w:r>
    </w:p>
    <w:p w14:paraId="47F9830F" w14:textId="17AA5D79" w:rsidR="00FF24C7" w:rsidRPr="00DD5377" w:rsidRDefault="00693805" w:rsidP="008579EE">
      <w:pPr>
        <w:spacing w:line="480" w:lineRule="auto"/>
        <w:rPr>
          <w:rFonts w:cs="Times New Roman"/>
        </w:rPr>
      </w:pPr>
      <w:r>
        <w:rPr>
          <w:rFonts w:cs="Times New Roman"/>
        </w:rPr>
        <w:t>(3)</w:t>
      </w:r>
      <w:r w:rsidR="00FF24C7" w:rsidRPr="00DD5377">
        <w:rPr>
          <w:rFonts w:cs="Times New Roman"/>
        </w:rPr>
        <w:tab/>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y,t+1</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nary>
        <m:nary>
          <m:naryPr>
            <m:limLoc m:val="subSup"/>
            <m:ctrlPr>
              <w:rPr>
                <w:rFonts w:ascii="Cambria Math" w:hAnsi="Cambria Math" w:cs="Times New Roman"/>
                <w:i/>
              </w:rPr>
            </m:ctrlPr>
          </m:naryPr>
          <m:sub>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i</m:t>
                </m:r>
              </m:sub>
            </m:sSub>
          </m:sub>
          <m:sup/>
          <m:e>
            <m:d>
              <m:dPr>
                <m:begChr m:val="["/>
                <m:endChr m:val="]"/>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r>
                          <w:rPr>
                            <w:rFonts w:ascii="Cambria Math" w:hAnsi="Cambria Math" w:cs="Times New Roman"/>
                          </w:rPr>
                          <m:t xml:space="preserve"> σ</m:t>
                        </m:r>
                        <m:d>
                          <m:dPr>
                            <m:ctrlPr>
                              <w:rPr>
                                <w:rFonts w:ascii="Cambria Math" w:hAnsi="Cambria Math" w:cs="Times New Roman"/>
                                <w:i/>
                              </w:rPr>
                            </m:ctrlPr>
                          </m:dPr>
                          <m:e>
                            <m:r>
                              <w:rPr>
                                <w:rFonts w:ascii="Cambria Math" w:hAnsi="Cambria Math" w:cs="Times New Roman"/>
                              </w:rPr>
                              <m:t>x</m:t>
                            </m:r>
                          </m:e>
                        </m:d>
                      </m:den>
                    </m:f>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f>
                          <m:fPr>
                            <m:type m:val="lin"/>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y-μ</m:t>
                                    </m:r>
                                    <m:d>
                                      <m:dPr>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num>
                          <m:den>
                            <m:r>
                              <w:rPr>
                                <w:rFonts w:ascii="Cambria Math" w:hAnsi="Cambria Math" w:cs="Times New Roman"/>
                              </w:rPr>
                              <m:t xml:space="preserve">2 </m:t>
                            </m:r>
                            <m:sSup>
                              <m:sSupPr>
                                <m:ctrlPr>
                                  <w:rPr>
                                    <w:rFonts w:ascii="Cambria Math" w:hAnsi="Cambria Math" w:cs="Times New Roman"/>
                                    <w:i/>
                                  </w:rPr>
                                </m:ctrlPr>
                              </m:sSupPr>
                              <m:e>
                                <m:r>
                                  <w:rPr>
                                    <w:rFonts w:ascii="Cambria Math" w:hAnsi="Cambria Math" w:cs="Times New Roman"/>
                                  </w:rPr>
                                  <m:t>σ</m:t>
                                </m:r>
                                <m:d>
                                  <m:dPr>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2</m:t>
                                </m:r>
                              </m:sup>
                            </m:sSup>
                          </m:den>
                        </m:f>
                      </m:sup>
                    </m:sSup>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x</m:t>
                            </m:r>
                          </m:sup>
                        </m:sSup>
                      </m:num>
                      <m:den>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x</m:t>
                            </m:r>
                          </m:sup>
                        </m:sSup>
                      </m:den>
                    </m:f>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EffDens</m:t>
                                </m:r>
                              </m:e>
                              <m:sub>
                                <m:r>
                                  <w:rPr>
                                    <w:rFonts w:ascii="Cambria Math" w:hAnsi="Cambria Math" w:cs="Times New Roman"/>
                                  </w:rPr>
                                  <m:t>i</m:t>
                                </m:r>
                              </m:sub>
                            </m:sSub>
                          </m:num>
                          <m:den>
                            <m:r>
                              <w:rPr>
                                <w:rFonts w:ascii="Cambria Math" w:hAnsi="Cambria Math" w:cs="Times New Roman"/>
                              </w:rPr>
                              <m:t>K</m:t>
                            </m:r>
                          </m:den>
                        </m:f>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seeds per fruit</m:t>
                        </m:r>
                      </m:e>
                    </m:acc>
                    <m:r>
                      <w:rPr>
                        <w:rFonts w:ascii="Cambria Math" w:hAnsi="Cambria Math" w:cs="Times New Roman"/>
                      </w:rPr>
                      <m:t>*germ*</m:t>
                    </m:r>
                    <m:sSub>
                      <m:sSubPr>
                        <m:ctrlPr>
                          <w:rPr>
                            <w:rFonts w:ascii="Cambria Math" w:hAnsi="Cambria Math" w:cs="Times New Roman"/>
                            <w:i/>
                          </w:rPr>
                        </m:ctrlPr>
                      </m:sSubPr>
                      <m:e>
                        <m:r>
                          <w:rPr>
                            <w:rFonts w:ascii="Cambria Math" w:hAnsi="Cambria Math" w:cs="Times New Roman"/>
                          </w:rPr>
                          <m:t>surv</m:t>
                        </m:r>
                      </m:e>
                      <m:sub>
                        <m:r>
                          <w:rPr>
                            <w:rFonts w:ascii="Cambria Math" w:hAnsi="Cambria Math" w:cs="Times New Roman"/>
                          </w:rPr>
                          <m:t>within season</m:t>
                        </m:r>
                      </m:sub>
                    </m:sSub>
                  </m:e>
                </m:d>
              </m:e>
            </m:d>
            <m:r>
              <w:rPr>
                <w:rFonts w:ascii="Cambria Math" w:hAnsi="Cambria Math" w:cs="Times New Roman"/>
              </w:rPr>
              <m:t xml:space="preserve"> n</m:t>
            </m:r>
            <m:d>
              <m:dPr>
                <m:ctrlPr>
                  <w:rPr>
                    <w:rFonts w:ascii="Cambria Math" w:hAnsi="Cambria Math" w:cs="Times New Roman"/>
                    <w:i/>
                  </w:rPr>
                </m:ctrlPr>
              </m:dPr>
              <m:e>
                <m:r>
                  <w:rPr>
                    <w:rFonts w:ascii="Cambria Math" w:hAnsi="Cambria Math" w:cs="Times New Roman"/>
                  </w:rPr>
                  <m:t>x,t</m:t>
                </m:r>
              </m:e>
            </m:d>
            <m:r>
              <w:rPr>
                <w:rFonts w:ascii="Cambria Math" w:hAnsi="Cambria Math" w:cs="Times New Roman"/>
              </w:rPr>
              <m:t>dx</m:t>
            </m:r>
          </m:e>
        </m:nary>
      </m:oMath>
    </w:p>
    <w:p w14:paraId="4A25A7D2" w14:textId="14C4F280" w:rsidR="00FF24C7" w:rsidRDefault="00FF24C7" w:rsidP="008579EE">
      <w:pPr>
        <w:spacing w:line="480" w:lineRule="auto"/>
        <w:rPr>
          <w:rFonts w:cs="Times New Roman"/>
        </w:rPr>
      </w:pPr>
      <w:r w:rsidRPr="00DD5377">
        <w:rPr>
          <w:rFonts w:cs="Times New Roman"/>
        </w:rPr>
        <w:t>, where</w:t>
      </w:r>
      <w:r>
        <w:rPr>
          <w:rFonts w:cs="Times New Roman"/>
        </w:rPr>
        <w:t xml:space="preserve"> </w:t>
      </w:r>
      <w:proofErr w:type="spellStart"/>
      <w:r>
        <w:rPr>
          <w:rFonts w:cs="Times New Roman"/>
          <w:i/>
        </w:rPr>
        <w:t>i</w:t>
      </w:r>
      <w:proofErr w:type="spellEnd"/>
      <w:r>
        <w:rPr>
          <w:rFonts w:cs="Times New Roman"/>
        </w:rPr>
        <w:t xml:space="preserve"> represents the size classes (A to D</w:t>
      </w:r>
      <w:r w:rsidR="00E154F8">
        <w:rPr>
          <w:rFonts w:cs="Times New Roman"/>
        </w:rPr>
        <w:t xml:space="preserve">; </w:t>
      </w:r>
      <w:r w:rsidR="007441EF">
        <w:rPr>
          <w:rFonts w:cs="Times New Roman"/>
        </w:rPr>
        <w:t xml:space="preserve">Online Resources </w:t>
      </w:r>
      <w:r w:rsidR="00E154F8">
        <w:rPr>
          <w:rFonts w:cs="Times New Roman"/>
        </w:rPr>
        <w:t>Table A3</w:t>
      </w:r>
      <w:r>
        <w:rPr>
          <w:rFonts w:cs="Times New Roman"/>
        </w:rPr>
        <w:t>).</w:t>
      </w:r>
      <w:r w:rsidRPr="00DD5377">
        <w:rPr>
          <w:rFonts w:cs="Times New Roman"/>
        </w:rPr>
        <w:t xml:space="preserve"> </w:t>
      </w:r>
    </w:p>
    <w:p w14:paraId="21A4072C" w14:textId="4AF96005" w:rsidR="00FF24C7" w:rsidRPr="000B2EE2" w:rsidRDefault="006F52B5" w:rsidP="008579EE">
      <w:pPr>
        <w:spacing w:line="480" w:lineRule="auto"/>
        <w:ind w:firstLine="720"/>
        <w:rPr>
          <w:rFonts w:cs="Times New Roman"/>
          <w:iCs/>
        </w:rPr>
      </w:pPr>
      <w:r>
        <w:rPr>
          <w:rFonts w:cs="Times New Roman"/>
        </w:rPr>
        <w:t xml:space="preserve">To solve this integral, </w:t>
      </w:r>
      <w:r w:rsidR="00FF24C7" w:rsidRPr="00DD5377">
        <w:rPr>
          <w:rFonts w:cs="Times New Roman"/>
        </w:rPr>
        <w:t xml:space="preserve">I divided </w:t>
      </w:r>
      <w:r>
        <w:rPr>
          <w:rFonts w:cs="Times New Roman"/>
        </w:rPr>
        <w:t>the</w:t>
      </w:r>
      <w:r w:rsidR="00FF24C7" w:rsidRPr="00DD5377">
        <w:rPr>
          <w:rFonts w:cs="Times New Roman"/>
        </w:rPr>
        <w:t xml:space="preserve"> range of </w:t>
      </w:r>
      <w:r w:rsidR="00FF24C7" w:rsidRPr="00DD5377">
        <w:rPr>
          <w:rFonts w:cs="Times New Roman"/>
          <w:iCs/>
        </w:rPr>
        <w:t>DAH sizes, 0.032 to 7.3</w:t>
      </w:r>
      <w:r w:rsidR="00FF24C7">
        <w:rPr>
          <w:rFonts w:cs="Times New Roman"/>
          <w:iCs/>
        </w:rPr>
        <w:t>37 cm, into 50 equal sized bins.</w:t>
      </w:r>
      <w:r w:rsidR="00FF24C7" w:rsidRPr="00DD5377">
        <w:rPr>
          <w:rFonts w:cs="Times New Roman"/>
          <w:iCs/>
        </w:rPr>
        <w:t xml:space="preserve"> </w:t>
      </w:r>
      <w:r w:rsidR="00FF24C7">
        <w:rPr>
          <w:rFonts w:cs="Times New Roman"/>
          <w:iCs/>
        </w:rPr>
        <w:t>This range</w:t>
      </w:r>
      <w:r w:rsidR="00FF24C7" w:rsidRPr="00DD5377">
        <w:rPr>
          <w:rFonts w:cs="Times New Roman"/>
          <w:iCs/>
        </w:rPr>
        <w:t xml:space="preserve"> included all observed values (0.04 to 6.67 cm). The mid-point for each bin was determined and a two-dimensional mesh grid </w:t>
      </w:r>
      <w:r w:rsidR="00FF24C7">
        <w:rPr>
          <w:rFonts w:cs="Times New Roman"/>
          <w:iCs/>
        </w:rPr>
        <w:t>of</w:t>
      </w:r>
      <w:r w:rsidR="00FF24C7" w:rsidRPr="00DD5377">
        <w:rPr>
          <w:rFonts w:cs="Times New Roman"/>
          <w:iCs/>
        </w:rPr>
        <w:t xml:space="preserve"> these values</w:t>
      </w:r>
      <w:r w:rsidR="00FF24C7">
        <w:rPr>
          <w:rFonts w:cs="Times New Roman"/>
          <w:iCs/>
        </w:rPr>
        <w:t xml:space="preserve"> </w:t>
      </w:r>
      <w:r w:rsidR="00FF24C7" w:rsidRPr="00DD5377">
        <w:rPr>
          <w:rFonts w:cs="Times New Roman"/>
          <w:iCs/>
        </w:rPr>
        <w:t xml:space="preserve">was constructed. </w:t>
      </w:r>
      <w:r w:rsidR="00FF24C7">
        <w:rPr>
          <w:rFonts w:cs="Times New Roman"/>
          <w:iCs/>
        </w:rPr>
        <w:t>C</w:t>
      </w:r>
      <w:r w:rsidR="00FF24C7" w:rsidRPr="00DD5377">
        <w:rPr>
          <w:rFonts w:cs="Times New Roman"/>
          <w:iCs/>
        </w:rPr>
        <w:t xml:space="preserve">olumn values </w:t>
      </w:r>
      <w:r w:rsidR="00FF24C7">
        <w:rPr>
          <w:rFonts w:cs="Times New Roman"/>
          <w:iCs/>
        </w:rPr>
        <w:t>were treated as</w:t>
      </w:r>
      <w:r w:rsidR="00FF24C7" w:rsidRPr="00DD5377">
        <w:rPr>
          <w:rFonts w:cs="Times New Roman"/>
          <w:iCs/>
        </w:rPr>
        <w:t xml:space="preserve"> plant size at time </w:t>
      </w:r>
      <w:r w:rsidR="00FF24C7" w:rsidRPr="00DD5377">
        <w:rPr>
          <w:rFonts w:cs="Times New Roman"/>
          <w:i/>
          <w:iCs/>
        </w:rPr>
        <w:t xml:space="preserve">t </w:t>
      </w:r>
      <w:r w:rsidR="00FF24C7" w:rsidRPr="00DD5377">
        <w:rPr>
          <w:rFonts w:cs="Times New Roman"/>
          <w:iCs/>
        </w:rPr>
        <w:t xml:space="preserve">and row values </w:t>
      </w:r>
      <w:r w:rsidR="00FF24C7">
        <w:rPr>
          <w:rFonts w:cs="Times New Roman"/>
          <w:iCs/>
        </w:rPr>
        <w:t>as</w:t>
      </w:r>
      <w:r w:rsidR="00FF24C7" w:rsidRPr="00DD5377">
        <w:rPr>
          <w:rFonts w:cs="Times New Roman"/>
          <w:iCs/>
        </w:rPr>
        <w:t xml:space="preserve"> plant size at time </w:t>
      </w:r>
      <w:r w:rsidR="00FF24C7" w:rsidRPr="00DD5377">
        <w:rPr>
          <w:rFonts w:cs="Times New Roman"/>
          <w:i/>
          <w:iCs/>
        </w:rPr>
        <w:t xml:space="preserve">t </w:t>
      </w:r>
      <w:r w:rsidR="00FF24C7" w:rsidRPr="00DD5377">
        <w:rPr>
          <w:rFonts w:cs="Times New Roman"/>
          <w:iCs/>
        </w:rPr>
        <w:t xml:space="preserve">+ 1. The first row of this grid was set as the seedling size at time </w:t>
      </w:r>
      <w:r w:rsidR="00FF24C7" w:rsidRPr="00DD5377">
        <w:rPr>
          <w:rFonts w:cs="Times New Roman"/>
          <w:i/>
          <w:iCs/>
        </w:rPr>
        <w:t>t</w:t>
      </w:r>
      <w:r w:rsidR="00FF24C7" w:rsidRPr="00DD5377">
        <w:rPr>
          <w:rFonts w:cs="Times New Roman"/>
          <w:iCs/>
        </w:rPr>
        <w:t xml:space="preserve"> + 1. At each mesh point, equation </w:t>
      </w:r>
      <w:r>
        <w:rPr>
          <w:rFonts w:cs="Times New Roman"/>
          <w:iCs/>
        </w:rPr>
        <w:t>3</w:t>
      </w:r>
      <w:r w:rsidR="00FF24C7" w:rsidRPr="00DD5377">
        <w:rPr>
          <w:rFonts w:cs="Times New Roman"/>
          <w:iCs/>
        </w:rPr>
        <w:t xml:space="preserve"> was evaluated. This process resulted in a projection matrix with 50 stages (</w:t>
      </w:r>
      <w:r w:rsidR="005533EE">
        <w:rPr>
          <w:rFonts w:cs="Times New Roman"/>
          <w:iCs/>
        </w:rPr>
        <w:t>Fig</w:t>
      </w:r>
      <w:r w:rsidR="007441EF">
        <w:rPr>
          <w:rFonts w:cs="Times New Roman"/>
          <w:iCs/>
        </w:rPr>
        <w:t>.</w:t>
      </w:r>
      <w:r w:rsidR="005533EE">
        <w:rPr>
          <w:rFonts w:cs="Times New Roman"/>
          <w:iCs/>
        </w:rPr>
        <w:t xml:space="preserve"> 1</w:t>
      </w:r>
      <w:r w:rsidR="00361EC1">
        <w:rPr>
          <w:rFonts w:cs="Times New Roman"/>
          <w:iCs/>
        </w:rPr>
        <w:t>d</w:t>
      </w:r>
      <w:r w:rsidR="00FF24C7">
        <w:rPr>
          <w:rFonts w:cs="Times New Roman"/>
          <w:iCs/>
        </w:rPr>
        <w:t>), which I used</w:t>
      </w:r>
      <w:r w:rsidR="00FF24C7" w:rsidRPr="00DD5377">
        <w:rPr>
          <w:rFonts w:cs="Times New Roman"/>
          <w:iCs/>
        </w:rPr>
        <w:t xml:space="preserve"> </w:t>
      </w:r>
      <w:r w:rsidR="00FF24C7">
        <w:rPr>
          <w:rFonts w:cs="Times New Roman"/>
          <w:iCs/>
        </w:rPr>
        <w:t>as the transition matrix</w:t>
      </w:r>
      <w:r w:rsidR="0042035B">
        <w:rPr>
          <w:rFonts w:cs="Times New Roman"/>
          <w:iCs/>
        </w:rPr>
        <w:t xml:space="preserve"> in the RAMAS </w:t>
      </w:r>
      <w:proofErr w:type="spellStart"/>
      <w:r w:rsidR="0042035B">
        <w:rPr>
          <w:rFonts w:cs="Times New Roman"/>
          <w:iCs/>
        </w:rPr>
        <w:t>Metapop</w:t>
      </w:r>
      <w:proofErr w:type="spellEnd"/>
      <w:r w:rsidR="0042035B">
        <w:rPr>
          <w:rFonts w:cs="Times New Roman"/>
          <w:iCs/>
        </w:rPr>
        <w:t xml:space="preserve"> program. The population growth rate (λ) for this matrix was 1.04.</w:t>
      </w:r>
      <w:r w:rsidR="00FF24C7">
        <w:rPr>
          <w:rFonts w:cs="Times New Roman"/>
          <w:iCs/>
        </w:rPr>
        <w:t xml:space="preserve"> </w:t>
      </w:r>
    </w:p>
    <w:p w14:paraId="2CB3DB55" w14:textId="77777777" w:rsidR="00FF24C7" w:rsidRPr="00403D24" w:rsidRDefault="00FF24C7" w:rsidP="008579EE">
      <w:pPr>
        <w:spacing w:line="480" w:lineRule="auto"/>
        <w:rPr>
          <w:i/>
        </w:rPr>
      </w:pPr>
      <w:r w:rsidRPr="00403D24">
        <w:rPr>
          <w:i/>
        </w:rPr>
        <w:t>Habitat suitability through time</w:t>
      </w:r>
    </w:p>
    <w:p w14:paraId="0AF21623" w14:textId="1B9F6000" w:rsidR="00FF24C7" w:rsidRDefault="00FF24C7" w:rsidP="008579EE">
      <w:pPr>
        <w:spacing w:line="480" w:lineRule="auto"/>
        <w:ind w:firstLine="720"/>
      </w:pPr>
      <w:r>
        <w:t xml:space="preserve">Examining SDM predictor variable importance, I found that extreme cold temperatures along </w:t>
      </w:r>
      <w:r w:rsidR="006F52B5">
        <w:t>the</w:t>
      </w:r>
      <w:r>
        <w:t xml:space="preserve"> northern margin and high summer temperatures along </w:t>
      </w:r>
      <w:r w:rsidR="006F52B5">
        <w:t>the</w:t>
      </w:r>
      <w:r>
        <w:t xml:space="preserve"> southern margin limit the range of </w:t>
      </w:r>
      <w:r w:rsidRPr="00B91BEE">
        <w:rPr>
          <w:i/>
        </w:rPr>
        <w:t xml:space="preserve">F. </w:t>
      </w:r>
      <w:proofErr w:type="spellStart"/>
      <w:r w:rsidRPr="00B91BEE">
        <w:rPr>
          <w:i/>
        </w:rPr>
        <w:t>alnus</w:t>
      </w:r>
      <w:proofErr w:type="spellEnd"/>
      <w:r>
        <w:rPr>
          <w:rFonts w:cs="Times New Roman"/>
          <w:iCs/>
        </w:rPr>
        <w:t xml:space="preserve">. Soil pH (topsoil) was </w:t>
      </w:r>
      <w:r>
        <w:t xml:space="preserve">consistently ranked as one of the most important predictors of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occurrence</w:t>
      </w:r>
      <w:r>
        <w:t>, suggesting that it plays a substantial role in shaping the species distribution</w:t>
      </w:r>
      <w:r>
        <w:rPr>
          <w:rFonts w:cs="Times New Roman"/>
          <w:iCs/>
        </w:rPr>
        <w:t xml:space="preserve">. Presence of pasture was also consistently an important predictor, with relatively small amounts of pasture within a grid cell associated with low values of suitability. However, </w:t>
      </w:r>
      <w:r>
        <w:rPr>
          <w:rFonts w:cs="Times New Roman"/>
          <w:iCs/>
        </w:rPr>
        <w:lastRenderedPageBreak/>
        <w:t xml:space="preserve">from a whole range perspective, very few grid cells had high values of percent cover of pasture. Both low and high values of growing degree days (GDD) were associated with low habitat suitability. Low GDD values may be associated with limited growth during short growing seasons. On the other hand, the low suitability associated with high GDD may be indicative of the lack of competitive ability of </w:t>
      </w:r>
      <w:r>
        <w:rPr>
          <w:rFonts w:cs="Times New Roman"/>
          <w:i/>
          <w:iCs/>
        </w:rPr>
        <w:t xml:space="preserve">F. </w:t>
      </w:r>
      <w:proofErr w:type="spellStart"/>
      <w:r>
        <w:rPr>
          <w:rFonts w:cs="Times New Roman"/>
          <w:i/>
          <w:iCs/>
        </w:rPr>
        <w:t>alnus</w:t>
      </w:r>
      <w:proofErr w:type="spellEnd"/>
      <w:r>
        <w:rPr>
          <w:rFonts w:cs="Times New Roman"/>
          <w:iCs/>
        </w:rPr>
        <w:t xml:space="preserve"> with species better adapted to areas with long growing seasons. Projecting these relationships onto the combined dynamic and static layers resulted in a spatial structure with the locations of high habitat </w:t>
      </w:r>
      <w:r>
        <w:t>suitability changing through time (Fig</w:t>
      </w:r>
      <w:r w:rsidR="008C70DB">
        <w:t>.</w:t>
      </w:r>
      <w:r>
        <w:t xml:space="preserve"> 2).  Regions that experienced increases in land conversion to cropland appear to account for the greatest declines in suitability. Overall declines in habitat suitability resulted in a general </w:t>
      </w:r>
      <w:r w:rsidR="00C81643">
        <w:t>decrease</w:t>
      </w:r>
      <w:r>
        <w:t xml:space="preserve"> in metapopulation carrying capacity. In total, 3423 grid cells were considered suitable at </w:t>
      </w:r>
      <w:r w:rsidR="002F35C2">
        <w:t>least once</w:t>
      </w:r>
      <w:r>
        <w:t xml:space="preserve"> between 1910 and 2010 based on the 10% omission threshold. Each of these grid cells was considered a potential patch that could be occupied by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in model simulations.</w:t>
      </w:r>
      <w:r>
        <w:t xml:space="preserve"> </w:t>
      </w:r>
    </w:p>
    <w:p w14:paraId="0447F06B" w14:textId="77777777" w:rsidR="00FF24C7" w:rsidRPr="00403D24" w:rsidRDefault="00FF24C7" w:rsidP="008579EE">
      <w:pPr>
        <w:spacing w:line="480" w:lineRule="auto"/>
        <w:rPr>
          <w:i/>
        </w:rPr>
      </w:pPr>
      <w:r w:rsidRPr="00403D24">
        <w:rPr>
          <w:i/>
        </w:rPr>
        <w:t>Exploration of parameter space</w:t>
      </w:r>
    </w:p>
    <w:p w14:paraId="56DEF915" w14:textId="04C23133" w:rsidR="00FF24C7" w:rsidRDefault="00FF24C7" w:rsidP="008579EE">
      <w:pPr>
        <w:spacing w:line="480" w:lineRule="auto"/>
        <w:ind w:firstLine="720"/>
      </w:pPr>
      <w:r>
        <w:t>Randomly generated parameter sets resulted in good sampling coverage of input parameter uncertainty space (</w:t>
      </w:r>
      <w:r w:rsidR="008C70DB">
        <w:t>Online Resources Fig. A</w:t>
      </w:r>
      <w:r w:rsidR="00F32B63">
        <w:t>10</w:t>
      </w:r>
      <w:r>
        <w:t>)</w:t>
      </w:r>
      <w:r w:rsidR="00DB78FB">
        <w:t>, with population growth rates varying between 0.92 and 1.17</w:t>
      </w:r>
      <w:r>
        <w:t>. Assuming an occupancy threshold value of 1000 individuals, differences in model structure (land-use change versus no land-use change and ceiling density dependence versus effective density</w:t>
      </w:r>
      <w:r w:rsidR="000A48D1">
        <w:t xml:space="preserve"> dependence</w:t>
      </w:r>
      <w:r>
        <w:t xml:space="preserve">) had no significant effects on measures of simulation sensitivity or positive predictive power (paired t-tests; </w:t>
      </w:r>
      <w:r w:rsidR="005C19D0">
        <w:t xml:space="preserve">Online Resources </w:t>
      </w:r>
      <w:r>
        <w:t xml:space="preserve">Table </w:t>
      </w:r>
      <w:r w:rsidR="0074575A">
        <w:t>A8</w:t>
      </w:r>
      <w:r>
        <w:t xml:space="preserve">). Additionally, expected minimum population sizes were not significantly different. However, simulations parameterized with effective plot density versus ceiling type density dependence resulted in greater final metapopulation abundance values (t = -6.483, P &lt; 0.001, df = 499), as did simulations with no land-use change versus land-use change (t = -2.813, P &lt; 0.01, df = 499). </w:t>
      </w:r>
      <w:r>
        <w:lastRenderedPageBreak/>
        <w:t xml:space="preserve">Similar results were found assuming an occupancy threshold of 1 and 2000 individuals. Given the lack of difference in the key measures used to compare simulations to patterns of historical occurrence records, the subsequent results presented are for simulations considering land-use change and effective </w:t>
      </w:r>
      <w:r w:rsidR="00E367D4">
        <w:t xml:space="preserve">plot </w:t>
      </w:r>
      <w:r>
        <w:t>density</w:t>
      </w:r>
      <w:r w:rsidR="0055552A">
        <w:t>, as t</w:t>
      </w:r>
      <w:r>
        <w:t xml:space="preserve">hese model structures are </w:t>
      </w:r>
      <w:r w:rsidR="0092681C">
        <w:t>ecologically</w:t>
      </w:r>
      <w:r>
        <w:t xml:space="preserve"> more realistic than the alternatives. </w:t>
      </w:r>
    </w:p>
    <w:p w14:paraId="43068E05" w14:textId="7887DC56" w:rsidR="00FF24C7" w:rsidRDefault="00FF24C7" w:rsidP="008579EE">
      <w:pPr>
        <w:spacing w:line="480" w:lineRule="auto"/>
        <w:ind w:firstLine="720"/>
      </w:pPr>
      <w:r>
        <w:t xml:space="preserve">Simulations parameterized with weighted random LDD had significantly higher sensitivity values when compared with paired simulations parameterized with complete random LDD (t = 27.032, df = 499, P &lt;&lt; 0.001). There were no significant differences in positive predictive power assuming an occupancy threshold of 1000. However, for an occupancy threshold of 1, the weighted LDD simulations returned significantly higher positive predictive power values compared to the random LDD simulations (t = 21.940, df = 499, P &lt;&lt; 0.001). These results </w:t>
      </w:r>
      <w:r w:rsidR="00103578">
        <w:t>suggest</w:t>
      </w:r>
      <w:r>
        <w:t xml:space="preserve"> that simulations incorporating LDD weighted by human population density provide better fits to historic occurrence patterns than those using complete random LDD. Subsequent results represent simulations using weighted LDD, in addition to land-use change and effective density.</w:t>
      </w:r>
    </w:p>
    <w:p w14:paraId="6D83252A" w14:textId="3E2C12D5" w:rsidR="00FF24C7" w:rsidRPr="00F53B48" w:rsidRDefault="00FF24C7" w:rsidP="008579EE">
      <w:pPr>
        <w:spacing w:line="480" w:lineRule="auto"/>
        <w:rPr>
          <w:rFonts w:cs="Times New Roman"/>
          <w:iCs/>
        </w:rPr>
      </w:pPr>
      <w:r w:rsidRPr="00403D24">
        <w:rPr>
          <w:i/>
        </w:rPr>
        <w:t xml:space="preserve">Simulation sensitivity values </w:t>
      </w:r>
      <w:r>
        <w:rPr>
          <w:b/>
          <w:i/>
        </w:rPr>
        <w:t>–</w:t>
      </w:r>
      <w:r>
        <w:rPr>
          <w:rFonts w:cs="Times New Roman"/>
          <w:iCs/>
        </w:rPr>
        <w:t xml:space="preserve"> Sensitivity values varied widely through time both within and among simulations (Fig</w:t>
      </w:r>
      <w:r w:rsidR="006B2CC4">
        <w:rPr>
          <w:rFonts w:cs="Times New Roman"/>
          <w:iCs/>
        </w:rPr>
        <w:t>.</w:t>
      </w:r>
      <w:r>
        <w:rPr>
          <w:rFonts w:cs="Times New Roman"/>
          <w:iCs/>
        </w:rPr>
        <w:t xml:space="preserve"> </w:t>
      </w:r>
      <w:r w:rsidR="006B2CC4">
        <w:rPr>
          <w:rFonts w:cs="Times New Roman"/>
          <w:iCs/>
        </w:rPr>
        <w:t>3</w:t>
      </w:r>
      <w:r>
        <w:rPr>
          <w:rFonts w:cs="Times New Roman"/>
          <w:iCs/>
        </w:rPr>
        <w:t>). They were also greatly affected by occupancy threshold values</w:t>
      </w:r>
      <w:r w:rsidR="00F53B48">
        <w:rPr>
          <w:rFonts w:cs="Times New Roman"/>
          <w:iCs/>
        </w:rPr>
        <w:t xml:space="preserve">; sensitivities were </w:t>
      </w:r>
      <w:r w:rsidR="00340215">
        <w:rPr>
          <w:rFonts w:cs="Times New Roman"/>
          <w:iCs/>
        </w:rPr>
        <w:t xml:space="preserve">higher </w:t>
      </w:r>
      <w:r w:rsidR="00F53B48">
        <w:rPr>
          <w:rFonts w:cs="Times New Roman"/>
          <w:iCs/>
        </w:rPr>
        <w:t>for the</w:t>
      </w:r>
      <w:r w:rsidR="00340215">
        <w:rPr>
          <w:rFonts w:cs="Times New Roman"/>
          <w:iCs/>
        </w:rPr>
        <w:t xml:space="preserve"> occupancy threshold </w:t>
      </w:r>
      <w:r w:rsidR="00F53B48">
        <w:rPr>
          <w:rFonts w:cs="Times New Roman"/>
          <w:iCs/>
        </w:rPr>
        <w:t>of</w:t>
      </w:r>
      <w:r w:rsidR="00340215">
        <w:rPr>
          <w:rFonts w:cs="Times New Roman"/>
          <w:iCs/>
        </w:rPr>
        <w:t xml:space="preserve"> 1 individual compared to thresholds of 1000 and 2000 individuals (Fig</w:t>
      </w:r>
      <w:r w:rsidR="006B2CC4">
        <w:rPr>
          <w:rFonts w:cs="Times New Roman"/>
          <w:iCs/>
        </w:rPr>
        <w:t>. 3</w:t>
      </w:r>
      <w:r w:rsidR="00340215">
        <w:rPr>
          <w:rFonts w:cs="Times New Roman"/>
          <w:iCs/>
        </w:rPr>
        <w:t>). The latter two thresholds showed no significant differences between them.</w:t>
      </w:r>
      <w:r w:rsidR="00F53B48">
        <w:rPr>
          <w:rFonts w:cs="Times New Roman"/>
          <w:iCs/>
        </w:rPr>
        <w:t xml:space="preserve"> </w:t>
      </w:r>
      <w:r>
        <w:rPr>
          <w:rFonts w:cs="Times New Roman"/>
          <w:iCs/>
        </w:rPr>
        <w:t>It is notable</w:t>
      </w:r>
      <w:r w:rsidR="00F53B48">
        <w:rPr>
          <w:rFonts w:cs="Times New Roman"/>
          <w:iCs/>
        </w:rPr>
        <w:t xml:space="preserve"> that model sensitivity declined</w:t>
      </w:r>
      <w:r>
        <w:rPr>
          <w:rFonts w:cs="Times New Roman"/>
          <w:iCs/>
        </w:rPr>
        <w:t xml:space="preserve"> immediately after simulations begin, and for occupancy threshold values of 1000 and 2000, most show poor predictive ability (low sensitivity) during the middle years of the simulation (</w:t>
      </w:r>
      <w:r w:rsidR="00F53B48">
        <w:rPr>
          <w:rFonts w:cs="Times New Roman"/>
          <w:iCs/>
        </w:rPr>
        <w:t>Fig</w:t>
      </w:r>
      <w:r w:rsidR="00452FFA">
        <w:rPr>
          <w:rFonts w:cs="Times New Roman"/>
          <w:iCs/>
        </w:rPr>
        <w:t>.</w:t>
      </w:r>
      <w:r w:rsidR="00F53B48">
        <w:rPr>
          <w:rFonts w:cs="Times New Roman"/>
          <w:iCs/>
        </w:rPr>
        <w:t xml:space="preserve"> </w:t>
      </w:r>
      <w:r w:rsidR="00452FFA">
        <w:rPr>
          <w:rFonts w:cs="Times New Roman"/>
          <w:iCs/>
        </w:rPr>
        <w:t>3</w:t>
      </w:r>
      <w:r>
        <w:rPr>
          <w:rFonts w:cs="Times New Roman"/>
          <w:iCs/>
        </w:rPr>
        <w:t>).</w:t>
      </w:r>
      <w:r w:rsidR="00F53B48">
        <w:rPr>
          <w:rFonts w:cs="Times New Roman"/>
          <w:iCs/>
        </w:rPr>
        <w:t xml:space="preserve"> These results indicate an</w:t>
      </w:r>
      <w:r>
        <w:rPr>
          <w:rFonts w:cs="Times New Roman"/>
          <w:iCs/>
        </w:rPr>
        <w:t xml:space="preserve"> inability of both </w:t>
      </w:r>
      <w:r w:rsidR="00E61C32">
        <w:rPr>
          <w:rFonts w:cs="Times New Roman"/>
          <w:iCs/>
        </w:rPr>
        <w:t xml:space="preserve">the </w:t>
      </w:r>
      <w:r>
        <w:rPr>
          <w:rFonts w:cs="Times New Roman"/>
          <w:iCs/>
        </w:rPr>
        <w:t>local and long-distance dispersal parameterizations to</w:t>
      </w:r>
      <w:r w:rsidR="00F53B48">
        <w:rPr>
          <w:rFonts w:cs="Times New Roman"/>
          <w:iCs/>
        </w:rPr>
        <w:t xml:space="preserve"> adequately track the historic</w:t>
      </w:r>
      <w:r>
        <w:rPr>
          <w:rFonts w:cs="Times New Roman"/>
          <w:iCs/>
        </w:rPr>
        <w:t xml:space="preserve"> </w:t>
      </w:r>
      <w:r>
        <w:rPr>
          <w:rFonts w:cs="Times New Roman"/>
          <w:iCs/>
        </w:rPr>
        <w:lastRenderedPageBreak/>
        <w:t>spread</w:t>
      </w:r>
      <w:r w:rsidR="003A473D">
        <w:rPr>
          <w:rFonts w:cs="Times New Roman"/>
          <w:iCs/>
        </w:rPr>
        <w:t xml:space="preserve"> of</w:t>
      </w:r>
      <w:r>
        <w:rPr>
          <w:rFonts w:cs="Times New Roman"/>
          <w:iCs/>
        </w:rPr>
        <w:t xml:space="preserve"> </w:t>
      </w:r>
      <w:r>
        <w:rPr>
          <w:rFonts w:cs="Times New Roman"/>
          <w:i/>
          <w:iCs/>
        </w:rPr>
        <w:t xml:space="preserve">F. </w:t>
      </w:r>
      <w:proofErr w:type="spellStart"/>
      <w:r>
        <w:rPr>
          <w:rFonts w:cs="Times New Roman"/>
          <w:i/>
          <w:iCs/>
        </w:rPr>
        <w:t>alnus</w:t>
      </w:r>
      <w:proofErr w:type="spellEnd"/>
      <w:r>
        <w:rPr>
          <w:rFonts w:cs="Times New Roman"/>
          <w:iCs/>
        </w:rPr>
        <w:t>. While model fit metrics calculated assum</w:t>
      </w:r>
      <w:r w:rsidR="00F53B48">
        <w:rPr>
          <w:rFonts w:cs="Times New Roman"/>
          <w:iCs/>
        </w:rPr>
        <w:t>ing an occupancy threshold of 1</w:t>
      </w:r>
      <w:r>
        <w:rPr>
          <w:rFonts w:cs="Times New Roman"/>
          <w:iCs/>
        </w:rPr>
        <w:t xml:space="preserve"> </w:t>
      </w:r>
      <w:r w:rsidR="00F53B48">
        <w:rPr>
          <w:rFonts w:cs="Times New Roman"/>
          <w:iCs/>
        </w:rPr>
        <w:t>yielded</w:t>
      </w:r>
      <w:r>
        <w:rPr>
          <w:rFonts w:cs="Times New Roman"/>
          <w:iCs/>
        </w:rPr>
        <w:t xml:space="preserve"> relatively high sensitivity </w:t>
      </w:r>
      <w:r w:rsidR="003A473D">
        <w:rPr>
          <w:rFonts w:cs="Times New Roman"/>
          <w:iCs/>
        </w:rPr>
        <w:t>throughout</w:t>
      </w:r>
      <w:r>
        <w:rPr>
          <w:rFonts w:cs="Times New Roman"/>
          <w:iCs/>
        </w:rPr>
        <w:t xml:space="preserve"> the duration of simulations (</w:t>
      </w:r>
      <w:r w:rsidR="00BB6607">
        <w:rPr>
          <w:rFonts w:cs="Times New Roman"/>
          <w:iCs/>
        </w:rPr>
        <w:t>Fig. 3</w:t>
      </w:r>
      <w:r>
        <w:rPr>
          <w:rFonts w:cs="Times New Roman"/>
          <w:iCs/>
        </w:rPr>
        <w:t xml:space="preserve">), they also </w:t>
      </w:r>
      <w:r w:rsidR="00F53B48">
        <w:rPr>
          <w:rFonts w:cs="Times New Roman"/>
          <w:iCs/>
        </w:rPr>
        <w:t>had</w:t>
      </w:r>
      <w:r>
        <w:rPr>
          <w:rFonts w:cs="Times New Roman"/>
          <w:iCs/>
        </w:rPr>
        <w:t xml:space="preserve"> high values </w:t>
      </w:r>
      <w:r w:rsidR="00F53B48">
        <w:rPr>
          <w:rFonts w:cs="Times New Roman"/>
          <w:iCs/>
        </w:rPr>
        <w:t>for</w:t>
      </w:r>
      <w:r>
        <w:rPr>
          <w:rFonts w:cs="Times New Roman"/>
          <w:iCs/>
        </w:rPr>
        <w:t xml:space="preserve"> the number of patches predicted as occupied (</w:t>
      </w:r>
      <w:r w:rsidR="00CC322D">
        <w:rPr>
          <w:rFonts w:cs="Times New Roman"/>
          <w:iCs/>
        </w:rPr>
        <w:t>Fig. 4</w:t>
      </w:r>
      <w:r>
        <w:rPr>
          <w:rFonts w:cs="Times New Roman"/>
          <w:iCs/>
        </w:rPr>
        <w:t xml:space="preserve">). This results in lower positive predictive power compared to the occupancy threshold of 1000 and 2000 measures. </w:t>
      </w:r>
      <w:r w:rsidR="005064B8">
        <w:rPr>
          <w:rFonts w:cs="Times New Roman"/>
          <w:iCs/>
        </w:rPr>
        <w:t xml:space="preserve">Considering only the occupancy threshold of 1000, there was a clear </w:t>
      </w:r>
      <w:r w:rsidR="002A1500">
        <w:rPr>
          <w:rFonts w:cs="Times New Roman"/>
          <w:iCs/>
        </w:rPr>
        <w:t>tradeoff</w:t>
      </w:r>
      <w:r w:rsidR="005064B8">
        <w:rPr>
          <w:rFonts w:cs="Times New Roman"/>
          <w:iCs/>
        </w:rPr>
        <w:t xml:space="preserve"> between sensitivity and positive predictive power (</w:t>
      </w:r>
      <w:r w:rsidR="007F767B">
        <w:rPr>
          <w:rFonts w:cs="Times New Roman"/>
          <w:iCs/>
        </w:rPr>
        <w:t>Fig</w:t>
      </w:r>
      <w:r w:rsidR="00CC322D">
        <w:rPr>
          <w:rFonts w:cs="Times New Roman"/>
          <w:iCs/>
        </w:rPr>
        <w:t>.</w:t>
      </w:r>
      <w:r w:rsidR="007F767B">
        <w:rPr>
          <w:rFonts w:cs="Times New Roman"/>
          <w:iCs/>
        </w:rPr>
        <w:t xml:space="preserve"> </w:t>
      </w:r>
      <w:r w:rsidR="00CC322D">
        <w:rPr>
          <w:rFonts w:cs="Times New Roman"/>
          <w:iCs/>
        </w:rPr>
        <w:t>5</w:t>
      </w:r>
      <w:r w:rsidR="005064B8">
        <w:rPr>
          <w:rFonts w:cs="Times New Roman"/>
          <w:iCs/>
        </w:rPr>
        <w:t>).</w:t>
      </w:r>
      <w:r w:rsidR="00346C27">
        <w:rPr>
          <w:rFonts w:cs="Times New Roman"/>
          <w:iCs/>
        </w:rPr>
        <w:t xml:space="preserve"> Results were similar using thresholds of 1 and 2000.</w:t>
      </w:r>
    </w:p>
    <w:p w14:paraId="548BC8C4" w14:textId="20CF156C" w:rsidR="00FF24C7" w:rsidRPr="00343259" w:rsidRDefault="00FF24C7" w:rsidP="00343259">
      <w:pPr>
        <w:spacing w:line="480" w:lineRule="auto"/>
        <w:rPr>
          <w:rFonts w:cs="Times New Roman"/>
          <w:i/>
          <w:iCs/>
        </w:rPr>
      </w:pPr>
      <w:bookmarkStart w:id="4" w:name="OLE_LINK9"/>
      <w:bookmarkStart w:id="5" w:name="OLE_LINK10"/>
      <w:r w:rsidRPr="00403D24">
        <w:rPr>
          <w:i/>
        </w:rPr>
        <w:t xml:space="preserve">Input parameters best explaining historical patterns of </w:t>
      </w:r>
      <w:r w:rsidRPr="00403D24">
        <w:rPr>
          <w:rFonts w:cs="Times New Roman"/>
          <w:i/>
          <w:iCs/>
        </w:rPr>
        <w:t xml:space="preserve">F. </w:t>
      </w:r>
      <w:proofErr w:type="spellStart"/>
      <w:r w:rsidRPr="00403D24">
        <w:rPr>
          <w:rFonts w:cs="Times New Roman"/>
          <w:i/>
          <w:iCs/>
        </w:rPr>
        <w:t>alnus</w:t>
      </w:r>
      <w:proofErr w:type="spellEnd"/>
      <w:r w:rsidRPr="00403D24">
        <w:rPr>
          <w:rFonts w:cs="Times New Roman"/>
          <w:i/>
          <w:iCs/>
        </w:rPr>
        <w:t xml:space="preserve"> occurrence</w:t>
      </w:r>
      <w:bookmarkEnd w:id="4"/>
      <w:bookmarkEnd w:id="5"/>
      <w:r w:rsidR="00CA793A">
        <w:rPr>
          <w:rFonts w:cs="Times New Roman"/>
          <w:i/>
          <w:iCs/>
        </w:rPr>
        <w:t xml:space="preserve"> - </w:t>
      </w:r>
      <w:r w:rsidR="00343259">
        <w:rPr>
          <w:rFonts w:cs="Times New Roman"/>
          <w:iCs/>
        </w:rPr>
        <w:t>The binary combined metric was</w:t>
      </w:r>
      <w:r w:rsidR="00367DC6">
        <w:rPr>
          <w:rFonts w:cs="Times New Roman"/>
          <w:iCs/>
        </w:rPr>
        <w:t xml:space="preserve"> calculated on results using each of the three threshold occupancy values</w:t>
      </w:r>
      <w:r w:rsidR="009E1AFD">
        <w:rPr>
          <w:rFonts w:cs="Times New Roman"/>
          <w:iCs/>
        </w:rPr>
        <w:t>. Considering the</w:t>
      </w:r>
      <w:r>
        <w:rPr>
          <w:rFonts w:cs="Times New Roman"/>
          <w:iCs/>
        </w:rPr>
        <w:t xml:space="preserve"> occupancy threshold </w:t>
      </w:r>
      <w:r w:rsidR="00343259">
        <w:rPr>
          <w:rFonts w:cs="Times New Roman"/>
          <w:iCs/>
        </w:rPr>
        <w:t>of</w:t>
      </w:r>
      <w:r>
        <w:rPr>
          <w:rFonts w:cs="Times New Roman"/>
          <w:iCs/>
        </w:rPr>
        <w:t xml:space="preserve"> 1000 individuals, </w:t>
      </w:r>
      <w:r w:rsidR="00343259">
        <w:rPr>
          <w:rFonts w:cs="Times New Roman"/>
          <w:iCs/>
        </w:rPr>
        <w:t xml:space="preserve">94 of the 500 simulation models </w:t>
      </w:r>
      <w:r w:rsidR="005C71E0">
        <w:rPr>
          <w:rFonts w:cs="Times New Roman"/>
          <w:iCs/>
        </w:rPr>
        <w:t>yielded</w:t>
      </w:r>
      <w:r w:rsidR="00343259">
        <w:rPr>
          <w:rFonts w:cs="Times New Roman"/>
          <w:iCs/>
        </w:rPr>
        <w:t xml:space="preserve"> a value of 1</w:t>
      </w:r>
      <w:r w:rsidR="008308D0">
        <w:rPr>
          <w:rFonts w:cs="Times New Roman"/>
          <w:iCs/>
        </w:rPr>
        <w:t xml:space="preserve"> (Fig. 5)</w:t>
      </w:r>
      <w:r w:rsidR="00343259">
        <w:rPr>
          <w:rFonts w:cs="Times New Roman"/>
          <w:iCs/>
        </w:rPr>
        <w:t>.</w:t>
      </w:r>
      <w:r w:rsidR="00343259">
        <w:rPr>
          <w:rFonts w:cs="Times New Roman"/>
          <w:i/>
        </w:rPr>
        <w:t xml:space="preserve"> </w:t>
      </w:r>
      <w:r w:rsidR="00343259">
        <w:rPr>
          <w:rFonts w:cs="Times New Roman"/>
          <w:iCs/>
        </w:rPr>
        <w:t xml:space="preserve">Results of the boosted regression tree analysis showed that </w:t>
      </w:r>
      <w:r>
        <w:rPr>
          <w:rFonts w:cs="Times New Roman"/>
          <w:iCs/>
        </w:rPr>
        <w:t>fecundity</w:t>
      </w:r>
      <w:r w:rsidR="00343259">
        <w:rPr>
          <w:rFonts w:cs="Times New Roman"/>
          <w:iCs/>
        </w:rPr>
        <w:t xml:space="preserve"> had the highest relative influence</w:t>
      </w:r>
      <w:r>
        <w:rPr>
          <w:rFonts w:cs="Times New Roman"/>
          <w:iCs/>
        </w:rPr>
        <w:t xml:space="preserve"> (32.2%), </w:t>
      </w:r>
      <w:r w:rsidR="00343259">
        <w:rPr>
          <w:rFonts w:cs="Times New Roman"/>
          <w:iCs/>
        </w:rPr>
        <w:t xml:space="preserve">followed by </w:t>
      </w:r>
      <w:r>
        <w:rPr>
          <w:rFonts w:cs="Times New Roman"/>
          <w:iCs/>
        </w:rPr>
        <w:t>number of LLD events (21.5%), and metapopulation initial abundance (14.2%)</w:t>
      </w:r>
      <w:r w:rsidR="005C71E0">
        <w:rPr>
          <w:rFonts w:cs="Times New Roman"/>
          <w:iCs/>
        </w:rPr>
        <w:t xml:space="preserve"> on distinguishing between a combined metric value of 0 or 1</w:t>
      </w:r>
      <w:r>
        <w:rPr>
          <w:rFonts w:cs="Times New Roman"/>
          <w:iCs/>
        </w:rPr>
        <w:t xml:space="preserve">. </w:t>
      </w:r>
      <w:r w:rsidR="002C6315">
        <w:rPr>
          <w:rFonts w:cs="Times New Roman"/>
          <w:iCs/>
        </w:rPr>
        <w:t>The remaining parameters, with the exception of carrying capacity, all ha</w:t>
      </w:r>
      <w:r w:rsidR="005C71E0">
        <w:rPr>
          <w:rFonts w:cs="Times New Roman"/>
          <w:iCs/>
        </w:rPr>
        <w:t>d</w:t>
      </w:r>
      <w:r w:rsidR="002C6315">
        <w:rPr>
          <w:rFonts w:cs="Times New Roman"/>
          <w:iCs/>
        </w:rPr>
        <w:t xml:space="preserve"> influence values between </w:t>
      </w:r>
      <w:r w:rsidR="00343259">
        <w:rPr>
          <w:rFonts w:cs="Times New Roman"/>
          <w:iCs/>
        </w:rPr>
        <w:t>approximately</w:t>
      </w:r>
      <w:r w:rsidR="002C6315">
        <w:rPr>
          <w:rFonts w:cs="Times New Roman"/>
          <w:iCs/>
        </w:rPr>
        <w:t xml:space="preserve"> 5% and 7%. </w:t>
      </w:r>
      <w:r>
        <w:rPr>
          <w:rFonts w:cs="Times New Roman"/>
          <w:iCs/>
        </w:rPr>
        <w:t xml:space="preserve">Examining the relationships between input parameter values and </w:t>
      </w:r>
      <w:r w:rsidR="00897B4B">
        <w:rPr>
          <w:rFonts w:cs="Times New Roman"/>
          <w:iCs/>
        </w:rPr>
        <w:t xml:space="preserve">the prediction of the combined metric </w:t>
      </w:r>
      <w:r w:rsidR="00897B4B" w:rsidRPr="00352380">
        <w:rPr>
          <w:rFonts w:cs="Times New Roman"/>
          <w:iCs/>
        </w:rPr>
        <w:t>(logit (p))</w:t>
      </w:r>
      <w:r>
        <w:rPr>
          <w:rFonts w:cs="Times New Roman"/>
          <w:iCs/>
        </w:rPr>
        <w:t xml:space="preserve"> suggests that simulations with moderate to high values for both fecundity and LDD values best </w:t>
      </w:r>
      <w:r w:rsidR="005E4781">
        <w:rPr>
          <w:rFonts w:cs="Times New Roman"/>
          <w:iCs/>
        </w:rPr>
        <w:t>predict</w:t>
      </w:r>
      <w:r>
        <w:rPr>
          <w:rFonts w:cs="Times New Roman"/>
          <w:iCs/>
        </w:rPr>
        <w:t xml:space="preserve"> historic occurrence patterns </w:t>
      </w:r>
      <w:r w:rsidR="00545D7D">
        <w:rPr>
          <w:rFonts w:cs="Times New Roman"/>
          <w:iCs/>
        </w:rPr>
        <w:t xml:space="preserve">(mean fecundity of 9.25 (2.36 SD) and mean LDD of 291 (116 SD); </w:t>
      </w:r>
      <w:r>
        <w:rPr>
          <w:rFonts w:cs="Times New Roman"/>
          <w:iCs/>
        </w:rPr>
        <w:t>(</w:t>
      </w:r>
      <w:r w:rsidR="007F767B">
        <w:rPr>
          <w:rFonts w:cs="Times New Roman"/>
          <w:iCs/>
        </w:rPr>
        <w:t>Fig</w:t>
      </w:r>
      <w:r w:rsidR="00590BDB">
        <w:rPr>
          <w:rFonts w:cs="Times New Roman"/>
          <w:iCs/>
        </w:rPr>
        <w:t>s. 6 &amp; 7</w:t>
      </w:r>
      <w:r>
        <w:rPr>
          <w:rFonts w:cs="Times New Roman"/>
          <w:iCs/>
        </w:rPr>
        <w:t xml:space="preserve">). However, extremely high values of both parameters do not result in simulations with good measures of fit. </w:t>
      </w:r>
      <w:r w:rsidR="00274152">
        <w:rPr>
          <w:rFonts w:cs="Times New Roman"/>
          <w:iCs/>
        </w:rPr>
        <w:t xml:space="preserve">Simulations yielding good model fit include those with high survival-growth values. </w:t>
      </w:r>
      <w:r>
        <w:rPr>
          <w:rFonts w:cs="Times New Roman"/>
          <w:iCs/>
        </w:rPr>
        <w:t>Examination of interaction plots (</w:t>
      </w:r>
      <w:r w:rsidR="007F767B">
        <w:rPr>
          <w:rFonts w:cs="Times New Roman"/>
          <w:iCs/>
        </w:rPr>
        <w:t>Fig</w:t>
      </w:r>
      <w:r w:rsidR="00590BDB">
        <w:rPr>
          <w:rFonts w:cs="Times New Roman"/>
          <w:iCs/>
        </w:rPr>
        <w:t>. 8</w:t>
      </w:r>
      <w:r>
        <w:rPr>
          <w:rFonts w:cs="Times New Roman"/>
          <w:iCs/>
        </w:rPr>
        <w:t xml:space="preserve">) confirms these findings and shows the strong interactions between fecundity and LDD values, as well as moderate interactions between fecundity and </w:t>
      </w:r>
      <w:r w:rsidR="004A75BE">
        <w:rPr>
          <w:rFonts w:cs="Times New Roman"/>
          <w:iCs/>
        </w:rPr>
        <w:t>metapopulation initial abundance</w:t>
      </w:r>
      <w:r>
        <w:rPr>
          <w:rFonts w:cs="Times New Roman"/>
          <w:iCs/>
        </w:rPr>
        <w:t xml:space="preserve"> and fecundity and </w:t>
      </w:r>
      <w:r w:rsidR="004A75BE">
        <w:rPr>
          <w:rFonts w:cs="Times New Roman"/>
          <w:iCs/>
        </w:rPr>
        <w:t>variability (standard deviation) of fecundity</w:t>
      </w:r>
      <w:r>
        <w:rPr>
          <w:rFonts w:cs="Times New Roman"/>
          <w:iCs/>
        </w:rPr>
        <w:t xml:space="preserve">. </w:t>
      </w:r>
      <w:r w:rsidR="004A75BE">
        <w:rPr>
          <w:rFonts w:cs="Times New Roman"/>
          <w:iCs/>
        </w:rPr>
        <w:t xml:space="preserve">Additionally, there were moderate interactions between LDD and </w:t>
      </w:r>
      <w:r w:rsidR="004A75BE">
        <w:rPr>
          <w:rFonts w:cs="Times New Roman"/>
          <w:iCs/>
        </w:rPr>
        <w:lastRenderedPageBreak/>
        <w:t xml:space="preserve">metapopulation initial abundance. </w:t>
      </w:r>
      <w:r>
        <w:rPr>
          <w:rFonts w:cs="Times New Roman"/>
          <w:iCs/>
        </w:rPr>
        <w:t xml:space="preserve">Moderate to high values of fecundity yield simulations with good model fit, provided these simulation also include moderate to high LDD values. </w:t>
      </w:r>
      <w:r>
        <w:br w:type="page"/>
      </w:r>
    </w:p>
    <w:p w14:paraId="11A1E2C5" w14:textId="1836B390" w:rsidR="00FF24C7" w:rsidRPr="00C87F16" w:rsidRDefault="00FF24C7" w:rsidP="008579EE">
      <w:pPr>
        <w:spacing w:line="480" w:lineRule="auto"/>
        <w:rPr>
          <w:b/>
          <w:color w:val="FF0000"/>
        </w:rPr>
      </w:pPr>
      <w:r w:rsidRPr="00403D24">
        <w:rPr>
          <w:b/>
        </w:rPr>
        <w:lastRenderedPageBreak/>
        <w:t>Discussion</w:t>
      </w:r>
    </w:p>
    <w:p w14:paraId="7AD6A731" w14:textId="71E768D8" w:rsidR="00BC5214" w:rsidRPr="00C91EDA" w:rsidRDefault="001826DE" w:rsidP="00C91EDA">
      <w:pPr>
        <w:spacing w:line="480" w:lineRule="auto"/>
        <w:ind w:firstLine="720"/>
        <w:rPr>
          <w:highlight w:val="yellow"/>
        </w:rPr>
      </w:pPr>
      <w:r w:rsidRPr="00FC75F9">
        <w:t xml:space="preserve">I hypothesized that </w:t>
      </w:r>
      <w:r w:rsidR="00C91EDA">
        <w:rPr>
          <w:rFonts w:eastAsiaTheme="minorEastAsia" w:cs="Times New Roman"/>
          <w:iCs/>
        </w:rPr>
        <w:t xml:space="preserve">life-history characteristics, including high fecundity and survival, were integral to the expansion of </w:t>
      </w:r>
      <w:r w:rsidR="00C91EDA">
        <w:rPr>
          <w:rFonts w:eastAsiaTheme="minorEastAsia" w:cs="Times New Roman"/>
          <w:i/>
          <w:iCs/>
        </w:rPr>
        <w:t xml:space="preserve">F. </w:t>
      </w:r>
      <w:proofErr w:type="spellStart"/>
      <w:r w:rsidR="00C91EDA">
        <w:rPr>
          <w:rFonts w:eastAsiaTheme="minorEastAsia" w:cs="Times New Roman"/>
          <w:i/>
          <w:iCs/>
        </w:rPr>
        <w:t>alnus</w:t>
      </w:r>
      <w:proofErr w:type="spellEnd"/>
      <w:r w:rsidR="00C91EDA">
        <w:rPr>
          <w:rFonts w:eastAsiaTheme="minorEastAsia" w:cs="Times New Roman"/>
          <w:iCs/>
        </w:rPr>
        <w:t>, that 20</w:t>
      </w:r>
      <w:r w:rsidR="00C91EDA" w:rsidRPr="006A1E96">
        <w:rPr>
          <w:rFonts w:eastAsiaTheme="minorEastAsia" w:cs="Times New Roman"/>
          <w:iCs/>
          <w:vertAlign w:val="superscript"/>
        </w:rPr>
        <w:t>th</w:t>
      </w:r>
      <w:r w:rsidR="00C91EDA">
        <w:rPr>
          <w:rFonts w:eastAsiaTheme="minorEastAsia" w:cs="Times New Roman"/>
          <w:iCs/>
        </w:rPr>
        <w:t xml:space="preserve"> century land-use change was positively associated with </w:t>
      </w:r>
      <w:r w:rsidR="00C91EDA">
        <w:rPr>
          <w:rFonts w:eastAsiaTheme="minorEastAsia" w:cs="Times New Roman"/>
          <w:i/>
          <w:iCs/>
        </w:rPr>
        <w:t xml:space="preserve">F. </w:t>
      </w:r>
      <w:proofErr w:type="spellStart"/>
      <w:r w:rsidR="00C91EDA">
        <w:rPr>
          <w:rFonts w:eastAsiaTheme="minorEastAsia" w:cs="Times New Roman"/>
          <w:i/>
          <w:iCs/>
        </w:rPr>
        <w:t>alnus</w:t>
      </w:r>
      <w:proofErr w:type="spellEnd"/>
      <w:r w:rsidR="00C91EDA">
        <w:rPr>
          <w:rFonts w:eastAsiaTheme="minorEastAsia" w:cs="Times New Roman"/>
          <w:i/>
          <w:iCs/>
        </w:rPr>
        <w:t xml:space="preserve"> </w:t>
      </w:r>
      <w:r w:rsidR="00C91EDA">
        <w:rPr>
          <w:rFonts w:eastAsiaTheme="minorEastAsia" w:cs="Times New Roman"/>
          <w:iCs/>
        </w:rPr>
        <w:t xml:space="preserve">range expansion, and that long-distance dispersal events were an important contributor to its rapid spread. </w:t>
      </w:r>
      <w:r w:rsidR="00C91EDA">
        <w:t>T</w:t>
      </w:r>
      <w:r w:rsidR="00256E04">
        <w:rPr>
          <w:rFonts w:cs="Times New Roman"/>
          <w:iCs/>
        </w:rPr>
        <w:t xml:space="preserve">he </w:t>
      </w:r>
      <w:r w:rsidR="00DD1816">
        <w:rPr>
          <w:rFonts w:cs="Times New Roman"/>
          <w:iCs/>
        </w:rPr>
        <w:t xml:space="preserve">invasion of </w:t>
      </w:r>
      <w:r w:rsidR="00607634">
        <w:rPr>
          <w:rFonts w:cs="Times New Roman"/>
          <w:i/>
          <w:iCs/>
        </w:rPr>
        <w:t xml:space="preserve">F. </w:t>
      </w:r>
      <w:proofErr w:type="spellStart"/>
      <w:r w:rsidR="00607634">
        <w:rPr>
          <w:rFonts w:cs="Times New Roman"/>
          <w:i/>
          <w:iCs/>
        </w:rPr>
        <w:t>alnus</w:t>
      </w:r>
      <w:proofErr w:type="spellEnd"/>
      <w:r w:rsidR="0037719E">
        <w:rPr>
          <w:rFonts w:cs="Times New Roman"/>
          <w:iCs/>
        </w:rPr>
        <w:t xml:space="preserve"> </w:t>
      </w:r>
      <w:r w:rsidR="00DD1816">
        <w:rPr>
          <w:rFonts w:cs="Times New Roman"/>
          <w:iCs/>
        </w:rPr>
        <w:t xml:space="preserve">in North American </w:t>
      </w:r>
      <w:r w:rsidR="00BC5214">
        <w:rPr>
          <w:rFonts w:cs="Times New Roman"/>
          <w:iCs/>
        </w:rPr>
        <w:t>was</w:t>
      </w:r>
      <w:r w:rsidR="0037719E">
        <w:rPr>
          <w:rFonts w:cs="Times New Roman"/>
          <w:iCs/>
        </w:rPr>
        <w:t xml:space="preserve"> replicated </w:t>
      </w:r>
      <w:r w:rsidR="00BC5214">
        <w:rPr>
          <w:rFonts w:cs="Times New Roman"/>
          <w:iCs/>
        </w:rPr>
        <w:t>with</w:t>
      </w:r>
      <w:r w:rsidR="0037719E">
        <w:rPr>
          <w:rFonts w:cs="Times New Roman"/>
          <w:iCs/>
        </w:rPr>
        <w:t xml:space="preserve"> simulations parameterized with moderate fecundity values, high survival values, and</w:t>
      </w:r>
      <w:r w:rsidR="00256E04">
        <w:rPr>
          <w:rFonts w:cs="Times New Roman"/>
          <w:iCs/>
        </w:rPr>
        <w:t xml:space="preserve"> </w:t>
      </w:r>
      <w:r w:rsidR="0037719E">
        <w:rPr>
          <w:rFonts w:cs="Times New Roman"/>
          <w:iCs/>
        </w:rPr>
        <w:t>extensive long-distance dispersal</w:t>
      </w:r>
      <w:r w:rsidR="00C91EDA">
        <w:rPr>
          <w:rFonts w:cs="Times New Roman"/>
          <w:iCs/>
        </w:rPr>
        <w:t xml:space="preserve">, </w:t>
      </w:r>
      <w:r w:rsidR="00C91EDA">
        <w:rPr>
          <w:rFonts w:eastAsiaTheme="minorEastAsia" w:cs="Times New Roman"/>
          <w:iCs/>
        </w:rPr>
        <w:t>providing mixed support for each of these hypotheses</w:t>
      </w:r>
      <w:r w:rsidR="0037719E">
        <w:rPr>
          <w:rFonts w:cs="Times New Roman"/>
          <w:iCs/>
        </w:rPr>
        <w:t xml:space="preserve">. </w:t>
      </w:r>
      <w:r w:rsidR="00BC5214">
        <w:rPr>
          <w:rFonts w:cs="Times New Roman"/>
          <w:iCs/>
        </w:rPr>
        <w:t>U</w:t>
      </w:r>
      <w:r w:rsidR="00D919F2">
        <w:rPr>
          <w:rFonts w:cs="Times New Roman"/>
          <w:iCs/>
        </w:rPr>
        <w:t>sing the</w:t>
      </w:r>
      <w:r w:rsidR="005142E9">
        <w:rPr>
          <w:rFonts w:cs="Times New Roman"/>
          <w:iCs/>
        </w:rPr>
        <w:t xml:space="preserve"> combined sensitivity and positive predictive power fit metric, </w:t>
      </w:r>
      <w:r w:rsidR="005142E9">
        <w:rPr>
          <w:rFonts w:eastAsiaTheme="minorEastAsia" w:cs="Times New Roman"/>
          <w:iCs/>
        </w:rPr>
        <w:t xml:space="preserve">I conclude that </w:t>
      </w:r>
      <w:r w:rsidR="005142E9">
        <w:rPr>
          <w:rFonts w:eastAsiaTheme="minorEastAsia" w:cs="Times New Roman"/>
          <w:i/>
          <w:iCs/>
        </w:rPr>
        <w:t xml:space="preserve">F. </w:t>
      </w:r>
      <w:proofErr w:type="spellStart"/>
      <w:r w:rsidR="005142E9">
        <w:rPr>
          <w:rFonts w:eastAsiaTheme="minorEastAsia" w:cs="Times New Roman"/>
          <w:i/>
          <w:iCs/>
        </w:rPr>
        <w:t>alnus</w:t>
      </w:r>
      <w:proofErr w:type="spellEnd"/>
      <w:r w:rsidR="005142E9">
        <w:rPr>
          <w:rFonts w:eastAsiaTheme="minorEastAsia" w:cs="Times New Roman"/>
          <w:i/>
          <w:iCs/>
        </w:rPr>
        <w:t xml:space="preserve"> </w:t>
      </w:r>
      <w:r w:rsidR="005142E9">
        <w:rPr>
          <w:rFonts w:eastAsiaTheme="minorEastAsia" w:cs="Times New Roman"/>
          <w:iCs/>
        </w:rPr>
        <w:t>had relatively high fecundity</w:t>
      </w:r>
      <w:r w:rsidR="005142E9" w:rsidRPr="00515162">
        <w:rPr>
          <w:rFonts w:eastAsiaTheme="minorEastAsia" w:cs="Times New Roman"/>
          <w:iCs/>
        </w:rPr>
        <w:t xml:space="preserve"> </w:t>
      </w:r>
      <w:r w:rsidR="005142E9">
        <w:rPr>
          <w:rFonts w:eastAsiaTheme="minorEastAsia" w:cs="Times New Roman"/>
          <w:iCs/>
        </w:rPr>
        <w:t>during its expansion</w:t>
      </w:r>
      <w:r w:rsidR="00BC5214">
        <w:rPr>
          <w:rFonts w:eastAsiaTheme="minorEastAsia" w:cs="Times New Roman"/>
          <w:iCs/>
        </w:rPr>
        <w:t xml:space="preserve"> with </w:t>
      </w:r>
      <w:r w:rsidR="005142E9">
        <w:rPr>
          <w:rFonts w:eastAsiaTheme="minorEastAsia" w:cs="Times New Roman"/>
          <w:iCs/>
        </w:rPr>
        <w:t>a mean population growth ra</w:t>
      </w:r>
      <w:r w:rsidR="007E6D45">
        <w:rPr>
          <w:rFonts w:eastAsiaTheme="minorEastAsia" w:cs="Times New Roman"/>
          <w:iCs/>
        </w:rPr>
        <w:t xml:space="preserve">te </w:t>
      </w:r>
      <w:r w:rsidR="001C28A5">
        <w:rPr>
          <w:rFonts w:eastAsiaTheme="minorEastAsia" w:cs="Times New Roman"/>
          <w:iCs/>
        </w:rPr>
        <w:t>of λ = 1.13 (</w:t>
      </w:r>
      <w:r w:rsidR="002C1C31">
        <w:rPr>
          <w:rFonts w:eastAsiaTheme="minorEastAsia" w:cs="Times New Roman"/>
          <w:iCs/>
        </w:rPr>
        <w:t>0.01 SD</w:t>
      </w:r>
      <w:r w:rsidR="001C28A5">
        <w:rPr>
          <w:rFonts w:eastAsiaTheme="minorEastAsia" w:cs="Times New Roman"/>
          <w:iCs/>
        </w:rPr>
        <w:t>)</w:t>
      </w:r>
      <w:r w:rsidR="002C1C31">
        <w:rPr>
          <w:rFonts w:eastAsiaTheme="minorEastAsia" w:cs="Times New Roman"/>
          <w:iCs/>
        </w:rPr>
        <w:t xml:space="preserve">. This is </w:t>
      </w:r>
      <w:r w:rsidR="00EB4173">
        <w:rPr>
          <w:rFonts w:eastAsiaTheme="minorEastAsia" w:cs="Times New Roman"/>
          <w:iCs/>
        </w:rPr>
        <w:t xml:space="preserve">higher than the mean </w:t>
      </w:r>
      <w:r w:rsidR="00BC5214">
        <w:rPr>
          <w:rFonts w:eastAsiaTheme="minorEastAsia" w:cs="Times New Roman"/>
          <w:iCs/>
        </w:rPr>
        <w:t>for</w:t>
      </w:r>
      <w:r w:rsidR="00D919F2">
        <w:rPr>
          <w:rFonts w:eastAsiaTheme="minorEastAsia" w:cs="Times New Roman"/>
          <w:iCs/>
        </w:rPr>
        <w:t xml:space="preserve"> 179 native species</w:t>
      </w:r>
      <w:r w:rsidR="00EB4173">
        <w:rPr>
          <w:rFonts w:eastAsiaTheme="minorEastAsia" w:cs="Times New Roman"/>
          <w:iCs/>
        </w:rPr>
        <w:t xml:space="preserve"> </w:t>
      </w:r>
      <w:r w:rsidR="00D919F2">
        <w:rPr>
          <w:rFonts w:eastAsiaTheme="minorEastAsia" w:cs="Times New Roman"/>
          <w:iCs/>
        </w:rPr>
        <w:t>(λ = 1.05)</w:t>
      </w:r>
      <w:r w:rsidR="00EB4173">
        <w:rPr>
          <w:rFonts w:eastAsiaTheme="minorEastAsia" w:cs="Times New Roman"/>
          <w:iCs/>
        </w:rPr>
        <w:t xml:space="preserve"> </w:t>
      </w:r>
      <w:r w:rsidR="002C1C31">
        <w:rPr>
          <w:rFonts w:eastAsiaTheme="minorEastAsia" w:cs="Times New Roman"/>
          <w:iCs/>
        </w:rPr>
        <w:t xml:space="preserve">reported in a review </w:t>
      </w:r>
      <w:r w:rsidR="00EB4173">
        <w:rPr>
          <w:rFonts w:eastAsiaTheme="minorEastAsia" w:cs="Times New Roman"/>
          <w:iCs/>
        </w:rPr>
        <w:t>of</w:t>
      </w:r>
      <w:r w:rsidR="002C1C31">
        <w:rPr>
          <w:rFonts w:eastAsiaTheme="minorEastAsia" w:cs="Times New Roman"/>
          <w:iCs/>
        </w:rPr>
        <w:t xml:space="preserve"> matrix projection models</w:t>
      </w:r>
      <w:r w:rsidR="00540002">
        <w:rPr>
          <w:rFonts w:eastAsiaTheme="minorEastAsia" w:cs="Times New Roman"/>
          <w:iCs/>
        </w:rPr>
        <w:t>, but lower than the mean of</w:t>
      </w:r>
      <w:r w:rsidR="00D919F2">
        <w:rPr>
          <w:rFonts w:eastAsiaTheme="minorEastAsia" w:cs="Times New Roman"/>
          <w:iCs/>
        </w:rPr>
        <w:t xml:space="preserve"> 21 invasive species</w:t>
      </w:r>
      <w:r w:rsidR="00EB4173">
        <w:rPr>
          <w:rFonts w:eastAsiaTheme="minorEastAsia" w:cs="Times New Roman"/>
          <w:iCs/>
        </w:rPr>
        <w:t xml:space="preserve"> </w:t>
      </w:r>
      <w:r w:rsidR="00D919F2">
        <w:rPr>
          <w:rFonts w:eastAsiaTheme="minorEastAsia" w:cs="Times New Roman"/>
          <w:iCs/>
        </w:rPr>
        <w:t>(</w:t>
      </w:r>
      <w:r w:rsidR="00EB4173" w:rsidRPr="00EB4173">
        <w:rPr>
          <w:rFonts w:eastAsiaTheme="minorEastAsia" w:cs="Times New Roman"/>
          <w:iCs/>
        </w:rPr>
        <w:t>λ = 1.47</w:t>
      </w:r>
      <w:r w:rsidR="00D919F2">
        <w:rPr>
          <w:rFonts w:eastAsiaTheme="minorEastAsia" w:cs="Times New Roman"/>
          <w:iCs/>
        </w:rPr>
        <w:t>)</w:t>
      </w:r>
      <w:r w:rsidR="002C1C31">
        <w:rPr>
          <w:rFonts w:eastAsiaTheme="minorEastAsia" w:cs="Times New Roman"/>
          <w:iCs/>
        </w:rPr>
        <w:t xml:space="preserve"> </w:t>
      </w:r>
      <w:r w:rsidR="005142E9" w:rsidRPr="005142E9">
        <w:rPr>
          <w:rFonts w:eastAsiaTheme="minorEastAsia" w:cs="Times New Roman"/>
          <w:iCs/>
          <w:noProof/>
        </w:rPr>
        <w:t>(Ramula et al. 2008)</w:t>
      </w:r>
      <w:r w:rsidR="005142E9">
        <w:rPr>
          <w:rFonts w:eastAsiaTheme="minorEastAsia" w:cs="Times New Roman"/>
          <w:iCs/>
        </w:rPr>
        <w:t xml:space="preserve">. </w:t>
      </w:r>
      <w:r w:rsidR="00DD1816">
        <w:rPr>
          <w:rFonts w:eastAsiaTheme="minorEastAsia" w:cs="Times New Roman"/>
          <w:iCs/>
        </w:rPr>
        <w:t xml:space="preserve">A relatively large number of </w:t>
      </w:r>
      <w:r w:rsidR="00575D59">
        <w:rPr>
          <w:rFonts w:eastAsiaTheme="minorEastAsia" w:cs="Times New Roman"/>
          <w:iCs/>
        </w:rPr>
        <w:t>LDD</w:t>
      </w:r>
      <w:r w:rsidR="00DD1816">
        <w:rPr>
          <w:rFonts w:eastAsiaTheme="minorEastAsia" w:cs="Times New Roman"/>
          <w:iCs/>
        </w:rPr>
        <w:t xml:space="preserve"> events was also necessary to match patterns of historic </w:t>
      </w:r>
      <w:r w:rsidR="00DD1816">
        <w:rPr>
          <w:rFonts w:eastAsiaTheme="minorEastAsia" w:cs="Times New Roman"/>
          <w:i/>
          <w:iCs/>
        </w:rPr>
        <w:t xml:space="preserve">F. </w:t>
      </w:r>
      <w:proofErr w:type="spellStart"/>
      <w:r w:rsidR="00DD1816" w:rsidRPr="00DD1816">
        <w:rPr>
          <w:rFonts w:eastAsiaTheme="minorEastAsia" w:cs="Times New Roman"/>
          <w:i/>
          <w:iCs/>
        </w:rPr>
        <w:t>alnus</w:t>
      </w:r>
      <w:proofErr w:type="spellEnd"/>
      <w:r w:rsidR="00DD1816">
        <w:rPr>
          <w:rFonts w:eastAsiaTheme="minorEastAsia" w:cs="Times New Roman"/>
          <w:iCs/>
        </w:rPr>
        <w:t xml:space="preserve"> spread </w:t>
      </w:r>
      <w:r w:rsidR="00D21EA2">
        <w:rPr>
          <w:rFonts w:eastAsiaTheme="minorEastAsia" w:cs="Times New Roman"/>
          <w:iCs/>
        </w:rPr>
        <w:t xml:space="preserve">– </w:t>
      </w:r>
      <w:r w:rsidR="00DD1816">
        <w:rPr>
          <w:rFonts w:eastAsiaTheme="minorEastAsia" w:cs="Times New Roman"/>
          <w:iCs/>
        </w:rPr>
        <w:t xml:space="preserve">a </w:t>
      </w:r>
      <w:r w:rsidR="001C28A5">
        <w:rPr>
          <w:rFonts w:eastAsiaTheme="minorEastAsia" w:cs="Times New Roman"/>
          <w:iCs/>
        </w:rPr>
        <w:t>mean of 291 (116 SD)</w:t>
      </w:r>
      <w:r w:rsidR="00DD1816">
        <w:rPr>
          <w:rFonts w:eastAsiaTheme="minorEastAsia" w:cs="Times New Roman"/>
          <w:iCs/>
        </w:rPr>
        <w:t xml:space="preserve"> dispersal events during its range expansion.</w:t>
      </w:r>
      <w:r w:rsidR="005142E9">
        <w:rPr>
          <w:rFonts w:eastAsiaTheme="minorEastAsia" w:cs="Times New Roman"/>
          <w:iCs/>
        </w:rPr>
        <w:t xml:space="preserve"> </w:t>
      </w:r>
      <w:r w:rsidR="003E6660">
        <w:rPr>
          <w:rFonts w:eastAsiaTheme="minorEastAsia" w:cs="Times New Roman"/>
          <w:iCs/>
        </w:rPr>
        <w:t xml:space="preserve">The </w:t>
      </w:r>
      <w:r w:rsidR="00C247D7">
        <w:rPr>
          <w:rFonts w:eastAsiaTheme="minorEastAsia" w:cs="Times New Roman"/>
          <w:iCs/>
        </w:rPr>
        <w:t xml:space="preserve">LDD events were likely associated with human facilitated transport. </w:t>
      </w:r>
      <w:r w:rsidR="00D919F2">
        <w:rPr>
          <w:rFonts w:eastAsiaTheme="minorEastAsia" w:cs="Times New Roman"/>
          <w:iCs/>
        </w:rPr>
        <w:t>I</w:t>
      </w:r>
      <w:r w:rsidR="007D00B6">
        <w:rPr>
          <w:rFonts w:eastAsiaTheme="minorEastAsia" w:cs="Times New Roman"/>
          <w:iCs/>
        </w:rPr>
        <w:t xml:space="preserve">nteractions between fecundity and LDD </w:t>
      </w:r>
      <w:r w:rsidR="00707E7B">
        <w:rPr>
          <w:rFonts w:eastAsiaTheme="minorEastAsia" w:cs="Times New Roman"/>
          <w:iCs/>
        </w:rPr>
        <w:t>also played a role in this invasion.</w:t>
      </w:r>
      <w:r w:rsidR="007D00B6">
        <w:rPr>
          <w:rFonts w:eastAsiaTheme="minorEastAsia" w:cs="Times New Roman"/>
          <w:iCs/>
        </w:rPr>
        <w:t xml:space="preserve"> </w:t>
      </w:r>
      <w:r w:rsidR="007D00B6">
        <w:rPr>
          <w:rFonts w:eastAsiaTheme="minorEastAsia" w:cs="Times New Roman"/>
          <w:i/>
          <w:iCs/>
        </w:rPr>
        <w:t xml:space="preserve">F. </w:t>
      </w:r>
      <w:proofErr w:type="spellStart"/>
      <w:r w:rsidR="007D00B6">
        <w:rPr>
          <w:rFonts w:eastAsiaTheme="minorEastAsia" w:cs="Times New Roman"/>
          <w:i/>
          <w:iCs/>
        </w:rPr>
        <w:t>alnus</w:t>
      </w:r>
      <w:proofErr w:type="spellEnd"/>
      <w:r w:rsidR="00345732">
        <w:rPr>
          <w:rFonts w:eastAsiaTheme="minorEastAsia" w:cs="Times New Roman"/>
          <w:i/>
          <w:iCs/>
        </w:rPr>
        <w:t xml:space="preserve"> </w:t>
      </w:r>
      <w:r w:rsidR="00345732">
        <w:rPr>
          <w:rFonts w:eastAsiaTheme="minorEastAsia" w:cs="Times New Roman"/>
          <w:iCs/>
        </w:rPr>
        <w:t>had</w:t>
      </w:r>
      <w:r w:rsidR="007D00B6">
        <w:rPr>
          <w:rFonts w:eastAsiaTheme="minorEastAsia" w:cs="Times New Roman"/>
          <w:iCs/>
        </w:rPr>
        <w:t xml:space="preserve"> </w:t>
      </w:r>
      <w:r w:rsidR="007D00B6">
        <w:rPr>
          <w:rFonts w:eastAsiaTheme="minorEastAsia" w:cs="Times New Roman"/>
          <w:i/>
          <w:iCs/>
        </w:rPr>
        <w:t>both</w:t>
      </w:r>
      <w:r w:rsidR="007D00B6">
        <w:rPr>
          <w:rFonts w:eastAsiaTheme="minorEastAsia" w:cs="Times New Roman"/>
          <w:iCs/>
        </w:rPr>
        <w:t xml:space="preserve"> moderate to high fecundity and </w:t>
      </w:r>
      <w:r w:rsidR="00C247D7">
        <w:rPr>
          <w:rFonts w:eastAsiaTheme="minorEastAsia" w:cs="Times New Roman"/>
          <w:iCs/>
        </w:rPr>
        <w:t xml:space="preserve">a </w:t>
      </w:r>
      <w:r w:rsidR="007D00B6">
        <w:rPr>
          <w:rFonts w:eastAsiaTheme="minorEastAsia" w:cs="Times New Roman"/>
          <w:iCs/>
        </w:rPr>
        <w:t>moderate to high LDD</w:t>
      </w:r>
      <w:r w:rsidR="00C0799A">
        <w:rPr>
          <w:rFonts w:eastAsiaTheme="minorEastAsia" w:cs="Times New Roman"/>
          <w:iCs/>
        </w:rPr>
        <w:t>;</w:t>
      </w:r>
      <w:r w:rsidR="00256E04">
        <w:rPr>
          <w:rFonts w:eastAsiaTheme="minorEastAsia" w:cs="Times New Roman"/>
          <w:iCs/>
        </w:rPr>
        <w:t xml:space="preserve"> neither process alone </w:t>
      </w:r>
      <w:r w:rsidR="00D919F2">
        <w:rPr>
          <w:rFonts w:eastAsiaTheme="minorEastAsia" w:cs="Times New Roman"/>
          <w:iCs/>
        </w:rPr>
        <w:t>predicts</w:t>
      </w:r>
      <w:r w:rsidR="00C247D7">
        <w:rPr>
          <w:rFonts w:eastAsiaTheme="minorEastAsia" w:cs="Times New Roman"/>
          <w:iCs/>
        </w:rPr>
        <w:t xml:space="preserve"> historic occurrence patterns well</w:t>
      </w:r>
      <w:r w:rsidR="003615AD">
        <w:rPr>
          <w:rFonts w:eastAsiaTheme="minorEastAsia" w:cs="Times New Roman"/>
          <w:iCs/>
        </w:rPr>
        <w:t>.</w:t>
      </w:r>
      <w:r w:rsidR="00565266">
        <w:rPr>
          <w:rFonts w:eastAsiaTheme="minorEastAsia" w:cs="Times New Roman"/>
          <w:iCs/>
        </w:rPr>
        <w:t xml:space="preserve"> </w:t>
      </w:r>
    </w:p>
    <w:p w14:paraId="772F9044" w14:textId="0ED60D36" w:rsidR="00CA5B08" w:rsidRDefault="00CA5B08" w:rsidP="008579EE">
      <w:pPr>
        <w:spacing w:line="480" w:lineRule="auto"/>
        <w:ind w:firstLine="720"/>
        <w:rPr>
          <w:rFonts w:eastAsiaTheme="minorEastAsia" w:cs="Times New Roman"/>
          <w:iCs/>
        </w:rPr>
      </w:pPr>
      <w:r>
        <w:rPr>
          <w:rFonts w:eastAsiaTheme="minorEastAsia" w:cs="Times New Roman"/>
          <w:iCs/>
        </w:rPr>
        <w:t>S</w:t>
      </w:r>
      <w:r>
        <w:rPr>
          <w:rFonts w:cs="Times New Roman"/>
          <w:iCs/>
        </w:rPr>
        <w:t xml:space="preserve">imulations that best predicted historic occurrences had moderate to high mean fecundity values (9.25 [2.36 SD] recruits per reproductive plant) and moderate to high LDD values (286 [118 SD] dispersal events). Higher mean survival and moderate to high local dispersal values were also associated with better model fits. These trait values are all consistent with our expectations of invasive species. Interactions between parameters also influenced how well simulations predicted historic occurrences. While moderate to high fecundity values were </w:t>
      </w:r>
      <w:r>
        <w:rPr>
          <w:rFonts w:cs="Times New Roman"/>
          <w:iCs/>
        </w:rPr>
        <w:lastRenderedPageBreak/>
        <w:t>associated with better model fit values, this was the case only in combination with moderate to high LDD</w:t>
      </w:r>
      <w:r w:rsidRPr="00352380">
        <w:rPr>
          <w:rFonts w:cs="Times New Roman"/>
          <w:iCs/>
        </w:rPr>
        <w:t>.</w:t>
      </w:r>
      <w:r>
        <w:rPr>
          <w:rFonts w:cs="Times New Roman"/>
          <w:iCs/>
        </w:rPr>
        <w:t xml:space="preserve"> There was an interesting interaction between </w:t>
      </w:r>
      <w:r>
        <w:rPr>
          <w:rFonts w:eastAsiaTheme="minorEastAsia" w:cs="Times New Roman"/>
          <w:iCs/>
        </w:rPr>
        <w:t xml:space="preserve">fecundity and </w:t>
      </w:r>
      <w:r>
        <w:rPr>
          <w:rFonts w:cs="Times New Roman"/>
          <w:iCs/>
        </w:rPr>
        <w:t xml:space="preserve">metapopulation initial abundance, with lower values of initial abundance resulting in better model fit. This may be the result of the penalty applied in the combined metric to simulations with low positive predictive power, which is the result of over prediction of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 xml:space="preserve">occurrence. Further, it is likely that population sizes were relatively small at the beginning of this invasion. A similar relationship between metapopulation initial abundance and LDD was also observed. Finally, there was evidence for an interaction between mean fecundity and the variability (i.e., standard deviation) of fecundity, with higher values of the latter yielding better model fit. At the local scale, individual plants show high year-to-year variability in reproductive output (personal observations and </w:t>
      </w:r>
      <w:r w:rsidR="00A87297" w:rsidRPr="00A87297">
        <w:rPr>
          <w:rFonts w:cs="Times New Roman"/>
        </w:rPr>
        <w:t>(Medan 1994)</w:t>
      </w:r>
      <w:r>
        <w:rPr>
          <w:rFonts w:cs="Times New Roman"/>
          <w:iCs/>
        </w:rPr>
        <w:t xml:space="preserve">, and this may emerge at the patch level as well. Given the high probability of survival for established </w:t>
      </w:r>
      <w:r>
        <w:rPr>
          <w:rFonts w:eastAsiaTheme="minorEastAsia" w:cs="Times New Roman"/>
          <w:i/>
          <w:iCs/>
        </w:rPr>
        <w:t xml:space="preserve">F. </w:t>
      </w:r>
      <w:proofErr w:type="spellStart"/>
      <w:r>
        <w:rPr>
          <w:rFonts w:eastAsiaTheme="minorEastAsia" w:cs="Times New Roman"/>
          <w:i/>
          <w:iCs/>
        </w:rPr>
        <w:t>alnus</w:t>
      </w:r>
      <w:proofErr w:type="spellEnd"/>
      <w:r>
        <w:rPr>
          <w:rFonts w:eastAsiaTheme="minorEastAsia" w:cs="Times New Roman"/>
          <w:i/>
          <w:iCs/>
        </w:rPr>
        <w:t xml:space="preserve"> </w:t>
      </w:r>
      <w:r>
        <w:rPr>
          <w:rFonts w:eastAsiaTheme="minorEastAsia" w:cs="Times New Roman"/>
          <w:iCs/>
        </w:rPr>
        <w:t xml:space="preserve">plants, high variability in fecundity may indicate that occasional pulses in reproductive output can facilitate spread, but declines in reproductive output do not hinder population persistence. </w:t>
      </w:r>
    </w:p>
    <w:p w14:paraId="4A78CFED" w14:textId="2D340347" w:rsidR="004608EA" w:rsidRDefault="00921DA1" w:rsidP="008579EE">
      <w:pPr>
        <w:spacing w:line="480" w:lineRule="auto"/>
        <w:ind w:firstLine="720"/>
        <w:rPr>
          <w:rFonts w:cs="Times New Roman"/>
          <w:iCs/>
        </w:rPr>
      </w:pPr>
      <w:r>
        <w:rPr>
          <w:rFonts w:cs="Times New Roman"/>
          <w:iCs/>
        </w:rPr>
        <w:t>Incorporating land-use changes associated with farming and livestock production</w:t>
      </w:r>
      <w:r w:rsidR="00B35E9A">
        <w:rPr>
          <w:rFonts w:cs="Times New Roman"/>
          <w:iCs/>
        </w:rPr>
        <w:t xml:space="preserve"> </w:t>
      </w:r>
      <w:r w:rsidR="00585348" w:rsidRPr="00585348">
        <w:rPr>
          <w:rFonts w:cs="Times New Roman"/>
        </w:rPr>
        <w:t xml:space="preserve">(Klein </w:t>
      </w:r>
      <w:proofErr w:type="spellStart"/>
      <w:r w:rsidR="00585348" w:rsidRPr="00585348">
        <w:rPr>
          <w:rFonts w:cs="Times New Roman"/>
        </w:rPr>
        <w:t>Goldewijk</w:t>
      </w:r>
      <w:proofErr w:type="spellEnd"/>
      <w:r w:rsidR="00585348" w:rsidRPr="00585348">
        <w:rPr>
          <w:rFonts w:cs="Times New Roman"/>
        </w:rPr>
        <w:t xml:space="preserve"> et al. 2010)</w:t>
      </w:r>
      <w:r>
        <w:rPr>
          <w:rFonts w:cs="Times New Roman"/>
          <w:iCs/>
        </w:rPr>
        <w:t xml:space="preserve"> resulted in declines in h</w:t>
      </w:r>
      <w:r>
        <w:rPr>
          <w:rFonts w:eastAsiaTheme="minorEastAsia" w:cs="Times New Roman"/>
          <w:iCs/>
        </w:rPr>
        <w:t>a</w:t>
      </w:r>
      <w:r>
        <w:rPr>
          <w:rFonts w:cs="Times New Roman"/>
          <w:iCs/>
        </w:rPr>
        <w:t xml:space="preserve">bitat suitability throughout the western and southern </w:t>
      </w:r>
      <w:r w:rsidR="00941DD1">
        <w:rPr>
          <w:rFonts w:cs="Times New Roman"/>
          <w:iCs/>
        </w:rPr>
        <w:t>parts</w:t>
      </w:r>
      <w:r>
        <w:rPr>
          <w:rFonts w:cs="Times New Roman"/>
          <w:iCs/>
        </w:rPr>
        <w:t xml:space="preserve"> of the study region over the 20</w:t>
      </w:r>
      <w:r w:rsidRPr="00A53690">
        <w:rPr>
          <w:rFonts w:cs="Times New Roman"/>
          <w:iCs/>
          <w:vertAlign w:val="superscript"/>
        </w:rPr>
        <w:t>th</w:t>
      </w:r>
      <w:r>
        <w:rPr>
          <w:rFonts w:cs="Times New Roman"/>
          <w:iCs/>
        </w:rPr>
        <w:t xml:space="preserve"> century. These changes </w:t>
      </w:r>
      <w:r w:rsidR="007B3CE8">
        <w:rPr>
          <w:rFonts w:cs="Times New Roman"/>
          <w:iCs/>
        </w:rPr>
        <w:t xml:space="preserve">caused </w:t>
      </w:r>
      <w:r>
        <w:rPr>
          <w:rFonts w:cs="Times New Roman"/>
          <w:iCs/>
        </w:rPr>
        <w:t>decline</w:t>
      </w:r>
      <w:r w:rsidR="007B3CE8">
        <w:rPr>
          <w:rFonts w:cs="Times New Roman"/>
          <w:iCs/>
        </w:rPr>
        <w:t>s</w:t>
      </w:r>
      <w:r>
        <w:rPr>
          <w:rFonts w:cs="Times New Roman"/>
          <w:iCs/>
        </w:rPr>
        <w:t xml:space="preserve"> </w:t>
      </w:r>
      <w:r w:rsidR="007B3CE8">
        <w:rPr>
          <w:rFonts w:cs="Times New Roman"/>
          <w:iCs/>
        </w:rPr>
        <w:t>in</w:t>
      </w:r>
      <w:r>
        <w:rPr>
          <w:rFonts w:cs="Times New Roman"/>
          <w:iCs/>
        </w:rPr>
        <w:t xml:space="preserve"> total metapopulation carrying capacity</w:t>
      </w:r>
      <w:r w:rsidR="00997435">
        <w:rPr>
          <w:rFonts w:cs="Times New Roman"/>
          <w:iCs/>
        </w:rPr>
        <w:t>, but had no</w:t>
      </w:r>
      <w:r>
        <w:rPr>
          <w:rFonts w:cs="Times New Roman"/>
          <w:iCs/>
        </w:rPr>
        <w:t xml:space="preserve"> effect on how well simulations predicted observed </w:t>
      </w:r>
      <w:r>
        <w:rPr>
          <w:rFonts w:eastAsiaTheme="minorEastAsia" w:cs="Times New Roman"/>
          <w:i/>
          <w:iCs/>
        </w:rPr>
        <w:t xml:space="preserve">F. </w:t>
      </w:r>
      <w:proofErr w:type="spellStart"/>
      <w:r>
        <w:rPr>
          <w:rFonts w:eastAsiaTheme="minorEastAsia" w:cs="Times New Roman"/>
          <w:i/>
          <w:iCs/>
        </w:rPr>
        <w:t>alnus</w:t>
      </w:r>
      <w:proofErr w:type="spellEnd"/>
      <w:r>
        <w:rPr>
          <w:rFonts w:eastAsiaTheme="minorEastAsia" w:cs="Times New Roman"/>
          <w:i/>
          <w:iCs/>
        </w:rPr>
        <w:t xml:space="preserve"> </w:t>
      </w:r>
      <w:r w:rsidR="007B3CE8">
        <w:rPr>
          <w:rFonts w:eastAsiaTheme="minorEastAsia" w:cs="Times New Roman"/>
          <w:iCs/>
        </w:rPr>
        <w:t xml:space="preserve">occurrences, suggesting </w:t>
      </w:r>
      <w:r w:rsidR="00881CF0">
        <w:rPr>
          <w:rFonts w:eastAsiaTheme="minorEastAsia" w:cs="Times New Roman"/>
          <w:iCs/>
        </w:rPr>
        <w:t xml:space="preserve">that </w:t>
      </w:r>
      <w:r w:rsidR="00B55DE5">
        <w:rPr>
          <w:rFonts w:eastAsiaTheme="minorEastAsia" w:cs="Times New Roman"/>
          <w:iCs/>
        </w:rPr>
        <w:t xml:space="preserve">land-use change did not contribute to </w:t>
      </w:r>
      <w:r w:rsidR="007B3CE8">
        <w:rPr>
          <w:rFonts w:eastAsiaTheme="minorEastAsia" w:cs="Times New Roman"/>
          <w:iCs/>
        </w:rPr>
        <w:t>the spread of this species</w:t>
      </w:r>
      <w:r w:rsidR="00B55DE5">
        <w:rPr>
          <w:rFonts w:eastAsiaTheme="minorEastAsia" w:cs="Times New Roman"/>
          <w:iCs/>
        </w:rPr>
        <w:t>.</w:t>
      </w:r>
      <w:r w:rsidR="00881CF0">
        <w:rPr>
          <w:rFonts w:eastAsiaTheme="minorEastAsia" w:cs="Times New Roman"/>
          <w:iCs/>
        </w:rPr>
        <w:t xml:space="preserve"> </w:t>
      </w:r>
      <w:r>
        <w:rPr>
          <w:rFonts w:eastAsiaTheme="minorEastAsia" w:cs="Times New Roman"/>
          <w:iCs/>
        </w:rPr>
        <w:t xml:space="preserve">This </w:t>
      </w:r>
      <w:r w:rsidR="007B3CE8">
        <w:rPr>
          <w:rFonts w:eastAsiaTheme="minorEastAsia" w:cs="Times New Roman"/>
          <w:iCs/>
        </w:rPr>
        <w:t>is</w:t>
      </w:r>
      <w:r>
        <w:rPr>
          <w:rFonts w:eastAsiaTheme="minorEastAsia" w:cs="Times New Roman"/>
          <w:iCs/>
        </w:rPr>
        <w:t xml:space="preserve"> surprising given the general role </w:t>
      </w:r>
      <w:r w:rsidR="00997435">
        <w:rPr>
          <w:rFonts w:eastAsiaTheme="minorEastAsia" w:cs="Times New Roman"/>
          <w:iCs/>
        </w:rPr>
        <w:t xml:space="preserve">landscape </w:t>
      </w:r>
      <w:r>
        <w:rPr>
          <w:rFonts w:eastAsiaTheme="minorEastAsia" w:cs="Times New Roman"/>
          <w:iCs/>
        </w:rPr>
        <w:t>d</w:t>
      </w:r>
      <w:r w:rsidR="00997435">
        <w:rPr>
          <w:rFonts w:eastAsiaTheme="minorEastAsia" w:cs="Times New Roman"/>
          <w:iCs/>
        </w:rPr>
        <w:t xml:space="preserve">isturbances </w:t>
      </w:r>
      <w:r w:rsidR="00881CF0">
        <w:rPr>
          <w:rFonts w:eastAsiaTheme="minorEastAsia" w:cs="Times New Roman"/>
          <w:iCs/>
        </w:rPr>
        <w:t xml:space="preserve">are </w:t>
      </w:r>
      <w:r w:rsidR="00881CF0">
        <w:rPr>
          <w:rFonts w:cs="Times New Roman"/>
          <w:iCs/>
        </w:rPr>
        <w:t xml:space="preserve">considered </w:t>
      </w:r>
      <w:r>
        <w:rPr>
          <w:rFonts w:cs="Times New Roman"/>
          <w:iCs/>
        </w:rPr>
        <w:t>to have</w:t>
      </w:r>
      <w:r w:rsidR="00881CF0">
        <w:rPr>
          <w:rFonts w:cs="Times New Roman"/>
          <w:iCs/>
        </w:rPr>
        <w:t xml:space="preserve"> </w:t>
      </w:r>
      <w:r>
        <w:rPr>
          <w:rFonts w:cs="Times New Roman"/>
          <w:iCs/>
        </w:rPr>
        <w:t>on</w:t>
      </w:r>
      <w:r w:rsidR="00881CF0">
        <w:rPr>
          <w:rFonts w:cs="Times New Roman"/>
          <w:iCs/>
        </w:rPr>
        <w:t xml:space="preserve"> invasions</w:t>
      </w:r>
      <w:r w:rsidR="00B35E9A">
        <w:rPr>
          <w:rFonts w:cs="Times New Roman"/>
          <w:iCs/>
        </w:rPr>
        <w:t xml:space="preserve"> </w:t>
      </w:r>
      <w:r w:rsidR="00585348" w:rsidRPr="00585348">
        <w:rPr>
          <w:rFonts w:cs="Times New Roman"/>
        </w:rPr>
        <w:t>(Davis et al. 2000; Cadotte and Lovett-Doust 2001)</w:t>
      </w:r>
      <w:r>
        <w:rPr>
          <w:rFonts w:cs="Times New Roman"/>
          <w:iCs/>
        </w:rPr>
        <w:t xml:space="preserve">. </w:t>
      </w:r>
      <w:r w:rsidR="007B3CE8">
        <w:rPr>
          <w:rFonts w:cs="Times New Roman"/>
          <w:iCs/>
        </w:rPr>
        <w:t>In fact</w:t>
      </w:r>
      <w:r>
        <w:rPr>
          <w:rFonts w:cs="Times New Roman"/>
          <w:iCs/>
        </w:rPr>
        <w:t>, disturbance has</w:t>
      </w:r>
      <w:r w:rsidR="00881CF0">
        <w:rPr>
          <w:rFonts w:cs="Times New Roman"/>
          <w:iCs/>
        </w:rPr>
        <w:t xml:space="preserve"> been linked </w:t>
      </w:r>
      <w:r w:rsidR="0084418E">
        <w:rPr>
          <w:rFonts w:cs="Times New Roman"/>
          <w:iCs/>
        </w:rPr>
        <w:t xml:space="preserve">to the </w:t>
      </w:r>
      <w:r w:rsidR="00881CF0">
        <w:rPr>
          <w:rFonts w:cs="Times New Roman"/>
          <w:iCs/>
        </w:rPr>
        <w:t xml:space="preserve">success of </w:t>
      </w:r>
      <w:r w:rsidR="0084418E">
        <w:rPr>
          <w:rFonts w:cs="Times New Roman"/>
          <w:iCs/>
        </w:rPr>
        <w:t>some</w:t>
      </w:r>
      <w:r w:rsidR="00881CF0">
        <w:rPr>
          <w:rFonts w:cs="Times New Roman"/>
          <w:iCs/>
        </w:rPr>
        <w:t xml:space="preserve"> </w:t>
      </w:r>
      <w:r>
        <w:rPr>
          <w:rFonts w:cs="Times New Roman"/>
          <w:iCs/>
        </w:rPr>
        <w:t xml:space="preserve">invasive </w:t>
      </w:r>
      <w:r w:rsidR="00881CF0">
        <w:rPr>
          <w:rFonts w:cs="Times New Roman"/>
          <w:iCs/>
        </w:rPr>
        <w:t>species in</w:t>
      </w:r>
      <w:r w:rsidR="00BC5214">
        <w:rPr>
          <w:rFonts w:cs="Times New Roman"/>
          <w:iCs/>
        </w:rPr>
        <w:t xml:space="preserve"> the study region</w:t>
      </w:r>
      <w:r w:rsidR="0084418E">
        <w:rPr>
          <w:rFonts w:cs="Times New Roman"/>
          <w:iCs/>
        </w:rPr>
        <w:t xml:space="preserve"> (</w:t>
      </w:r>
      <w:r w:rsidR="0084418E" w:rsidRPr="00AB4F51">
        <w:rPr>
          <w:rFonts w:cs="Times New Roman"/>
          <w:iCs/>
        </w:rPr>
        <w:t>e.g.,</w:t>
      </w:r>
      <w:r w:rsidR="00EB6B40">
        <w:rPr>
          <w:rFonts w:cs="Times New Roman"/>
          <w:iCs/>
        </w:rPr>
        <w:t xml:space="preserve"> </w:t>
      </w:r>
      <w:r w:rsidR="00585348" w:rsidRPr="00585348">
        <w:rPr>
          <w:rFonts w:cs="Times New Roman"/>
        </w:rPr>
        <w:t>Foster and Gross 1999; Searcy et al. 2006; McDonald et al. 2008; Mosher et al. 2009)</w:t>
      </w:r>
      <w:r w:rsidR="0084418E">
        <w:rPr>
          <w:rFonts w:cs="Times New Roman"/>
          <w:iCs/>
        </w:rPr>
        <w:t xml:space="preserve">. </w:t>
      </w:r>
      <w:r w:rsidR="00143488">
        <w:rPr>
          <w:rFonts w:cs="Times New Roman"/>
          <w:iCs/>
        </w:rPr>
        <w:t>However,</w:t>
      </w:r>
      <w:r w:rsidR="00D649E6">
        <w:rPr>
          <w:rFonts w:cs="Times New Roman"/>
          <w:iCs/>
        </w:rPr>
        <w:t xml:space="preserve"> in these cases </w:t>
      </w:r>
      <w:r w:rsidR="00997435">
        <w:rPr>
          <w:rFonts w:cs="Times New Roman"/>
          <w:iCs/>
        </w:rPr>
        <w:t>i</w:t>
      </w:r>
      <w:r w:rsidR="00941DD1">
        <w:rPr>
          <w:rFonts w:cs="Times New Roman"/>
          <w:iCs/>
        </w:rPr>
        <w:t xml:space="preserve">t was </w:t>
      </w:r>
      <w:r w:rsidR="00941DD1">
        <w:rPr>
          <w:rFonts w:cs="Times New Roman"/>
          <w:iCs/>
        </w:rPr>
        <w:lastRenderedPageBreak/>
        <w:t xml:space="preserve">not the </w:t>
      </w:r>
      <w:r w:rsidR="00D649E6">
        <w:rPr>
          <w:rFonts w:cs="Times New Roman"/>
          <w:iCs/>
        </w:rPr>
        <w:t xml:space="preserve">conversion of natural lands to agriculture </w:t>
      </w:r>
      <w:r w:rsidR="00941DD1">
        <w:rPr>
          <w:rFonts w:cs="Times New Roman"/>
          <w:iCs/>
        </w:rPr>
        <w:t xml:space="preserve">that </w:t>
      </w:r>
      <w:r w:rsidR="004608EA">
        <w:rPr>
          <w:rFonts w:cs="Times New Roman"/>
          <w:iCs/>
        </w:rPr>
        <w:t>were</w:t>
      </w:r>
      <w:r w:rsidR="00D649E6">
        <w:rPr>
          <w:rFonts w:cs="Times New Roman"/>
          <w:iCs/>
        </w:rPr>
        <w:t xml:space="preserve"> associated with invasions, but rather subsequent transitions from agriculture to natural lands</w:t>
      </w:r>
      <w:r w:rsidR="00446246">
        <w:rPr>
          <w:rFonts w:cs="Times New Roman"/>
          <w:iCs/>
        </w:rPr>
        <w:t>, such as old-fields</w:t>
      </w:r>
      <w:r w:rsidR="00941DD1">
        <w:rPr>
          <w:rFonts w:cs="Times New Roman"/>
          <w:iCs/>
        </w:rPr>
        <w:t>.</w:t>
      </w:r>
      <w:r w:rsidR="00C315F9">
        <w:rPr>
          <w:rFonts w:cs="Times New Roman"/>
          <w:iCs/>
        </w:rPr>
        <w:t xml:space="preserve"> </w:t>
      </w:r>
    </w:p>
    <w:p w14:paraId="09F7876B" w14:textId="724E4E88" w:rsidR="007C4062" w:rsidRDefault="00446246" w:rsidP="00CA5B08">
      <w:pPr>
        <w:spacing w:line="480" w:lineRule="auto"/>
        <w:ind w:firstLine="720"/>
        <w:rPr>
          <w:rFonts w:eastAsiaTheme="minorEastAsia" w:cs="Times New Roman"/>
          <w:iCs/>
        </w:rPr>
      </w:pPr>
      <w:r>
        <w:rPr>
          <w:rFonts w:cs="Times New Roman"/>
          <w:iCs/>
        </w:rPr>
        <w:t>O</w:t>
      </w:r>
      <w:r w:rsidR="00921DA1">
        <w:rPr>
          <w:rFonts w:cs="Times New Roman"/>
          <w:iCs/>
        </w:rPr>
        <w:t xml:space="preserve">ne explanation for </w:t>
      </w:r>
      <w:r w:rsidR="000E4C18">
        <w:rPr>
          <w:rFonts w:cs="Times New Roman"/>
          <w:iCs/>
        </w:rPr>
        <w:t xml:space="preserve">the lack of an effect </w:t>
      </w:r>
      <w:r w:rsidR="004608EA">
        <w:rPr>
          <w:rFonts w:cs="Times New Roman"/>
          <w:iCs/>
        </w:rPr>
        <w:t xml:space="preserve">of land-use change </w:t>
      </w:r>
      <w:r w:rsidR="00921DA1">
        <w:rPr>
          <w:rFonts w:cs="Times New Roman"/>
          <w:iCs/>
        </w:rPr>
        <w:t xml:space="preserve">is </w:t>
      </w:r>
      <w:r w:rsidR="00294492">
        <w:rPr>
          <w:rFonts w:cs="Times New Roman"/>
          <w:iCs/>
        </w:rPr>
        <w:t>that</w:t>
      </w:r>
      <w:r w:rsidR="00921DA1">
        <w:rPr>
          <w:rFonts w:cs="Times New Roman"/>
          <w:iCs/>
        </w:rPr>
        <w:t xml:space="preserve"> </w:t>
      </w:r>
      <w:r w:rsidR="008F3216">
        <w:rPr>
          <w:rFonts w:cs="Times New Roman"/>
          <w:iCs/>
        </w:rPr>
        <w:t>few occurrence records came from areas showing the greatest decline in habitat suitability</w:t>
      </w:r>
      <w:r w:rsidR="004608EA">
        <w:rPr>
          <w:rFonts w:cs="Times New Roman"/>
          <w:iCs/>
        </w:rPr>
        <w:t xml:space="preserve">. </w:t>
      </w:r>
      <w:r w:rsidR="0044478D">
        <w:rPr>
          <w:rFonts w:cs="Times New Roman"/>
          <w:iCs/>
        </w:rPr>
        <w:t xml:space="preserve">Therefore, these changes would not affect the predictive ability of the simulations. </w:t>
      </w:r>
      <w:r w:rsidR="00F47EF9">
        <w:rPr>
          <w:rFonts w:cs="Times New Roman"/>
          <w:iCs/>
        </w:rPr>
        <w:t xml:space="preserve">An alternative explanation </w:t>
      </w:r>
      <w:r w:rsidR="00BB7687">
        <w:rPr>
          <w:rFonts w:cs="Times New Roman"/>
          <w:iCs/>
        </w:rPr>
        <w:t xml:space="preserve">is that disturbance </w:t>
      </w:r>
      <w:r w:rsidR="00946CCB">
        <w:rPr>
          <w:rFonts w:cs="Times New Roman"/>
          <w:iCs/>
        </w:rPr>
        <w:t>may</w:t>
      </w:r>
      <w:r w:rsidR="00BB7687">
        <w:rPr>
          <w:rFonts w:cs="Times New Roman"/>
          <w:iCs/>
        </w:rPr>
        <w:t xml:space="preserve"> </w:t>
      </w:r>
      <w:r w:rsidR="00946CCB">
        <w:rPr>
          <w:rFonts w:cs="Times New Roman"/>
          <w:iCs/>
        </w:rPr>
        <w:t>facilitate</w:t>
      </w:r>
      <w:r w:rsidR="00F47EF9">
        <w:rPr>
          <w:rFonts w:cs="Times New Roman"/>
          <w:iCs/>
        </w:rPr>
        <w:t xml:space="preserve"> </w:t>
      </w:r>
      <w:r w:rsidR="00F47EF9">
        <w:rPr>
          <w:rFonts w:eastAsiaTheme="minorEastAsia" w:cs="Times New Roman"/>
          <w:i/>
          <w:iCs/>
        </w:rPr>
        <w:t xml:space="preserve">F. </w:t>
      </w:r>
      <w:proofErr w:type="spellStart"/>
      <w:r w:rsidR="00F47EF9">
        <w:rPr>
          <w:rFonts w:eastAsiaTheme="minorEastAsia" w:cs="Times New Roman"/>
          <w:i/>
          <w:iCs/>
        </w:rPr>
        <w:t>alnus</w:t>
      </w:r>
      <w:proofErr w:type="spellEnd"/>
      <w:r w:rsidR="00F47EF9">
        <w:rPr>
          <w:rFonts w:eastAsiaTheme="minorEastAsia" w:cs="Times New Roman"/>
          <w:i/>
          <w:iCs/>
        </w:rPr>
        <w:t xml:space="preserve"> </w:t>
      </w:r>
      <w:r w:rsidR="00F47EF9">
        <w:rPr>
          <w:rFonts w:eastAsiaTheme="minorEastAsia" w:cs="Times New Roman"/>
          <w:iCs/>
        </w:rPr>
        <w:t xml:space="preserve">spread at a local spatial scale, but </w:t>
      </w:r>
      <w:r w:rsidR="00BB7687">
        <w:rPr>
          <w:rFonts w:eastAsiaTheme="minorEastAsia" w:cs="Times New Roman"/>
          <w:iCs/>
        </w:rPr>
        <w:t>no</w:t>
      </w:r>
      <w:r w:rsidR="00EB63B6">
        <w:rPr>
          <w:rFonts w:eastAsiaTheme="minorEastAsia" w:cs="Times New Roman"/>
          <w:iCs/>
        </w:rPr>
        <w:t>t</w:t>
      </w:r>
      <w:r w:rsidR="00F47EF9">
        <w:rPr>
          <w:rFonts w:eastAsiaTheme="minorEastAsia" w:cs="Times New Roman"/>
          <w:iCs/>
        </w:rPr>
        <w:t xml:space="preserve"> </w:t>
      </w:r>
      <w:r w:rsidR="00BB7687">
        <w:rPr>
          <w:rFonts w:eastAsiaTheme="minorEastAsia" w:cs="Times New Roman"/>
          <w:iCs/>
        </w:rPr>
        <w:t>direct</w:t>
      </w:r>
      <w:r w:rsidR="004608EA">
        <w:rPr>
          <w:rFonts w:eastAsiaTheme="minorEastAsia" w:cs="Times New Roman"/>
          <w:iCs/>
        </w:rPr>
        <w:t>ly</w:t>
      </w:r>
      <w:r w:rsidR="00BB7687">
        <w:rPr>
          <w:rFonts w:eastAsiaTheme="minorEastAsia" w:cs="Times New Roman"/>
          <w:iCs/>
        </w:rPr>
        <w:t xml:space="preserve"> affect </w:t>
      </w:r>
      <w:r w:rsidR="00EB63B6">
        <w:rPr>
          <w:rFonts w:eastAsiaTheme="minorEastAsia" w:cs="Times New Roman"/>
          <w:iCs/>
        </w:rPr>
        <w:t xml:space="preserve">spread </w:t>
      </w:r>
      <w:r w:rsidR="0044478D">
        <w:rPr>
          <w:rFonts w:eastAsiaTheme="minorEastAsia" w:cs="Times New Roman"/>
          <w:iCs/>
        </w:rPr>
        <w:t xml:space="preserve">at the regional, or continental, scale. It readily </w:t>
      </w:r>
      <w:r w:rsidR="00946CCB">
        <w:rPr>
          <w:rFonts w:eastAsiaTheme="minorEastAsia" w:cs="Times New Roman"/>
          <w:iCs/>
        </w:rPr>
        <w:t>establishes in undisturbed wetlands and fens</w:t>
      </w:r>
      <w:r w:rsidR="00C336B8">
        <w:rPr>
          <w:rFonts w:eastAsiaTheme="minorEastAsia" w:cs="Times New Roman"/>
          <w:iCs/>
        </w:rPr>
        <w:t xml:space="preserve"> </w:t>
      </w:r>
      <w:r w:rsidR="00585348" w:rsidRPr="00585348">
        <w:rPr>
          <w:rFonts w:cs="Times New Roman"/>
        </w:rPr>
        <w:t>(Mills et al. 2009, 2012; Berg 2011)</w:t>
      </w:r>
      <w:r w:rsidR="00946CCB">
        <w:rPr>
          <w:rFonts w:eastAsiaTheme="minorEastAsia" w:cs="Times New Roman"/>
          <w:iCs/>
        </w:rPr>
        <w:t xml:space="preserve"> </w:t>
      </w:r>
      <w:r w:rsidR="00E678F9">
        <w:rPr>
          <w:rFonts w:eastAsiaTheme="minorEastAsia" w:cs="Times New Roman"/>
          <w:iCs/>
        </w:rPr>
        <w:t>and intact upland forests</w:t>
      </w:r>
      <w:r w:rsidR="00C336B8">
        <w:rPr>
          <w:rFonts w:eastAsiaTheme="minorEastAsia" w:cs="Times New Roman"/>
          <w:iCs/>
        </w:rPr>
        <w:t xml:space="preserve"> </w:t>
      </w:r>
      <w:r w:rsidR="00585348" w:rsidRPr="00585348">
        <w:rPr>
          <w:rFonts w:cs="Times New Roman"/>
        </w:rPr>
        <w:t>(</w:t>
      </w:r>
      <w:proofErr w:type="spellStart"/>
      <w:r w:rsidR="00585348" w:rsidRPr="00585348">
        <w:rPr>
          <w:rFonts w:cs="Times New Roman"/>
        </w:rPr>
        <w:t>Frappier</w:t>
      </w:r>
      <w:proofErr w:type="spellEnd"/>
      <w:r w:rsidR="00585348" w:rsidRPr="00585348">
        <w:rPr>
          <w:rFonts w:cs="Times New Roman"/>
        </w:rPr>
        <w:t xml:space="preserve"> et al. 2003b; Fagan and Peart 2004)</w:t>
      </w:r>
      <w:r w:rsidR="00E678F9">
        <w:rPr>
          <w:rFonts w:eastAsiaTheme="minorEastAsia" w:cs="Times New Roman"/>
          <w:iCs/>
        </w:rPr>
        <w:t xml:space="preserve">, but also </w:t>
      </w:r>
      <w:r w:rsidR="0044478D">
        <w:rPr>
          <w:rFonts w:eastAsiaTheme="minorEastAsia" w:cs="Times New Roman"/>
          <w:iCs/>
        </w:rPr>
        <w:t>shows</w:t>
      </w:r>
      <w:r w:rsidR="00E678F9">
        <w:rPr>
          <w:rFonts w:eastAsiaTheme="minorEastAsia" w:cs="Times New Roman"/>
          <w:iCs/>
        </w:rPr>
        <w:t xml:space="preserve"> rapid population growth following disturbance, such as logging</w:t>
      </w:r>
      <w:r w:rsidR="00C336B8">
        <w:rPr>
          <w:rFonts w:eastAsiaTheme="minorEastAsia" w:cs="Times New Roman"/>
          <w:iCs/>
        </w:rPr>
        <w:t xml:space="preserve"> </w:t>
      </w:r>
      <w:r w:rsidR="00585348" w:rsidRPr="00585348">
        <w:rPr>
          <w:rFonts w:cs="Times New Roman"/>
        </w:rPr>
        <w:t>(Burnham and Lee 2009; Lee and Thompson 2012)</w:t>
      </w:r>
      <w:r w:rsidR="00E678F9">
        <w:rPr>
          <w:rFonts w:eastAsiaTheme="minorEastAsia" w:cs="Times New Roman"/>
          <w:iCs/>
        </w:rPr>
        <w:t xml:space="preserve">. </w:t>
      </w:r>
      <w:r w:rsidR="00041B32">
        <w:rPr>
          <w:rFonts w:eastAsiaTheme="minorEastAsia" w:cs="Times New Roman"/>
          <w:iCs/>
        </w:rPr>
        <w:t xml:space="preserve">At the spatial </w:t>
      </w:r>
      <w:r w:rsidR="004608EA">
        <w:rPr>
          <w:rFonts w:eastAsiaTheme="minorEastAsia" w:cs="Times New Roman"/>
          <w:iCs/>
        </w:rPr>
        <w:t>grain size of</w:t>
      </w:r>
      <w:r w:rsidR="00041B32">
        <w:rPr>
          <w:rFonts w:eastAsiaTheme="minorEastAsia" w:cs="Times New Roman"/>
          <w:iCs/>
        </w:rPr>
        <w:t xml:space="preserve"> my simulations (20 </w:t>
      </w:r>
      <w:r w:rsidR="00C058AB">
        <w:rPr>
          <w:rFonts w:eastAsiaTheme="minorEastAsia" w:cs="Times New Roman"/>
          <w:iCs/>
        </w:rPr>
        <w:t>km</w:t>
      </w:r>
      <w:r w:rsidR="00C058AB">
        <w:rPr>
          <w:rFonts w:eastAsiaTheme="minorEastAsia" w:cs="Times New Roman"/>
          <w:iCs/>
          <w:vertAlign w:val="superscript"/>
        </w:rPr>
        <w:t>2</w:t>
      </w:r>
      <w:r w:rsidR="00041B32">
        <w:rPr>
          <w:rFonts w:eastAsiaTheme="minorEastAsia" w:cs="Times New Roman"/>
          <w:iCs/>
        </w:rPr>
        <w:t xml:space="preserve">), </w:t>
      </w:r>
      <w:r w:rsidR="00654721">
        <w:rPr>
          <w:rFonts w:eastAsiaTheme="minorEastAsia" w:cs="Times New Roman"/>
          <w:iCs/>
        </w:rPr>
        <w:t>most disturbances are likely to</w:t>
      </w:r>
      <w:r w:rsidR="0044478D">
        <w:rPr>
          <w:rFonts w:eastAsiaTheme="minorEastAsia" w:cs="Times New Roman"/>
          <w:iCs/>
        </w:rPr>
        <w:t xml:space="preserve"> manifest at a sub-patch scale</w:t>
      </w:r>
      <w:r w:rsidR="00BC5214">
        <w:rPr>
          <w:rFonts w:eastAsiaTheme="minorEastAsia" w:cs="Times New Roman"/>
          <w:iCs/>
        </w:rPr>
        <w:t>, with</w:t>
      </w:r>
      <w:r w:rsidR="0044478D">
        <w:rPr>
          <w:rFonts w:eastAsiaTheme="minorEastAsia" w:cs="Times New Roman"/>
          <w:iCs/>
        </w:rPr>
        <w:t xml:space="preserve"> </w:t>
      </w:r>
      <w:r w:rsidR="00BC5214">
        <w:rPr>
          <w:rFonts w:eastAsiaTheme="minorEastAsia" w:cs="Times New Roman"/>
          <w:iCs/>
        </w:rPr>
        <w:t>e</w:t>
      </w:r>
      <w:r w:rsidR="00041B32">
        <w:rPr>
          <w:rFonts w:eastAsiaTheme="minorEastAsia" w:cs="Times New Roman"/>
          <w:iCs/>
        </w:rPr>
        <w:t xml:space="preserve">ach patch </w:t>
      </w:r>
      <w:r w:rsidR="00EB63B6">
        <w:rPr>
          <w:rFonts w:eastAsiaTheme="minorEastAsia" w:cs="Times New Roman"/>
          <w:iCs/>
        </w:rPr>
        <w:t>likely to contain</w:t>
      </w:r>
      <w:r w:rsidR="00041B32">
        <w:rPr>
          <w:rFonts w:eastAsiaTheme="minorEastAsia" w:cs="Times New Roman"/>
          <w:iCs/>
        </w:rPr>
        <w:t xml:space="preserve"> areas of both und</w:t>
      </w:r>
      <w:r w:rsidR="00654721">
        <w:rPr>
          <w:rFonts w:eastAsiaTheme="minorEastAsia" w:cs="Times New Roman"/>
          <w:iCs/>
        </w:rPr>
        <w:t xml:space="preserve">isturbed and disturbed habitat. </w:t>
      </w:r>
      <w:r w:rsidR="00825F96">
        <w:rPr>
          <w:rFonts w:eastAsiaTheme="minorEastAsia" w:cs="Times New Roman"/>
          <w:iCs/>
        </w:rPr>
        <w:t xml:space="preserve">Thus, while </w:t>
      </w:r>
      <w:r w:rsidR="0049075C">
        <w:rPr>
          <w:rFonts w:eastAsiaTheme="minorEastAsia" w:cs="Times New Roman"/>
          <w:iCs/>
        </w:rPr>
        <w:t>disturbance</w:t>
      </w:r>
      <w:r w:rsidR="00825F96">
        <w:rPr>
          <w:rFonts w:eastAsiaTheme="minorEastAsia" w:cs="Times New Roman"/>
          <w:iCs/>
        </w:rPr>
        <w:t xml:space="preserve"> may have an effect on the patch population size (i.e., patches with more disturbance will have more individuals), it will have a smaller </w:t>
      </w:r>
      <w:r w:rsidR="005B391B">
        <w:rPr>
          <w:rFonts w:eastAsiaTheme="minorEastAsia" w:cs="Times New Roman"/>
          <w:iCs/>
        </w:rPr>
        <w:t>effect</w:t>
      </w:r>
      <w:r w:rsidR="00825F96">
        <w:rPr>
          <w:rFonts w:eastAsiaTheme="minorEastAsia" w:cs="Times New Roman"/>
          <w:iCs/>
        </w:rPr>
        <w:t xml:space="preserve"> on whether a patch is successfully invaded</w:t>
      </w:r>
      <w:r w:rsidR="00F65E6B">
        <w:rPr>
          <w:rFonts w:eastAsiaTheme="minorEastAsia" w:cs="Times New Roman"/>
          <w:iCs/>
        </w:rPr>
        <w:t xml:space="preserve">, and </w:t>
      </w:r>
      <w:r w:rsidR="0044478D">
        <w:rPr>
          <w:rFonts w:eastAsiaTheme="minorEastAsia" w:cs="Times New Roman"/>
          <w:iCs/>
        </w:rPr>
        <w:t>subsequently</w:t>
      </w:r>
      <w:r w:rsidR="00F65E6B">
        <w:rPr>
          <w:rFonts w:eastAsiaTheme="minorEastAsia" w:cs="Times New Roman"/>
          <w:iCs/>
        </w:rPr>
        <w:t xml:space="preserve"> classified as occupied. </w:t>
      </w:r>
      <w:r w:rsidR="001A6035">
        <w:rPr>
          <w:rFonts w:eastAsiaTheme="minorEastAsia" w:cs="Times New Roman"/>
          <w:iCs/>
        </w:rPr>
        <w:t>For</w:t>
      </w:r>
      <w:r w:rsidR="0049075C">
        <w:rPr>
          <w:rFonts w:eastAsiaTheme="minorEastAsia" w:cs="Times New Roman"/>
          <w:iCs/>
        </w:rPr>
        <w:t xml:space="preserve"> species </w:t>
      </w:r>
      <w:r w:rsidR="00101BBA">
        <w:rPr>
          <w:rFonts w:eastAsiaTheme="minorEastAsia" w:cs="Times New Roman"/>
          <w:iCs/>
        </w:rPr>
        <w:t>for which</w:t>
      </w:r>
      <w:r w:rsidR="0049075C">
        <w:rPr>
          <w:rFonts w:eastAsiaTheme="minorEastAsia" w:cs="Times New Roman"/>
          <w:iCs/>
        </w:rPr>
        <w:t xml:space="preserve"> dispersal to new patches is strongly dependent on propagule pressure, increases in population size may lead to increases in spatial spread. However, for species that experience long-distance dispersal not dependent on population size, the influence of disturbance is lessened</w:t>
      </w:r>
      <w:r w:rsidR="00C336B8">
        <w:rPr>
          <w:rFonts w:eastAsiaTheme="minorEastAsia" w:cs="Times New Roman"/>
          <w:iCs/>
        </w:rPr>
        <w:t xml:space="preserve"> </w:t>
      </w:r>
      <w:r w:rsidR="00585348" w:rsidRPr="00585348">
        <w:rPr>
          <w:rFonts w:cs="Times New Roman"/>
        </w:rPr>
        <w:t>(With 2004)</w:t>
      </w:r>
      <w:r w:rsidR="0049075C">
        <w:rPr>
          <w:rFonts w:eastAsiaTheme="minorEastAsia" w:cs="Times New Roman"/>
          <w:iCs/>
        </w:rPr>
        <w:t xml:space="preserve">. </w:t>
      </w:r>
      <w:r w:rsidR="00802F35">
        <w:rPr>
          <w:rFonts w:eastAsiaTheme="minorEastAsia" w:cs="Times New Roman"/>
          <w:iCs/>
        </w:rPr>
        <w:t xml:space="preserve">Through its associations with humans as long-distance dispersal vectors, </w:t>
      </w:r>
      <w:r w:rsidR="00802F35">
        <w:rPr>
          <w:rFonts w:eastAsiaTheme="minorEastAsia" w:cs="Times New Roman"/>
          <w:i/>
          <w:iCs/>
        </w:rPr>
        <w:t xml:space="preserve">F. </w:t>
      </w:r>
      <w:proofErr w:type="spellStart"/>
      <w:r w:rsidR="00802F35">
        <w:rPr>
          <w:rFonts w:eastAsiaTheme="minorEastAsia" w:cs="Times New Roman"/>
          <w:i/>
          <w:iCs/>
        </w:rPr>
        <w:t>alnus</w:t>
      </w:r>
      <w:proofErr w:type="spellEnd"/>
      <w:r w:rsidR="00802F35">
        <w:rPr>
          <w:rFonts w:eastAsiaTheme="minorEastAsia" w:cs="Times New Roman"/>
          <w:i/>
          <w:iCs/>
        </w:rPr>
        <w:t xml:space="preserve"> </w:t>
      </w:r>
      <w:r w:rsidR="0044478D">
        <w:rPr>
          <w:rFonts w:eastAsiaTheme="minorEastAsia" w:cs="Times New Roman"/>
          <w:iCs/>
        </w:rPr>
        <w:t>is in the</w:t>
      </w:r>
      <w:r w:rsidR="00802F35">
        <w:rPr>
          <w:rFonts w:eastAsiaTheme="minorEastAsia" w:cs="Times New Roman"/>
          <w:iCs/>
        </w:rPr>
        <w:t xml:space="preserve"> lat</w:t>
      </w:r>
      <w:r w:rsidR="0044478D">
        <w:rPr>
          <w:rFonts w:eastAsiaTheme="minorEastAsia" w:cs="Times New Roman"/>
          <w:iCs/>
        </w:rPr>
        <w:t>t</w:t>
      </w:r>
      <w:r w:rsidR="0010180E">
        <w:rPr>
          <w:rFonts w:eastAsiaTheme="minorEastAsia" w:cs="Times New Roman"/>
          <w:iCs/>
        </w:rPr>
        <w:t>er category</w:t>
      </w:r>
      <w:r w:rsidR="0044478D">
        <w:rPr>
          <w:rFonts w:eastAsiaTheme="minorEastAsia" w:cs="Times New Roman"/>
          <w:iCs/>
        </w:rPr>
        <w:t>.</w:t>
      </w:r>
    </w:p>
    <w:p w14:paraId="7CD0566A" w14:textId="5D8C19D5" w:rsidR="008D4B86" w:rsidRDefault="008B0C2B" w:rsidP="008579EE">
      <w:pPr>
        <w:spacing w:line="480" w:lineRule="auto"/>
        <w:rPr>
          <w:rFonts w:eastAsiaTheme="minorEastAsia" w:cs="Times New Roman"/>
          <w:iCs/>
        </w:rPr>
      </w:pPr>
      <w:r>
        <w:rPr>
          <w:rFonts w:eastAsiaTheme="minorEastAsia" w:cs="Times New Roman"/>
          <w:iCs/>
        </w:rPr>
        <w:tab/>
        <w:t>In sum, two important points emerge. First,</w:t>
      </w:r>
      <w:r w:rsidR="00361F91">
        <w:rPr>
          <w:rFonts w:eastAsiaTheme="minorEastAsia" w:cs="Times New Roman"/>
          <w:iCs/>
        </w:rPr>
        <w:t xml:space="preserve"> the demographic characteristics of </w:t>
      </w:r>
      <w:r w:rsidR="00361F91">
        <w:rPr>
          <w:rFonts w:eastAsiaTheme="minorEastAsia" w:cs="Times New Roman"/>
          <w:i/>
          <w:iCs/>
        </w:rPr>
        <w:t xml:space="preserve">F. </w:t>
      </w:r>
      <w:proofErr w:type="spellStart"/>
      <w:r w:rsidR="00361F91">
        <w:rPr>
          <w:rFonts w:eastAsiaTheme="minorEastAsia" w:cs="Times New Roman"/>
          <w:i/>
          <w:iCs/>
        </w:rPr>
        <w:t>alnus</w:t>
      </w:r>
      <w:proofErr w:type="spellEnd"/>
      <w:r w:rsidR="009D4EF8">
        <w:rPr>
          <w:rFonts w:eastAsiaTheme="minorEastAsia" w:cs="Times New Roman"/>
          <w:iCs/>
        </w:rPr>
        <w:t>, including population growth,</w:t>
      </w:r>
      <w:r w:rsidR="00361F91">
        <w:rPr>
          <w:rFonts w:eastAsiaTheme="minorEastAsia" w:cs="Times New Roman"/>
          <w:i/>
          <w:iCs/>
        </w:rPr>
        <w:t xml:space="preserve"> </w:t>
      </w:r>
      <w:r w:rsidR="00361F91">
        <w:rPr>
          <w:rFonts w:eastAsiaTheme="minorEastAsia" w:cs="Times New Roman"/>
          <w:iCs/>
        </w:rPr>
        <w:t>appear intermediate between those reported for native and invasive plants</w:t>
      </w:r>
      <w:r w:rsidR="003A15C2">
        <w:rPr>
          <w:rFonts w:eastAsiaTheme="minorEastAsia" w:cs="Times New Roman"/>
          <w:iCs/>
        </w:rPr>
        <w:t xml:space="preserve"> </w:t>
      </w:r>
      <w:r w:rsidR="00585348" w:rsidRPr="00585348">
        <w:rPr>
          <w:rFonts w:cs="Times New Roman"/>
        </w:rPr>
        <w:t>(</w:t>
      </w:r>
      <w:proofErr w:type="spellStart"/>
      <w:r w:rsidR="00585348" w:rsidRPr="00585348">
        <w:rPr>
          <w:rFonts w:cs="Times New Roman"/>
        </w:rPr>
        <w:t>Ramula</w:t>
      </w:r>
      <w:proofErr w:type="spellEnd"/>
      <w:r w:rsidR="00585348" w:rsidRPr="00585348">
        <w:rPr>
          <w:rFonts w:cs="Times New Roman"/>
        </w:rPr>
        <w:t xml:space="preserve"> et al. 2008; Knight et al. 2011)</w:t>
      </w:r>
      <w:r>
        <w:rPr>
          <w:rFonts w:eastAsiaTheme="minorEastAsia" w:cs="Times New Roman"/>
          <w:iCs/>
        </w:rPr>
        <w:t>.</w:t>
      </w:r>
      <w:r w:rsidR="00FA5A52">
        <w:rPr>
          <w:rFonts w:eastAsiaTheme="minorEastAsia" w:cs="Times New Roman"/>
          <w:iCs/>
        </w:rPr>
        <w:t xml:space="preserve"> </w:t>
      </w:r>
      <w:r w:rsidR="00361F91">
        <w:rPr>
          <w:rFonts w:eastAsiaTheme="minorEastAsia" w:cs="Times New Roman"/>
          <w:iCs/>
        </w:rPr>
        <w:t>M</w:t>
      </w:r>
      <w:r w:rsidR="00DD738A">
        <w:rPr>
          <w:rFonts w:eastAsiaTheme="minorEastAsia" w:cs="Times New Roman"/>
          <w:iCs/>
        </w:rPr>
        <w:t>ean fecundity values are indicative of</w:t>
      </w:r>
      <w:r w:rsidR="00772767">
        <w:rPr>
          <w:rFonts w:eastAsiaTheme="minorEastAsia" w:cs="Times New Roman"/>
          <w:iCs/>
        </w:rPr>
        <w:t xml:space="preserve"> lower seed per plant per year values than </w:t>
      </w:r>
      <w:r w:rsidR="00361F91">
        <w:rPr>
          <w:rFonts w:eastAsiaTheme="minorEastAsia" w:cs="Times New Roman"/>
          <w:iCs/>
        </w:rPr>
        <w:t>those of</w:t>
      </w:r>
      <w:r w:rsidR="00772767">
        <w:rPr>
          <w:rFonts w:eastAsiaTheme="minorEastAsia" w:cs="Times New Roman"/>
          <w:iCs/>
        </w:rPr>
        <w:t xml:space="preserve"> </w:t>
      </w:r>
      <w:r w:rsidR="00361F91">
        <w:rPr>
          <w:rFonts w:eastAsiaTheme="minorEastAsia" w:cs="Times New Roman"/>
          <w:iCs/>
        </w:rPr>
        <w:t xml:space="preserve">both </w:t>
      </w:r>
      <w:r w:rsidR="00772767">
        <w:rPr>
          <w:rFonts w:eastAsiaTheme="minorEastAsia" w:cs="Times New Roman"/>
          <w:iCs/>
        </w:rPr>
        <w:t>wood</w:t>
      </w:r>
      <w:r w:rsidR="00361F91">
        <w:rPr>
          <w:rFonts w:eastAsiaTheme="minorEastAsia" w:cs="Times New Roman"/>
          <w:iCs/>
        </w:rPr>
        <w:t>y invasive and native species</w:t>
      </w:r>
      <w:r w:rsidR="00772767">
        <w:rPr>
          <w:rFonts w:eastAsiaTheme="minorEastAsia" w:cs="Times New Roman"/>
          <w:iCs/>
        </w:rPr>
        <w:t xml:space="preserve"> reported in </w:t>
      </w:r>
      <w:r w:rsidR="00585348" w:rsidRPr="00585348">
        <w:rPr>
          <w:rFonts w:cs="Times New Roman"/>
        </w:rPr>
        <w:lastRenderedPageBreak/>
        <w:t>(Mason et al. 2008)</w:t>
      </w:r>
      <w:r w:rsidR="00DD738A">
        <w:rPr>
          <w:rFonts w:eastAsiaTheme="minorEastAsia" w:cs="Times New Roman"/>
          <w:iCs/>
        </w:rPr>
        <w:t xml:space="preserve">. However, recruitment can be high in some habitats, </w:t>
      </w:r>
      <w:r w:rsidR="00CA5B08">
        <w:rPr>
          <w:rFonts w:eastAsiaTheme="minorEastAsia" w:cs="Times New Roman"/>
          <w:iCs/>
        </w:rPr>
        <w:t xml:space="preserve">resulting in </w:t>
      </w:r>
      <w:r w:rsidR="00CA5B08">
        <w:rPr>
          <w:rFonts w:eastAsiaTheme="minorEastAsia" w:cs="Times New Roman"/>
          <w:i/>
          <w:iCs/>
        </w:rPr>
        <w:t xml:space="preserve">F. </w:t>
      </w:r>
      <w:proofErr w:type="spellStart"/>
      <w:r w:rsidR="00CA5B08">
        <w:rPr>
          <w:rFonts w:eastAsiaTheme="minorEastAsia" w:cs="Times New Roman"/>
          <w:i/>
          <w:iCs/>
        </w:rPr>
        <w:t>alnus</w:t>
      </w:r>
      <w:proofErr w:type="spellEnd"/>
      <w:r w:rsidR="00CA5B08">
        <w:rPr>
          <w:rFonts w:eastAsiaTheme="minorEastAsia" w:cs="Times New Roman"/>
          <w:i/>
          <w:iCs/>
        </w:rPr>
        <w:t xml:space="preserve"> </w:t>
      </w:r>
      <w:r w:rsidR="00DD738A">
        <w:rPr>
          <w:rFonts w:eastAsiaTheme="minorEastAsia" w:cs="Times New Roman"/>
          <w:iCs/>
        </w:rPr>
        <w:t>outpacing recruitment of native species</w:t>
      </w:r>
      <w:r w:rsidR="000F403F">
        <w:rPr>
          <w:rFonts w:eastAsiaTheme="minorEastAsia" w:cs="Times New Roman"/>
          <w:iCs/>
        </w:rPr>
        <w:t xml:space="preserve"> </w:t>
      </w:r>
      <w:r w:rsidR="00585348" w:rsidRPr="00585348">
        <w:rPr>
          <w:rFonts w:cs="Times New Roman"/>
        </w:rPr>
        <w:t>(Medan 1994; Lee and Thompson 2012; Mills et al. 2012)</w:t>
      </w:r>
      <w:r w:rsidR="00C528F4">
        <w:rPr>
          <w:rFonts w:eastAsiaTheme="minorEastAsia" w:cs="Times New Roman"/>
          <w:iCs/>
        </w:rPr>
        <w:t>. Another characteristic likely contribut</w:t>
      </w:r>
      <w:r w:rsidR="00CA5B08">
        <w:rPr>
          <w:rFonts w:eastAsiaTheme="minorEastAsia" w:cs="Times New Roman"/>
          <w:iCs/>
        </w:rPr>
        <w:t>ing</w:t>
      </w:r>
      <w:r w:rsidR="00C528F4">
        <w:rPr>
          <w:rFonts w:eastAsiaTheme="minorEastAsia" w:cs="Times New Roman"/>
          <w:iCs/>
        </w:rPr>
        <w:t xml:space="preserve"> to the success of </w:t>
      </w:r>
      <w:r w:rsidR="00C528F4">
        <w:rPr>
          <w:rFonts w:eastAsiaTheme="minorEastAsia" w:cs="Times New Roman"/>
          <w:i/>
          <w:iCs/>
        </w:rPr>
        <w:t xml:space="preserve">F. </w:t>
      </w:r>
      <w:proofErr w:type="spellStart"/>
      <w:r w:rsidR="00C528F4">
        <w:rPr>
          <w:rFonts w:eastAsiaTheme="minorEastAsia" w:cs="Times New Roman"/>
          <w:i/>
          <w:iCs/>
        </w:rPr>
        <w:t>alnus</w:t>
      </w:r>
      <w:proofErr w:type="spellEnd"/>
      <w:r w:rsidR="00C528F4">
        <w:rPr>
          <w:rFonts w:eastAsiaTheme="minorEastAsia" w:cs="Times New Roman"/>
          <w:i/>
          <w:iCs/>
        </w:rPr>
        <w:t xml:space="preserve"> </w:t>
      </w:r>
      <w:r w:rsidR="00C528F4">
        <w:rPr>
          <w:rFonts w:eastAsiaTheme="minorEastAsia" w:cs="Times New Roman"/>
          <w:iCs/>
        </w:rPr>
        <w:t xml:space="preserve">is its high survival </w:t>
      </w:r>
      <w:r w:rsidR="00CA5B08">
        <w:rPr>
          <w:rFonts w:eastAsiaTheme="minorEastAsia" w:cs="Times New Roman"/>
          <w:iCs/>
        </w:rPr>
        <w:t>rate</w:t>
      </w:r>
      <w:r w:rsidR="00C528F4">
        <w:rPr>
          <w:rFonts w:eastAsiaTheme="minorEastAsia" w:cs="Times New Roman"/>
          <w:iCs/>
        </w:rPr>
        <w:t xml:space="preserve">, particularly for plants beyond the seedling stage. Survival did not strongly influence predictive ability of my simulations, but this is likely because there was little variability in this parameter. </w:t>
      </w:r>
      <w:r w:rsidR="00827232">
        <w:rPr>
          <w:rFonts w:eastAsiaTheme="minorEastAsia" w:cs="Times New Roman"/>
          <w:iCs/>
        </w:rPr>
        <w:t xml:space="preserve">The combination of high survival and the potential for high recruitment </w:t>
      </w:r>
      <w:r w:rsidR="0092264B">
        <w:rPr>
          <w:rFonts w:eastAsiaTheme="minorEastAsia" w:cs="Times New Roman"/>
          <w:iCs/>
        </w:rPr>
        <w:t>both</w:t>
      </w:r>
      <w:r w:rsidR="00827232">
        <w:rPr>
          <w:rFonts w:eastAsiaTheme="minorEastAsia" w:cs="Times New Roman"/>
          <w:iCs/>
        </w:rPr>
        <w:t xml:space="preserve"> </w:t>
      </w:r>
      <w:r w:rsidR="0092264B">
        <w:rPr>
          <w:rFonts w:eastAsiaTheme="minorEastAsia" w:cs="Times New Roman"/>
          <w:iCs/>
        </w:rPr>
        <w:t>contribute</w:t>
      </w:r>
      <w:r w:rsidR="00827232">
        <w:rPr>
          <w:rFonts w:eastAsiaTheme="minorEastAsia" w:cs="Times New Roman"/>
          <w:iCs/>
        </w:rPr>
        <w:t xml:space="preserve"> to the ability of </w:t>
      </w:r>
      <w:r w:rsidR="00827232">
        <w:rPr>
          <w:rFonts w:eastAsiaTheme="minorEastAsia" w:cs="Times New Roman"/>
          <w:i/>
          <w:iCs/>
        </w:rPr>
        <w:t xml:space="preserve">F. </w:t>
      </w:r>
      <w:proofErr w:type="spellStart"/>
      <w:r w:rsidR="00827232">
        <w:rPr>
          <w:rFonts w:eastAsiaTheme="minorEastAsia" w:cs="Times New Roman"/>
          <w:i/>
          <w:iCs/>
        </w:rPr>
        <w:t>alnus</w:t>
      </w:r>
      <w:proofErr w:type="spellEnd"/>
      <w:r w:rsidR="00827232">
        <w:rPr>
          <w:rFonts w:eastAsiaTheme="minorEastAsia" w:cs="Times New Roman"/>
          <w:i/>
          <w:iCs/>
        </w:rPr>
        <w:t xml:space="preserve"> </w:t>
      </w:r>
      <w:r w:rsidR="00827232">
        <w:rPr>
          <w:rFonts w:eastAsiaTheme="minorEastAsia" w:cs="Times New Roman"/>
          <w:iCs/>
        </w:rPr>
        <w:t xml:space="preserve">to persist in </w:t>
      </w:r>
      <w:r w:rsidR="008D4B86">
        <w:rPr>
          <w:rFonts w:eastAsiaTheme="minorEastAsia" w:cs="Times New Roman"/>
          <w:iCs/>
        </w:rPr>
        <w:t>patches</w:t>
      </w:r>
      <w:r w:rsidR="00827232">
        <w:rPr>
          <w:rFonts w:eastAsiaTheme="minorEastAsia" w:cs="Times New Roman"/>
          <w:iCs/>
        </w:rPr>
        <w:t xml:space="preserve"> </w:t>
      </w:r>
      <w:r w:rsidR="008D4B86">
        <w:rPr>
          <w:rFonts w:eastAsiaTheme="minorEastAsia" w:cs="Times New Roman"/>
          <w:iCs/>
        </w:rPr>
        <w:t xml:space="preserve">it </w:t>
      </w:r>
      <w:r w:rsidR="00827232">
        <w:rPr>
          <w:rFonts w:eastAsiaTheme="minorEastAsia" w:cs="Times New Roman"/>
          <w:iCs/>
        </w:rPr>
        <w:t>invades</w:t>
      </w:r>
      <w:r w:rsidR="007A476C">
        <w:rPr>
          <w:rFonts w:eastAsiaTheme="minorEastAsia" w:cs="Times New Roman"/>
          <w:iCs/>
        </w:rPr>
        <w:t>, which is consistent with processes observed in the field</w:t>
      </w:r>
      <w:r w:rsidR="000F403F">
        <w:rPr>
          <w:rFonts w:eastAsiaTheme="minorEastAsia" w:cs="Times New Roman"/>
          <w:iCs/>
        </w:rPr>
        <w:t xml:space="preserve"> </w:t>
      </w:r>
      <w:r w:rsidR="00585348" w:rsidRPr="00585348">
        <w:rPr>
          <w:rFonts w:cs="Times New Roman"/>
        </w:rPr>
        <w:t>(Cunard and Lee 2008)</w:t>
      </w:r>
      <w:r w:rsidR="00827232">
        <w:rPr>
          <w:rFonts w:eastAsiaTheme="minorEastAsia" w:cs="Times New Roman"/>
          <w:iCs/>
        </w:rPr>
        <w:t xml:space="preserve">. </w:t>
      </w:r>
    </w:p>
    <w:p w14:paraId="659EADA6" w14:textId="7E3C3788" w:rsidR="00A10444" w:rsidRDefault="00827232" w:rsidP="008579EE">
      <w:pPr>
        <w:spacing w:line="480" w:lineRule="auto"/>
        <w:ind w:firstLine="720"/>
        <w:rPr>
          <w:rFonts w:cs="Times New Roman"/>
          <w:iCs/>
        </w:rPr>
      </w:pPr>
      <w:r>
        <w:rPr>
          <w:rFonts w:eastAsiaTheme="minorEastAsia" w:cs="Times New Roman"/>
          <w:iCs/>
        </w:rPr>
        <w:t>These characteristics however, do not necessarily result in a rapidly spreading species. Thus, the second</w:t>
      </w:r>
      <w:r w:rsidR="00C26E79">
        <w:rPr>
          <w:rFonts w:eastAsiaTheme="minorEastAsia" w:cs="Times New Roman"/>
          <w:iCs/>
        </w:rPr>
        <w:t xml:space="preserve"> point </w:t>
      </w:r>
      <w:r>
        <w:rPr>
          <w:rFonts w:eastAsiaTheme="minorEastAsia" w:cs="Times New Roman"/>
          <w:iCs/>
        </w:rPr>
        <w:t xml:space="preserve">is that </w:t>
      </w:r>
      <w:r>
        <w:rPr>
          <w:rFonts w:eastAsiaTheme="minorEastAsia" w:cs="Times New Roman"/>
          <w:i/>
          <w:iCs/>
        </w:rPr>
        <w:t xml:space="preserve">F. </w:t>
      </w:r>
      <w:proofErr w:type="spellStart"/>
      <w:r>
        <w:rPr>
          <w:rFonts w:eastAsiaTheme="minorEastAsia" w:cs="Times New Roman"/>
          <w:i/>
          <w:iCs/>
        </w:rPr>
        <w:t>alnus</w:t>
      </w:r>
      <w:proofErr w:type="spellEnd"/>
      <w:r>
        <w:rPr>
          <w:rFonts w:eastAsiaTheme="minorEastAsia" w:cs="Times New Roman"/>
          <w:i/>
          <w:iCs/>
        </w:rPr>
        <w:t xml:space="preserve"> </w:t>
      </w:r>
      <w:r w:rsidR="005A65F3">
        <w:rPr>
          <w:rFonts w:eastAsiaTheme="minorEastAsia" w:cs="Times New Roman"/>
          <w:iCs/>
        </w:rPr>
        <w:t>required</w:t>
      </w:r>
      <w:r>
        <w:rPr>
          <w:rFonts w:eastAsiaTheme="minorEastAsia" w:cs="Times New Roman"/>
          <w:iCs/>
        </w:rPr>
        <w:t xml:space="preserve"> extensive long-distance dispersal</w:t>
      </w:r>
      <w:r w:rsidR="005A65F3">
        <w:rPr>
          <w:rFonts w:eastAsiaTheme="minorEastAsia" w:cs="Times New Roman"/>
          <w:iCs/>
        </w:rPr>
        <w:t xml:space="preserve"> to spread throughout its novel range</w:t>
      </w:r>
      <w:r>
        <w:rPr>
          <w:rFonts w:eastAsiaTheme="minorEastAsia" w:cs="Times New Roman"/>
          <w:iCs/>
        </w:rPr>
        <w:t>.</w:t>
      </w:r>
      <w:r w:rsidR="008D4B86">
        <w:rPr>
          <w:rFonts w:eastAsiaTheme="minorEastAsia" w:cs="Times New Roman"/>
          <w:iCs/>
        </w:rPr>
        <w:t xml:space="preserve"> </w:t>
      </w:r>
      <w:r w:rsidR="008D4B86">
        <w:rPr>
          <w:rFonts w:cs="Times New Roman"/>
          <w:iCs/>
        </w:rPr>
        <w:t xml:space="preserve">Both local and long-distance dispersal influence the spatial spread of invasive species </w:t>
      </w:r>
      <w:r w:rsidR="00585348" w:rsidRPr="00585348">
        <w:rPr>
          <w:rFonts w:cs="Times New Roman"/>
        </w:rPr>
        <w:t>(</w:t>
      </w:r>
      <w:proofErr w:type="spellStart"/>
      <w:r w:rsidR="00585348" w:rsidRPr="00585348">
        <w:rPr>
          <w:rFonts w:cs="Times New Roman"/>
        </w:rPr>
        <w:t>Pyšek</w:t>
      </w:r>
      <w:proofErr w:type="spellEnd"/>
      <w:r w:rsidR="00585348" w:rsidRPr="00585348">
        <w:rPr>
          <w:rFonts w:cs="Times New Roman"/>
        </w:rPr>
        <w:t xml:space="preserve"> and </w:t>
      </w:r>
      <w:proofErr w:type="spellStart"/>
      <w:r w:rsidR="00585348" w:rsidRPr="00585348">
        <w:rPr>
          <w:rFonts w:cs="Times New Roman"/>
        </w:rPr>
        <w:t>Hulme</w:t>
      </w:r>
      <w:proofErr w:type="spellEnd"/>
      <w:r w:rsidR="00585348" w:rsidRPr="00585348">
        <w:rPr>
          <w:rFonts w:cs="Times New Roman"/>
        </w:rPr>
        <w:t xml:space="preserve"> 2005)</w:t>
      </w:r>
      <w:r w:rsidR="00EC0A3F">
        <w:rPr>
          <w:rFonts w:cs="Times New Roman"/>
          <w:iCs/>
        </w:rPr>
        <w:t xml:space="preserve"> </w:t>
      </w:r>
      <w:r w:rsidR="008D4B86">
        <w:rPr>
          <w:rFonts w:cs="Times New Roman"/>
          <w:iCs/>
        </w:rPr>
        <w:t>and can be critical to attaining good model fits in grid-based simulations</w:t>
      </w:r>
      <w:r w:rsidR="00EC0A3F">
        <w:rPr>
          <w:rFonts w:cs="Times New Roman"/>
          <w:iCs/>
        </w:rPr>
        <w:t xml:space="preserve"> </w:t>
      </w:r>
      <w:r w:rsidR="00585348" w:rsidRPr="00585348">
        <w:rPr>
          <w:rFonts w:cs="Times New Roman"/>
        </w:rPr>
        <w:t>(</w:t>
      </w:r>
      <w:proofErr w:type="spellStart"/>
      <w:r w:rsidR="00585348" w:rsidRPr="00585348">
        <w:rPr>
          <w:rFonts w:cs="Times New Roman"/>
        </w:rPr>
        <w:t>Merow</w:t>
      </w:r>
      <w:proofErr w:type="spellEnd"/>
      <w:r w:rsidR="00585348" w:rsidRPr="00585348">
        <w:rPr>
          <w:rFonts w:cs="Times New Roman"/>
        </w:rPr>
        <w:t xml:space="preserve"> et al. 2011)</w:t>
      </w:r>
      <w:r w:rsidR="008D4B86">
        <w:rPr>
          <w:rFonts w:cs="Times New Roman"/>
          <w:iCs/>
        </w:rPr>
        <w:t>. LDD in particular has been shown to be important for predicting species spread</w:t>
      </w:r>
      <w:r w:rsidR="00EC0A3F">
        <w:rPr>
          <w:rFonts w:cs="Times New Roman"/>
          <w:iCs/>
        </w:rPr>
        <w:t xml:space="preserve"> </w:t>
      </w:r>
      <w:r w:rsidR="00585348" w:rsidRPr="00585348">
        <w:rPr>
          <w:rFonts w:cs="Times New Roman"/>
        </w:rPr>
        <w:t>(Clark et al. 2001; Hastings et al. 2005; Nehrbass et al. 2006)</w:t>
      </w:r>
      <w:r w:rsidR="008D4B86">
        <w:rPr>
          <w:rFonts w:cs="Times New Roman"/>
          <w:iCs/>
        </w:rPr>
        <w:t xml:space="preserve">. In fact, </w:t>
      </w:r>
      <w:r w:rsidR="009B5F6D">
        <w:rPr>
          <w:rFonts w:cs="Times New Roman"/>
          <w:iCs/>
        </w:rPr>
        <w:t xml:space="preserve">in an analysis of simulation results with </w:t>
      </w:r>
      <w:r w:rsidR="008D4B86">
        <w:rPr>
          <w:rFonts w:cs="Times New Roman"/>
          <w:iCs/>
        </w:rPr>
        <w:t xml:space="preserve">occupancy threshold </w:t>
      </w:r>
      <w:r w:rsidR="009B5F6D">
        <w:rPr>
          <w:rFonts w:cs="Times New Roman"/>
          <w:iCs/>
        </w:rPr>
        <w:t xml:space="preserve">equal to 1, </w:t>
      </w:r>
      <w:r w:rsidR="008D4B86">
        <w:rPr>
          <w:rFonts w:cs="Times New Roman"/>
          <w:iCs/>
        </w:rPr>
        <w:t xml:space="preserve">LDD </w:t>
      </w:r>
      <w:r w:rsidR="00DE7602">
        <w:rPr>
          <w:rFonts w:cs="Times New Roman"/>
          <w:iCs/>
        </w:rPr>
        <w:t>was</w:t>
      </w:r>
      <w:r w:rsidR="008D4B86">
        <w:rPr>
          <w:rFonts w:cs="Times New Roman"/>
          <w:iCs/>
        </w:rPr>
        <w:t xml:space="preserve"> the most influential parameter on measures of sensitivity</w:t>
      </w:r>
      <w:r w:rsidR="00DE7602">
        <w:rPr>
          <w:rFonts w:cs="Times New Roman"/>
          <w:iCs/>
        </w:rPr>
        <w:t xml:space="preserve"> (results not shown)</w:t>
      </w:r>
      <w:r w:rsidR="008D4B86">
        <w:rPr>
          <w:rFonts w:cs="Times New Roman"/>
          <w:iCs/>
        </w:rPr>
        <w:t xml:space="preserve">. </w:t>
      </w:r>
      <w:r w:rsidR="007A476C">
        <w:rPr>
          <w:rFonts w:cs="Times New Roman"/>
          <w:iCs/>
        </w:rPr>
        <w:t xml:space="preserve">However, measures of </w:t>
      </w:r>
      <w:r w:rsidR="007A476C">
        <w:rPr>
          <w:rFonts w:eastAsiaTheme="minorEastAsia" w:cs="Times New Roman"/>
          <w:i/>
          <w:iCs/>
        </w:rPr>
        <w:t xml:space="preserve">F. </w:t>
      </w:r>
      <w:proofErr w:type="spellStart"/>
      <w:r w:rsidR="007A476C">
        <w:rPr>
          <w:rFonts w:eastAsiaTheme="minorEastAsia" w:cs="Times New Roman"/>
          <w:i/>
          <w:iCs/>
        </w:rPr>
        <w:t>alnus</w:t>
      </w:r>
      <w:proofErr w:type="spellEnd"/>
      <w:r w:rsidR="007A476C">
        <w:rPr>
          <w:rFonts w:eastAsiaTheme="minorEastAsia" w:cs="Times New Roman"/>
          <w:i/>
          <w:iCs/>
        </w:rPr>
        <w:t xml:space="preserve"> </w:t>
      </w:r>
      <w:r w:rsidR="007A476C">
        <w:rPr>
          <w:rFonts w:eastAsiaTheme="minorEastAsia" w:cs="Times New Roman"/>
          <w:iCs/>
        </w:rPr>
        <w:t>dispersal distance are very short compared to the patch size used in this simulation (</w:t>
      </w:r>
      <w:r w:rsidR="00530D11">
        <w:rPr>
          <w:rFonts w:cs="Times New Roman"/>
          <w:iCs/>
        </w:rPr>
        <w:t>on the order of tens to hundreds of meters;</w:t>
      </w:r>
      <w:r w:rsidR="00EC0A3F">
        <w:rPr>
          <w:rFonts w:cs="Times New Roman"/>
          <w:iCs/>
        </w:rPr>
        <w:t xml:space="preserve"> </w:t>
      </w:r>
      <w:r w:rsidR="00585348" w:rsidRPr="00585348">
        <w:rPr>
          <w:rFonts w:cs="Times New Roman"/>
        </w:rPr>
        <w:t>(</w:t>
      </w:r>
      <w:proofErr w:type="spellStart"/>
      <w:r w:rsidR="00585348" w:rsidRPr="00585348">
        <w:rPr>
          <w:rFonts w:cs="Times New Roman"/>
        </w:rPr>
        <w:t>Frappier</w:t>
      </w:r>
      <w:proofErr w:type="spellEnd"/>
      <w:r w:rsidR="00585348" w:rsidRPr="00585348">
        <w:rPr>
          <w:rFonts w:cs="Times New Roman"/>
        </w:rPr>
        <w:t xml:space="preserve"> et al. 2003b; Hampe 2004, 2008; Berg 2011)</w:t>
      </w:r>
      <w:r w:rsidR="00530D11">
        <w:rPr>
          <w:rFonts w:cs="Times New Roman"/>
          <w:iCs/>
        </w:rPr>
        <w:t>. Further, though birds consume fruit and disperse seeds via defecation</w:t>
      </w:r>
      <w:r w:rsidR="00EC0A3F">
        <w:rPr>
          <w:rFonts w:cs="Times New Roman"/>
          <w:iCs/>
        </w:rPr>
        <w:t xml:space="preserve"> </w:t>
      </w:r>
      <w:r w:rsidR="00585348" w:rsidRPr="00585348">
        <w:rPr>
          <w:rFonts w:cs="Times New Roman"/>
        </w:rPr>
        <w:t xml:space="preserve">(Godwin 1943; </w:t>
      </w:r>
      <w:proofErr w:type="spellStart"/>
      <w:r w:rsidR="00585348" w:rsidRPr="00585348">
        <w:rPr>
          <w:rFonts w:cs="Times New Roman"/>
        </w:rPr>
        <w:t>Hampe</w:t>
      </w:r>
      <w:proofErr w:type="spellEnd"/>
      <w:r w:rsidR="00585348" w:rsidRPr="00585348">
        <w:rPr>
          <w:rFonts w:cs="Times New Roman"/>
        </w:rPr>
        <w:t xml:space="preserve"> and Bairlein 2000; Hampe 2008)</w:t>
      </w:r>
      <w:r w:rsidR="00530D11">
        <w:rPr>
          <w:rFonts w:cs="Times New Roman"/>
          <w:iCs/>
        </w:rPr>
        <w:t>, because of laxative properties of the fruit flesh, avian seed dispersal is also limited in distance.</w:t>
      </w:r>
      <w:r w:rsidR="00200D62">
        <w:rPr>
          <w:rFonts w:cs="Times New Roman"/>
          <w:iCs/>
        </w:rPr>
        <w:t xml:space="preserve"> This suggests that human facilitated long-distance dispersal played a major role in the invasion of </w:t>
      </w:r>
      <w:r w:rsidR="00200D62">
        <w:rPr>
          <w:rFonts w:cs="Times New Roman"/>
          <w:i/>
          <w:iCs/>
        </w:rPr>
        <w:t xml:space="preserve">F. </w:t>
      </w:r>
      <w:proofErr w:type="spellStart"/>
      <w:r w:rsidR="00200D62">
        <w:rPr>
          <w:rFonts w:cs="Times New Roman"/>
          <w:i/>
          <w:iCs/>
        </w:rPr>
        <w:t>alnus</w:t>
      </w:r>
      <w:proofErr w:type="spellEnd"/>
      <w:r w:rsidR="00200D62">
        <w:rPr>
          <w:rFonts w:cs="Times New Roman"/>
          <w:i/>
          <w:iCs/>
        </w:rPr>
        <w:t>.</w:t>
      </w:r>
      <w:r w:rsidR="00200D62">
        <w:rPr>
          <w:rFonts w:cs="Times New Roman"/>
          <w:iCs/>
        </w:rPr>
        <w:t xml:space="preserve"> Additionally, r</w:t>
      </w:r>
      <w:r w:rsidR="008D4B86">
        <w:rPr>
          <w:rFonts w:cs="Times New Roman"/>
          <w:iCs/>
        </w:rPr>
        <w:t xml:space="preserve">egardless of the </w:t>
      </w:r>
      <w:r w:rsidR="00200D62">
        <w:rPr>
          <w:rFonts w:cs="Times New Roman"/>
          <w:iCs/>
        </w:rPr>
        <w:t xml:space="preserve">occupancy </w:t>
      </w:r>
      <w:r w:rsidR="008D4B86">
        <w:rPr>
          <w:rFonts w:cs="Times New Roman"/>
          <w:iCs/>
        </w:rPr>
        <w:t xml:space="preserve">threshold applied, </w:t>
      </w:r>
      <w:r w:rsidR="008D7EE0">
        <w:rPr>
          <w:rFonts w:cs="Times New Roman"/>
          <w:iCs/>
        </w:rPr>
        <w:t xml:space="preserve">human population density weighted LDD </w:t>
      </w:r>
      <w:r w:rsidR="008D4B86">
        <w:rPr>
          <w:rFonts w:cs="Times New Roman"/>
          <w:iCs/>
        </w:rPr>
        <w:t xml:space="preserve">showed significantly </w:t>
      </w:r>
      <w:r w:rsidR="008D7EE0">
        <w:rPr>
          <w:rFonts w:cs="Times New Roman"/>
          <w:iCs/>
        </w:rPr>
        <w:t>better</w:t>
      </w:r>
      <w:r w:rsidR="008D4B86">
        <w:rPr>
          <w:rFonts w:cs="Times New Roman"/>
          <w:iCs/>
        </w:rPr>
        <w:t xml:space="preserve"> model fit </w:t>
      </w:r>
      <w:r w:rsidR="008D4B86">
        <w:rPr>
          <w:rFonts w:cs="Times New Roman"/>
          <w:iCs/>
        </w:rPr>
        <w:lastRenderedPageBreak/>
        <w:t>metrics compared to</w:t>
      </w:r>
      <w:r w:rsidR="008D7EE0" w:rsidRPr="008D7EE0">
        <w:rPr>
          <w:rFonts w:cs="Times New Roman"/>
          <w:iCs/>
        </w:rPr>
        <w:t xml:space="preserve"> </w:t>
      </w:r>
      <w:r w:rsidR="008D7EE0">
        <w:rPr>
          <w:rFonts w:cs="Times New Roman"/>
          <w:iCs/>
        </w:rPr>
        <w:t>random LDD</w:t>
      </w:r>
      <w:r w:rsidR="00DE7602">
        <w:rPr>
          <w:rFonts w:cs="Times New Roman"/>
          <w:iCs/>
        </w:rPr>
        <w:t xml:space="preserve">. </w:t>
      </w:r>
      <w:r w:rsidR="005923D8">
        <w:rPr>
          <w:rFonts w:cs="Times New Roman"/>
          <w:iCs/>
        </w:rPr>
        <w:t xml:space="preserve">This </w:t>
      </w:r>
      <w:r w:rsidR="008D4B86">
        <w:rPr>
          <w:rFonts w:cs="Times New Roman"/>
          <w:iCs/>
        </w:rPr>
        <w:t xml:space="preserve">is </w:t>
      </w:r>
      <w:r w:rsidR="005923D8">
        <w:rPr>
          <w:rFonts w:cs="Times New Roman"/>
          <w:iCs/>
        </w:rPr>
        <w:t xml:space="preserve">further </w:t>
      </w:r>
      <w:r w:rsidR="008D4B86">
        <w:rPr>
          <w:rFonts w:cs="Times New Roman"/>
          <w:iCs/>
        </w:rPr>
        <w:t xml:space="preserve">supported by </w:t>
      </w:r>
      <w:r w:rsidR="003B7258">
        <w:rPr>
          <w:rFonts w:cs="Times New Roman"/>
          <w:iCs/>
        </w:rPr>
        <w:t xml:space="preserve">pattern of spread of </w:t>
      </w:r>
      <w:r w:rsidR="003B7258">
        <w:rPr>
          <w:rFonts w:cs="Times New Roman"/>
          <w:i/>
        </w:rPr>
        <w:t xml:space="preserve">F. </w:t>
      </w:r>
      <w:proofErr w:type="spellStart"/>
      <w:r w:rsidR="003B7258">
        <w:rPr>
          <w:rFonts w:cs="Times New Roman"/>
          <w:i/>
        </w:rPr>
        <w:t>alnus</w:t>
      </w:r>
      <w:proofErr w:type="spellEnd"/>
      <w:r w:rsidR="003B7258">
        <w:rPr>
          <w:rFonts w:cs="Times New Roman"/>
          <w:iCs/>
        </w:rPr>
        <w:t>,</w:t>
      </w:r>
      <w:r w:rsidR="008D4B86">
        <w:rPr>
          <w:rFonts w:cs="Times New Roman"/>
          <w:iCs/>
        </w:rPr>
        <w:t xml:space="preserve"> rapid spread from New York to metropolitan areas of Chicago, Boston, Washington D.C., and London, Ontario in </w:t>
      </w:r>
      <w:r w:rsidR="00CA5B08">
        <w:rPr>
          <w:rFonts w:cs="Times New Roman"/>
          <w:iCs/>
        </w:rPr>
        <w:t xml:space="preserve">the </w:t>
      </w:r>
      <w:r w:rsidR="008D4B86">
        <w:rPr>
          <w:rFonts w:cs="Times New Roman"/>
          <w:iCs/>
        </w:rPr>
        <w:t>earliest stages of it invasion</w:t>
      </w:r>
      <w:r w:rsidR="003B7258">
        <w:rPr>
          <w:rFonts w:cs="Times New Roman"/>
          <w:iCs/>
        </w:rPr>
        <w:t>, followed by slower spread out from those urban centers</w:t>
      </w:r>
      <w:r w:rsidR="008D4B86">
        <w:rPr>
          <w:rFonts w:cs="Times New Roman"/>
          <w:iCs/>
        </w:rPr>
        <w:t xml:space="preserve">. Ultimately, spatial spread for </w:t>
      </w:r>
      <w:r w:rsidR="008D4B86">
        <w:rPr>
          <w:rFonts w:cs="Times New Roman"/>
          <w:i/>
          <w:iCs/>
        </w:rPr>
        <w:t xml:space="preserve">F. </w:t>
      </w:r>
      <w:proofErr w:type="spellStart"/>
      <w:r w:rsidR="008D4B86">
        <w:rPr>
          <w:rFonts w:cs="Times New Roman"/>
          <w:i/>
          <w:iCs/>
        </w:rPr>
        <w:t>alnus</w:t>
      </w:r>
      <w:proofErr w:type="spellEnd"/>
      <w:r w:rsidR="008D4B86">
        <w:rPr>
          <w:rFonts w:cs="Times New Roman"/>
          <w:i/>
          <w:iCs/>
        </w:rPr>
        <w:t xml:space="preserve"> </w:t>
      </w:r>
      <w:r w:rsidR="00A10444">
        <w:rPr>
          <w:rFonts w:cs="Times New Roman"/>
          <w:iCs/>
        </w:rPr>
        <w:t>was</w:t>
      </w:r>
      <w:r w:rsidR="008D4B86">
        <w:rPr>
          <w:rFonts w:cs="Times New Roman"/>
          <w:iCs/>
        </w:rPr>
        <w:t xml:space="preserve"> likely driven by human </w:t>
      </w:r>
      <w:r w:rsidR="00A10444">
        <w:rPr>
          <w:rFonts w:cs="Times New Roman"/>
          <w:iCs/>
        </w:rPr>
        <w:t xml:space="preserve">assisted </w:t>
      </w:r>
      <w:r w:rsidR="008D4B86">
        <w:rPr>
          <w:rFonts w:cs="Times New Roman"/>
          <w:iCs/>
        </w:rPr>
        <w:t>transport, as is the case for many invasive species</w:t>
      </w:r>
      <w:r w:rsidR="004E16AB">
        <w:rPr>
          <w:rFonts w:cs="Times New Roman"/>
          <w:iCs/>
        </w:rPr>
        <w:t xml:space="preserve"> </w:t>
      </w:r>
      <w:r w:rsidR="00585348" w:rsidRPr="00585348">
        <w:rPr>
          <w:rFonts w:cs="Times New Roman"/>
        </w:rPr>
        <w:t>(Mack et al. 2000; Herron et al. 2007; Jongejans et al. 2008; Gavier-Pizarro et al. 2010; Larkin 2011; Sullivan et al. 2012)</w:t>
      </w:r>
      <w:r w:rsidR="008D7EE0">
        <w:rPr>
          <w:rFonts w:cs="Times New Roman"/>
          <w:iCs/>
        </w:rPr>
        <w:t xml:space="preserve">. </w:t>
      </w:r>
    </w:p>
    <w:p w14:paraId="20C6D5FF" w14:textId="0DDDF365" w:rsidR="00E70C9A" w:rsidRDefault="00947355" w:rsidP="008579EE">
      <w:pPr>
        <w:spacing w:line="480" w:lineRule="auto"/>
      </w:pPr>
      <w:r>
        <w:tab/>
        <w:t xml:space="preserve">I made several assumptions during model construction that could have affected the simulation results and subsequent interpretations. </w:t>
      </w:r>
      <w:r w:rsidR="00E70C9A">
        <w:t>First,</w:t>
      </w:r>
      <w:r w:rsidR="00FF24C7">
        <w:t xml:space="preserve"> </w:t>
      </w:r>
      <w:r w:rsidR="00E70C9A">
        <w:t>t</w:t>
      </w:r>
      <w:r w:rsidR="00FF24C7">
        <w:t>he IPM framework used for the demographic model does not readily incorporate the effects of demographic stochasticity</w:t>
      </w:r>
      <w:r w:rsidR="004E16AB">
        <w:t xml:space="preserve"> </w:t>
      </w:r>
      <w:r w:rsidR="00585348" w:rsidRPr="00585348">
        <w:rPr>
          <w:rFonts w:cs="Times New Roman"/>
        </w:rPr>
        <w:t>(</w:t>
      </w:r>
      <w:proofErr w:type="spellStart"/>
      <w:r w:rsidR="00585348" w:rsidRPr="00585348">
        <w:rPr>
          <w:rFonts w:cs="Times New Roman"/>
        </w:rPr>
        <w:t>Ellner</w:t>
      </w:r>
      <w:proofErr w:type="spellEnd"/>
      <w:r w:rsidR="00585348" w:rsidRPr="00585348">
        <w:rPr>
          <w:rFonts w:cs="Times New Roman"/>
        </w:rPr>
        <w:t xml:space="preserve"> and Rees 2007; Rees and Ellner 2009)</w:t>
      </w:r>
      <w:r w:rsidR="00FF24C7">
        <w:t xml:space="preserve">. Rather, populations are </w:t>
      </w:r>
      <w:r>
        <w:t xml:space="preserve">assumed to be </w:t>
      </w:r>
      <w:r w:rsidR="00FF24C7">
        <w:t xml:space="preserve">large enough such that demographic stochasticity does not greatly affect outcomes. </w:t>
      </w:r>
      <w:r>
        <w:t>T</w:t>
      </w:r>
      <w:r w:rsidR="00FF24C7">
        <w:t xml:space="preserve">his </w:t>
      </w:r>
      <w:r w:rsidR="00E70C9A">
        <w:t>may be</w:t>
      </w:r>
      <w:r w:rsidR="00FF24C7">
        <w:t xml:space="preserve"> </w:t>
      </w:r>
      <w:r>
        <w:t>unrealistic</w:t>
      </w:r>
      <w:r w:rsidR="00FF24C7">
        <w:t xml:space="preserve"> for the purposes of modeling </w:t>
      </w:r>
      <w:r w:rsidR="00E70C9A">
        <w:t xml:space="preserve">spreading </w:t>
      </w:r>
      <w:r w:rsidR="00FF24C7">
        <w:t xml:space="preserve">species </w:t>
      </w:r>
      <w:r w:rsidR="00E70C9A">
        <w:t>that are establishing</w:t>
      </w:r>
      <w:r w:rsidR="00FF24C7">
        <w:t xml:space="preserve"> new populations. Demographic stochasticity has the great</w:t>
      </w:r>
      <w:r w:rsidR="00336C73">
        <w:t xml:space="preserve">est impact on small populations, and during spread of </w:t>
      </w:r>
      <w:r w:rsidR="00FF24C7">
        <w:t xml:space="preserve">an invasive species, it is likely that new introductions will be small in population size. </w:t>
      </w:r>
      <w:r w:rsidR="00336C73">
        <w:t>I</w:t>
      </w:r>
      <w:r w:rsidR="00FF24C7">
        <w:t xml:space="preserve">gnoring these effects, my </w:t>
      </w:r>
      <w:r w:rsidR="00336C73">
        <w:t>simulations may overestimate</w:t>
      </w:r>
      <w:r w:rsidR="00FF24C7">
        <w:t xml:space="preserve"> the success of very small populations, potentially overestimating the rate of spread throughout the landscape. Some work has been done to better integrate demographic stochasticity into IPMs</w:t>
      </w:r>
      <w:r w:rsidR="004E16AB">
        <w:t xml:space="preserve"> </w:t>
      </w:r>
      <w:r w:rsidR="00585348" w:rsidRPr="00585348">
        <w:rPr>
          <w:rFonts w:cs="Times New Roman"/>
        </w:rPr>
        <w:t>(</w:t>
      </w:r>
      <w:proofErr w:type="spellStart"/>
      <w:r w:rsidR="00585348" w:rsidRPr="00585348">
        <w:rPr>
          <w:rFonts w:cs="Times New Roman"/>
        </w:rPr>
        <w:t>Vindenes</w:t>
      </w:r>
      <w:proofErr w:type="spellEnd"/>
      <w:r w:rsidR="00585348" w:rsidRPr="00585348">
        <w:rPr>
          <w:rFonts w:cs="Times New Roman"/>
        </w:rPr>
        <w:t xml:space="preserve"> et al. 2011)</w:t>
      </w:r>
      <w:r w:rsidR="00FF24C7">
        <w:t xml:space="preserve">, but </w:t>
      </w:r>
      <w:r w:rsidR="00336C73">
        <w:t>further development</w:t>
      </w:r>
      <w:r w:rsidR="00FF24C7">
        <w:t xml:space="preserve"> is needed.</w:t>
      </w:r>
      <w:r w:rsidR="00E70C9A">
        <w:t xml:space="preserve"> </w:t>
      </w:r>
    </w:p>
    <w:p w14:paraId="2EEF28C0" w14:textId="0E031B93" w:rsidR="00DD0C98" w:rsidRDefault="00E70C9A" w:rsidP="00DD0C98">
      <w:pPr>
        <w:spacing w:line="480" w:lineRule="auto"/>
        <w:ind w:firstLine="720"/>
      </w:pPr>
      <w:r>
        <w:t xml:space="preserve">Second, </w:t>
      </w:r>
      <w:r>
        <w:rPr>
          <w:rFonts w:cs="Times New Roman"/>
          <w:iCs/>
        </w:rPr>
        <w:t>t</w:t>
      </w:r>
      <w:r w:rsidR="00FF24C7">
        <w:rPr>
          <w:rFonts w:cs="Times New Roman"/>
          <w:iCs/>
        </w:rPr>
        <w:t>he paramete</w:t>
      </w:r>
      <w:r w:rsidR="00B1455F">
        <w:rPr>
          <w:rFonts w:cs="Times New Roman"/>
          <w:iCs/>
        </w:rPr>
        <w:t>rs used in the</w:t>
      </w:r>
      <w:r w:rsidR="00FF24C7">
        <w:rPr>
          <w:rFonts w:cs="Times New Roman"/>
          <w:iCs/>
        </w:rPr>
        <w:t xml:space="preserve"> SDM </w:t>
      </w:r>
      <w:r w:rsidR="00B1455F">
        <w:rPr>
          <w:rFonts w:cs="Times New Roman"/>
          <w:iCs/>
        </w:rPr>
        <w:t>affected</w:t>
      </w:r>
      <w:r w:rsidR="00FF24C7">
        <w:rPr>
          <w:rFonts w:cs="Times New Roman"/>
          <w:iCs/>
        </w:rPr>
        <w:t xml:space="preserve"> the spatial structure of the metapopulation. A </w:t>
      </w:r>
      <w:proofErr w:type="spellStart"/>
      <w:r w:rsidR="00FF24C7">
        <w:rPr>
          <w:rFonts w:cs="Times New Roman"/>
          <w:iCs/>
        </w:rPr>
        <w:t>MaxEnt</w:t>
      </w:r>
      <w:proofErr w:type="spellEnd"/>
      <w:r w:rsidR="00FF24C7">
        <w:rPr>
          <w:rFonts w:cs="Times New Roman"/>
          <w:iCs/>
        </w:rPr>
        <w:t xml:space="preserve"> model constructed with a small</w:t>
      </w:r>
      <w:r>
        <w:rPr>
          <w:rFonts w:cs="Times New Roman"/>
          <w:iCs/>
        </w:rPr>
        <w:t>er</w:t>
      </w:r>
      <w:r w:rsidR="00FF24C7">
        <w:rPr>
          <w:rFonts w:cs="Times New Roman"/>
          <w:iCs/>
        </w:rPr>
        <w:t xml:space="preserve"> number of features (i.e., a simpler model) yielded a greater number of populations than a more complicated model, but </w:t>
      </w:r>
      <w:r w:rsidR="00B1455F">
        <w:rPr>
          <w:rFonts w:cs="Times New Roman"/>
          <w:iCs/>
        </w:rPr>
        <w:t xml:space="preserve">with </w:t>
      </w:r>
      <w:r w:rsidR="00FF24C7">
        <w:rPr>
          <w:rFonts w:cs="Times New Roman"/>
          <w:iCs/>
        </w:rPr>
        <w:t>overall lower habitat suitability values. I chose the simpler model to avoid potential effects of over-fitting</w:t>
      </w:r>
      <w:r w:rsidR="002C4D8D">
        <w:rPr>
          <w:rFonts w:cs="Times New Roman"/>
          <w:iCs/>
        </w:rPr>
        <w:t xml:space="preserve"> </w:t>
      </w:r>
      <w:r w:rsidR="00585348" w:rsidRPr="00585348">
        <w:rPr>
          <w:rFonts w:cs="Times New Roman"/>
        </w:rPr>
        <w:t>(</w:t>
      </w:r>
      <w:proofErr w:type="spellStart"/>
      <w:r w:rsidR="00585348" w:rsidRPr="00585348">
        <w:rPr>
          <w:rFonts w:cs="Times New Roman"/>
        </w:rPr>
        <w:t>Syfert</w:t>
      </w:r>
      <w:proofErr w:type="spellEnd"/>
      <w:r w:rsidR="00585348" w:rsidRPr="00585348">
        <w:rPr>
          <w:rFonts w:cs="Times New Roman"/>
        </w:rPr>
        <w:t xml:space="preserve"> et al. 2013; Merow et al. 2013)</w:t>
      </w:r>
      <w:r w:rsidR="00FF24C7">
        <w:rPr>
          <w:rFonts w:cs="Times New Roman"/>
          <w:iCs/>
        </w:rPr>
        <w:t xml:space="preserve">. The decrease in habitat suitability resulted in </w:t>
      </w:r>
      <w:r w:rsidR="00FF24C7">
        <w:rPr>
          <w:rFonts w:cs="Times New Roman"/>
          <w:iCs/>
        </w:rPr>
        <w:lastRenderedPageBreak/>
        <w:t>lower</w:t>
      </w:r>
      <w:r w:rsidR="000B1DDE">
        <w:rPr>
          <w:rFonts w:cs="Times New Roman"/>
          <w:iCs/>
        </w:rPr>
        <w:t xml:space="preserve"> patch</w:t>
      </w:r>
      <w:r w:rsidR="00FF24C7">
        <w:rPr>
          <w:rFonts w:cs="Times New Roman"/>
          <w:iCs/>
        </w:rPr>
        <w:t xml:space="preserve"> carrying capacities. However, variations in carrying capacity were consistently the least influential parameter in simulation models, so this likely had minimal </w:t>
      </w:r>
      <w:r w:rsidR="00DD0C98">
        <w:rPr>
          <w:rFonts w:cs="Times New Roman"/>
          <w:iCs/>
        </w:rPr>
        <w:t>effect</w:t>
      </w:r>
      <w:r w:rsidR="00FF24C7">
        <w:rPr>
          <w:rFonts w:cs="Times New Roman"/>
          <w:iCs/>
        </w:rPr>
        <w:t xml:space="preserve"> on model fit measures, though it may have influence</w:t>
      </w:r>
      <w:r w:rsidR="000B1DDE">
        <w:rPr>
          <w:rFonts w:cs="Times New Roman"/>
          <w:iCs/>
        </w:rPr>
        <w:t>d</w:t>
      </w:r>
      <w:r w:rsidR="00FF24C7">
        <w:rPr>
          <w:rFonts w:cs="Times New Roman"/>
          <w:iCs/>
        </w:rPr>
        <w:t xml:space="preserve"> final metapopulation abundances.</w:t>
      </w:r>
      <w:r w:rsidR="005B391B">
        <w:rPr>
          <w:rFonts w:cs="Times New Roman"/>
          <w:iCs/>
        </w:rPr>
        <w:t xml:space="preserve"> </w:t>
      </w:r>
    </w:p>
    <w:p w14:paraId="18133442" w14:textId="20CAED22" w:rsidR="00FF24C7" w:rsidRDefault="00DD0C98" w:rsidP="00DD0C98">
      <w:pPr>
        <w:spacing w:line="480" w:lineRule="auto"/>
        <w:ind w:firstLine="720"/>
      </w:pPr>
      <w:r>
        <w:rPr>
          <w:iCs/>
        </w:rPr>
        <w:t>Third,</w:t>
      </w:r>
      <w:r w:rsidR="00FF24C7">
        <w:t xml:space="preserve"> </w:t>
      </w:r>
      <w:r>
        <w:t>t</w:t>
      </w:r>
      <w:r w:rsidR="00FF24C7">
        <w:t xml:space="preserve">he method I used to calculate carrying capacity (the number of 2 x 2 m cells within the patch) is a novel approach that </w:t>
      </w:r>
      <w:r w:rsidR="000B1DDE">
        <w:t>scales up</w:t>
      </w:r>
      <w:r w:rsidR="00FF24C7">
        <w:t xml:space="preserve"> the effects of demographic processes play</w:t>
      </w:r>
      <w:r>
        <w:t>ing</w:t>
      </w:r>
      <w:r w:rsidR="00FF24C7">
        <w:t xml:space="preserve"> out </w:t>
      </w:r>
      <w:r w:rsidR="000B1DDE">
        <w:t>between</w:t>
      </w:r>
      <w:r w:rsidR="00FF24C7">
        <w:t xml:space="preserve"> individual plants and their neighbors </w:t>
      </w:r>
      <w:r w:rsidR="000B1DDE">
        <w:t>to</w:t>
      </w:r>
      <w:r w:rsidR="00FF24C7">
        <w:t xml:space="preserve"> the population (patch; 20 x 20 km). </w:t>
      </w:r>
      <w:r w:rsidR="00FC75F9">
        <w:t>In doing this</w:t>
      </w:r>
      <w:r w:rsidR="00FF24C7">
        <w:t xml:space="preserve"> I assumed that all 2 x 2 m grid cells are equal in the population. That is, the quality of 2 x 2 m grid cells is uniform. At a microsite level, this is </w:t>
      </w:r>
      <w:r>
        <w:t>certainly an over-simplification</w:t>
      </w:r>
      <w:r w:rsidR="00FF24C7">
        <w:t xml:space="preserve">. However, </w:t>
      </w:r>
      <w:r w:rsidR="000B1DDE">
        <w:t>I estimated density dependent effects on fecundity</w:t>
      </w:r>
      <w:r w:rsidR="00FF24C7">
        <w:t xml:space="preserve"> </w:t>
      </w:r>
      <w:r w:rsidR="000B1DDE">
        <w:t>using</w:t>
      </w:r>
      <w:r w:rsidR="00FF24C7">
        <w:t xml:space="preserve"> </w:t>
      </w:r>
      <w:r w:rsidR="00FC75F9">
        <w:t xml:space="preserve">field </w:t>
      </w:r>
      <w:r w:rsidR="00FF24C7">
        <w:t xml:space="preserve">observations from 2 x 2 m sample plots that varied in </w:t>
      </w:r>
      <w:r>
        <w:t xml:space="preserve">habitat </w:t>
      </w:r>
      <w:r w:rsidR="00FF24C7">
        <w:t xml:space="preserve">quality, </w:t>
      </w:r>
      <w:r w:rsidR="000B1DDE">
        <w:t xml:space="preserve">and should therefore represent </w:t>
      </w:r>
      <w:r w:rsidR="00FF24C7">
        <w:t xml:space="preserve">processes in </w:t>
      </w:r>
      <w:r w:rsidR="007E3F8E">
        <w:t>the</w:t>
      </w:r>
      <w:r w:rsidR="000B1DDE">
        <w:t xml:space="preserve"> average</w:t>
      </w:r>
      <w:r w:rsidR="00FF24C7">
        <w:t xml:space="preserve"> 2 x 2 m grid </w:t>
      </w:r>
      <w:r w:rsidR="000B1DDE">
        <w:t>cell</w:t>
      </w:r>
      <w:r w:rsidR="00FF24C7">
        <w:t xml:space="preserve">. </w:t>
      </w:r>
      <w:r w:rsidR="007E3F8E">
        <w:t>Second,</w:t>
      </w:r>
      <w:r w:rsidR="00FF24C7">
        <w:t xml:space="preserve"> I assumed that the number of grid cells available in a 20 x 20 km patch was proportional to habitat suitability. The logistic output from </w:t>
      </w:r>
      <w:proofErr w:type="spellStart"/>
      <w:r w:rsidR="00FF24C7">
        <w:t>MaxEnt</w:t>
      </w:r>
      <w:proofErr w:type="spellEnd"/>
      <w:r w:rsidR="00FF24C7">
        <w:t xml:space="preserve"> is an adequate measure of habitat suitability if the prevalence of the species on the landscape is approximately 50%. This </w:t>
      </w:r>
      <w:r w:rsidR="007E3F8E">
        <w:t>was</w:t>
      </w:r>
      <w:r w:rsidR="00FF24C7">
        <w:t xml:space="preserve"> not the case when I </w:t>
      </w:r>
      <w:r w:rsidR="007E3F8E">
        <w:t>compared</w:t>
      </w:r>
      <w:r w:rsidR="00FF24C7">
        <w:t xml:space="preserve"> the</w:t>
      </w:r>
      <w:r w:rsidR="007E3F8E">
        <w:t xml:space="preserve"> total</w:t>
      </w:r>
      <w:r w:rsidR="00FF24C7">
        <w:t xml:space="preserve"> number of grid cells with habitat suitability values greater than the 10% omission threshold versus the total number of grid cells with known occurrences</w:t>
      </w:r>
      <w:r w:rsidR="007E3F8E">
        <w:t xml:space="preserve"> (3423 versus 459, respectively)</w:t>
      </w:r>
      <w:r w:rsidR="00FF24C7">
        <w:t xml:space="preserve">. However, </w:t>
      </w:r>
      <w:r w:rsidR="00C86B7D">
        <w:t>considering only patches</w:t>
      </w:r>
      <w:r w:rsidR="00FF24C7">
        <w:t xml:space="preserve"> were either </w:t>
      </w:r>
      <w:r w:rsidR="00FF24C7">
        <w:rPr>
          <w:rFonts w:cs="Times New Roman"/>
          <w:i/>
          <w:iCs/>
        </w:rPr>
        <w:t xml:space="preserve">F. </w:t>
      </w:r>
      <w:proofErr w:type="spellStart"/>
      <w:r w:rsidR="00FF24C7">
        <w:rPr>
          <w:rFonts w:cs="Times New Roman"/>
          <w:i/>
          <w:iCs/>
        </w:rPr>
        <w:t>alnus</w:t>
      </w:r>
      <w:proofErr w:type="spellEnd"/>
      <w:r w:rsidR="00FF24C7">
        <w:t xml:space="preserve"> or </w:t>
      </w:r>
      <w:r>
        <w:t xml:space="preserve">native </w:t>
      </w:r>
      <w:r w:rsidR="00FF24C7">
        <w:t>species</w:t>
      </w:r>
      <w:r>
        <w:t xml:space="preserve"> with similar habitat requirements</w:t>
      </w:r>
      <w:r w:rsidR="00FF24C7">
        <w:t xml:space="preserve"> were observed</w:t>
      </w:r>
      <w:r w:rsidR="003E05CF">
        <w:t xml:space="preserve"> (974 patch</w:t>
      </w:r>
      <w:r w:rsidR="00FC75F9">
        <w:t>e</w:t>
      </w:r>
      <w:r w:rsidR="003E05CF">
        <w:t>s)</w:t>
      </w:r>
      <w:r w:rsidR="00FF24C7">
        <w:t>, the pr</w:t>
      </w:r>
      <w:r w:rsidR="00C86B7D">
        <w:t>evalence was approximat</w:t>
      </w:r>
      <w:r w:rsidR="003E05CF">
        <w:t>ely 47%</w:t>
      </w:r>
      <w:r w:rsidR="00746F30">
        <w:t>.</w:t>
      </w:r>
    </w:p>
    <w:p w14:paraId="33C8742F" w14:textId="5D846C83" w:rsidR="00FF24C7" w:rsidRDefault="00DD0C98" w:rsidP="00DD0C98">
      <w:pPr>
        <w:spacing w:line="480" w:lineRule="auto"/>
        <w:ind w:firstLine="720"/>
        <w:rPr>
          <w:rFonts w:cs="Times New Roman"/>
          <w:iCs/>
        </w:rPr>
      </w:pPr>
      <w:r>
        <w:rPr>
          <w:iCs/>
        </w:rPr>
        <w:t>Lastly, t</w:t>
      </w:r>
      <w:r w:rsidR="00FF24C7">
        <w:t>he application of glob</w:t>
      </w:r>
      <w:r w:rsidR="003E05CF">
        <w:t>al sensitivity analysis provided</w:t>
      </w:r>
      <w:r w:rsidR="00FF24C7">
        <w:t xml:space="preserve"> a means to ex</w:t>
      </w:r>
      <w:r w:rsidR="003E05CF">
        <w:t xml:space="preserve">amine the influence of most model </w:t>
      </w:r>
      <w:r w:rsidR="00FF24C7">
        <w:t xml:space="preserve">assumptions. For example, </w:t>
      </w:r>
      <w:r w:rsidR="003E05CF">
        <w:t>the GSA</w:t>
      </w:r>
      <w:r w:rsidR="00FF24C7">
        <w:t xml:space="preserve"> </w:t>
      </w:r>
      <w:r w:rsidR="003E05CF">
        <w:t>demonstrated</w:t>
      </w:r>
      <w:r w:rsidR="00FF24C7">
        <w:t xml:space="preserve"> that </w:t>
      </w:r>
      <w:r w:rsidR="003E05CF">
        <w:t>simulation</w:t>
      </w:r>
      <w:r w:rsidR="00FF24C7">
        <w:t xml:space="preserve"> results </w:t>
      </w:r>
      <w:r w:rsidR="003E05CF">
        <w:t>were</w:t>
      </w:r>
      <w:r w:rsidR="00FF24C7">
        <w:t xml:space="preserve"> not highly influenced by carrying capacity values. Fecundity, on the other hand, </w:t>
      </w:r>
      <w:r w:rsidR="003E05CF">
        <w:rPr>
          <w:rFonts w:cs="Times New Roman"/>
          <w:iCs/>
        </w:rPr>
        <w:t>was very</w:t>
      </w:r>
      <w:r w:rsidR="00FF24C7">
        <w:rPr>
          <w:rFonts w:cs="Times New Roman"/>
          <w:iCs/>
        </w:rPr>
        <w:t xml:space="preserve"> influential. </w:t>
      </w:r>
      <w:r w:rsidR="003E05CF">
        <w:rPr>
          <w:rFonts w:cs="Times New Roman"/>
          <w:iCs/>
        </w:rPr>
        <w:t>Fecundity</w:t>
      </w:r>
      <w:r w:rsidR="00FF24C7">
        <w:rPr>
          <w:rFonts w:cs="Times New Roman"/>
          <w:iCs/>
        </w:rPr>
        <w:t xml:space="preserve"> was al</w:t>
      </w:r>
      <w:r w:rsidR="003E05CF">
        <w:rPr>
          <w:rFonts w:cs="Times New Roman"/>
          <w:iCs/>
        </w:rPr>
        <w:t>so one of the most difficult parameter to estimate</w:t>
      </w:r>
      <w:r w:rsidR="00FF24C7">
        <w:rPr>
          <w:rFonts w:cs="Times New Roman"/>
          <w:iCs/>
        </w:rPr>
        <w:t xml:space="preserve">. </w:t>
      </w:r>
      <w:r w:rsidR="00FF24C7">
        <w:rPr>
          <w:rFonts w:cs="Times New Roman"/>
          <w:i/>
          <w:iCs/>
        </w:rPr>
        <w:t xml:space="preserve">F. </w:t>
      </w:r>
      <w:proofErr w:type="spellStart"/>
      <w:r w:rsidR="00FF24C7">
        <w:rPr>
          <w:rFonts w:cs="Times New Roman"/>
          <w:i/>
          <w:iCs/>
        </w:rPr>
        <w:t>alnus</w:t>
      </w:r>
      <w:proofErr w:type="spellEnd"/>
      <w:r w:rsidR="00FF24C7">
        <w:rPr>
          <w:rFonts w:cs="Times New Roman"/>
          <w:i/>
          <w:iCs/>
        </w:rPr>
        <w:t xml:space="preserve"> </w:t>
      </w:r>
      <w:r w:rsidR="00FF24C7">
        <w:rPr>
          <w:rFonts w:cs="Times New Roman"/>
          <w:iCs/>
        </w:rPr>
        <w:t xml:space="preserve">remains a relatively understudied species, </w:t>
      </w:r>
      <w:r w:rsidR="00C32E8B">
        <w:rPr>
          <w:rFonts w:cs="Times New Roman"/>
          <w:iCs/>
        </w:rPr>
        <w:t>with</w:t>
      </w:r>
      <w:r w:rsidR="00FF24C7">
        <w:rPr>
          <w:rFonts w:cs="Times New Roman"/>
          <w:iCs/>
        </w:rPr>
        <w:t xml:space="preserve"> many unanswered questions regarding life-</w:t>
      </w:r>
      <w:r w:rsidR="00FF24C7">
        <w:rPr>
          <w:rFonts w:cs="Times New Roman"/>
          <w:iCs/>
        </w:rPr>
        <w:lastRenderedPageBreak/>
        <w:t xml:space="preserve">history strategies and characteristics. One that could substantially impact my model results </w:t>
      </w:r>
      <w:r w:rsidR="00C32E8B">
        <w:rPr>
          <w:rFonts w:cs="Times New Roman"/>
          <w:iCs/>
        </w:rPr>
        <w:t>is</w:t>
      </w:r>
      <w:r w:rsidR="00FF24C7">
        <w:rPr>
          <w:rFonts w:cs="Times New Roman"/>
          <w:iCs/>
        </w:rPr>
        <w:t xml:space="preserve"> the degree to which seeds germinate during the summer and fall in which they are produced, rather than after the following winter. My field observations were </w:t>
      </w:r>
      <w:r>
        <w:rPr>
          <w:rFonts w:cs="Times New Roman"/>
          <w:iCs/>
        </w:rPr>
        <w:t>not well</w:t>
      </w:r>
      <w:r w:rsidR="00FF24C7">
        <w:rPr>
          <w:rFonts w:cs="Times New Roman"/>
          <w:iCs/>
        </w:rPr>
        <w:t xml:space="preserve"> setup to answer this question, and future research should address this. Most studies of seed germination found that germination in green house conditions was very high, while germination for seeds left out overwinter was very low</w:t>
      </w:r>
      <w:r w:rsidR="002C4D8D">
        <w:rPr>
          <w:rFonts w:cs="Times New Roman"/>
          <w:iCs/>
        </w:rPr>
        <w:t xml:space="preserve"> </w:t>
      </w:r>
      <w:r w:rsidR="00585348" w:rsidRPr="00585348">
        <w:rPr>
          <w:rFonts w:cs="Times New Roman"/>
        </w:rPr>
        <w:t>(Adams 1927; Godwin 1936; Berg 2011)</w:t>
      </w:r>
      <w:r w:rsidR="00FF24C7">
        <w:rPr>
          <w:rFonts w:cs="Times New Roman"/>
          <w:iCs/>
        </w:rPr>
        <w:t xml:space="preserve">. None of these studies examined germination in field conditions for fruit that drop early in the growing season. </w:t>
      </w:r>
      <w:r w:rsidR="00FC75F9">
        <w:rPr>
          <w:rFonts w:cs="Times New Roman"/>
          <w:iCs/>
        </w:rPr>
        <w:t xml:space="preserve">A </w:t>
      </w:r>
      <w:r w:rsidR="00FF24C7">
        <w:rPr>
          <w:rFonts w:cs="Times New Roman"/>
          <w:i/>
          <w:iCs/>
        </w:rPr>
        <w:t xml:space="preserve">F. </w:t>
      </w:r>
      <w:proofErr w:type="spellStart"/>
      <w:r w:rsidR="00FF24C7">
        <w:rPr>
          <w:rFonts w:cs="Times New Roman"/>
          <w:i/>
          <w:iCs/>
        </w:rPr>
        <w:t>alnus</w:t>
      </w:r>
      <w:proofErr w:type="spellEnd"/>
      <w:r w:rsidR="00FF24C7">
        <w:rPr>
          <w:rFonts w:cs="Times New Roman"/>
          <w:i/>
          <w:iCs/>
        </w:rPr>
        <w:t xml:space="preserve"> </w:t>
      </w:r>
      <w:r w:rsidR="00FC75F9">
        <w:rPr>
          <w:rFonts w:cs="Times New Roman"/>
        </w:rPr>
        <w:t xml:space="preserve">plant </w:t>
      </w:r>
      <w:r w:rsidR="00FF24C7">
        <w:rPr>
          <w:rFonts w:cs="Times New Roman"/>
          <w:iCs/>
        </w:rPr>
        <w:t xml:space="preserve">can have flowers, unripe fruit, and ripe fruit simultaneously, thus it seems </w:t>
      </w:r>
      <w:r w:rsidR="00C32E8B">
        <w:rPr>
          <w:rFonts w:cs="Times New Roman"/>
          <w:iCs/>
        </w:rPr>
        <w:t>plausible</w:t>
      </w:r>
      <w:r w:rsidR="00FF24C7">
        <w:rPr>
          <w:rFonts w:cs="Times New Roman"/>
          <w:iCs/>
        </w:rPr>
        <w:t xml:space="preserve"> that fruit could drop early enough in the growing season to </w:t>
      </w:r>
      <w:r w:rsidR="00205410">
        <w:rPr>
          <w:rFonts w:cs="Times New Roman"/>
          <w:iCs/>
        </w:rPr>
        <w:t>emerge during that season</w:t>
      </w:r>
      <w:r w:rsidR="00FF24C7">
        <w:rPr>
          <w:rFonts w:cs="Times New Roman"/>
          <w:iCs/>
        </w:rPr>
        <w:t xml:space="preserve">, provided cold stratification is not necessary for emergence. If within season seedling emergence is common, my model parameterization will have underestimated fecundity values. In this case, simulations that fit the historic occurrence pattern of </w:t>
      </w:r>
      <w:r w:rsidR="00FF24C7">
        <w:rPr>
          <w:rFonts w:cs="Times New Roman"/>
          <w:i/>
          <w:iCs/>
        </w:rPr>
        <w:t xml:space="preserve">F. </w:t>
      </w:r>
      <w:proofErr w:type="spellStart"/>
      <w:r w:rsidR="00FF24C7">
        <w:rPr>
          <w:rFonts w:cs="Times New Roman"/>
          <w:i/>
          <w:iCs/>
        </w:rPr>
        <w:t>alnus</w:t>
      </w:r>
      <w:proofErr w:type="spellEnd"/>
      <w:r w:rsidR="00FF24C7">
        <w:rPr>
          <w:rFonts w:cs="Times New Roman"/>
          <w:i/>
          <w:iCs/>
        </w:rPr>
        <w:t xml:space="preserve"> </w:t>
      </w:r>
      <w:r w:rsidR="00FF24C7">
        <w:rPr>
          <w:rFonts w:cs="Times New Roman"/>
          <w:iCs/>
        </w:rPr>
        <w:t xml:space="preserve">spread and have high mean fecundity rates may best represent the demographic properties of this species. </w:t>
      </w:r>
    </w:p>
    <w:p w14:paraId="3E61DD6F" w14:textId="703C7D58" w:rsidR="00EE16B0" w:rsidRDefault="00FF24C7" w:rsidP="00B14AB9">
      <w:pPr>
        <w:spacing w:line="480" w:lineRule="auto"/>
        <w:rPr>
          <w:rFonts w:eastAsiaTheme="majorEastAsia" w:cstheme="majorBidi"/>
          <w:b/>
          <w:bCs/>
          <w:color w:val="4F81BD" w:themeColor="accent1"/>
          <w:szCs w:val="32"/>
        </w:rPr>
      </w:pPr>
      <w:r>
        <w:rPr>
          <w:rFonts w:cs="Times New Roman"/>
          <w:iCs/>
        </w:rPr>
        <w:tab/>
        <w:t xml:space="preserve">Another process not include in my calculations of fecundity was seed bank dynamics.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seeds remain viable for upwards of three years</w:t>
      </w:r>
      <w:r w:rsidR="002C4D8D">
        <w:rPr>
          <w:rFonts w:cs="Times New Roman"/>
          <w:iCs/>
        </w:rPr>
        <w:t xml:space="preserve"> </w:t>
      </w:r>
      <w:r w:rsidR="00585348" w:rsidRPr="00585348">
        <w:rPr>
          <w:rFonts w:cs="Times New Roman"/>
        </w:rPr>
        <w:t xml:space="preserve">(Godwin 1943; </w:t>
      </w:r>
      <w:proofErr w:type="spellStart"/>
      <w:r w:rsidR="00585348" w:rsidRPr="00585348">
        <w:rPr>
          <w:rFonts w:cs="Times New Roman"/>
        </w:rPr>
        <w:t>Granstrom</w:t>
      </w:r>
      <w:proofErr w:type="spellEnd"/>
      <w:r w:rsidR="00585348" w:rsidRPr="00585348">
        <w:rPr>
          <w:rFonts w:cs="Times New Roman"/>
        </w:rPr>
        <w:t xml:space="preserve"> 1988)</w:t>
      </w:r>
      <w:r>
        <w:rPr>
          <w:rFonts w:cs="Times New Roman"/>
          <w:iCs/>
        </w:rPr>
        <w:t xml:space="preserve"> and there is some evidence for a role for a seed bank after experimental removal</w:t>
      </w:r>
      <w:r w:rsidR="002C4D8D">
        <w:rPr>
          <w:rFonts w:cs="Times New Roman"/>
          <w:iCs/>
        </w:rPr>
        <w:t xml:space="preserve"> </w:t>
      </w:r>
      <w:r w:rsidR="00585348" w:rsidRPr="00585348">
        <w:rPr>
          <w:rFonts w:cs="Times New Roman"/>
        </w:rPr>
        <w:t>(</w:t>
      </w:r>
      <w:proofErr w:type="spellStart"/>
      <w:r w:rsidR="00585348" w:rsidRPr="00585348">
        <w:rPr>
          <w:rFonts w:cs="Times New Roman"/>
        </w:rPr>
        <w:t>Frappier</w:t>
      </w:r>
      <w:proofErr w:type="spellEnd"/>
      <w:r w:rsidR="00585348" w:rsidRPr="00585348">
        <w:rPr>
          <w:rFonts w:cs="Times New Roman"/>
        </w:rPr>
        <w:t xml:space="preserve"> et al. 2004)</w:t>
      </w:r>
      <w:r>
        <w:rPr>
          <w:rFonts w:cs="Times New Roman"/>
          <w:iCs/>
        </w:rPr>
        <w:t>. However others have found no evidence for a role of seed banks in the population dynamics of this species</w:t>
      </w:r>
      <w:r w:rsidR="002C4D8D">
        <w:rPr>
          <w:rFonts w:cs="Times New Roman"/>
          <w:iCs/>
        </w:rPr>
        <w:t xml:space="preserve"> </w:t>
      </w:r>
      <w:r w:rsidR="00585348" w:rsidRPr="00585348">
        <w:rPr>
          <w:rFonts w:cs="Times New Roman"/>
        </w:rPr>
        <w:t>(</w:t>
      </w:r>
      <w:proofErr w:type="spellStart"/>
      <w:r w:rsidR="00585348" w:rsidRPr="00585348">
        <w:rPr>
          <w:rFonts w:cs="Times New Roman"/>
        </w:rPr>
        <w:t>Kostel</w:t>
      </w:r>
      <w:proofErr w:type="spellEnd"/>
      <w:r w:rsidR="00585348" w:rsidRPr="00585348">
        <w:rPr>
          <w:rFonts w:cs="Times New Roman"/>
        </w:rPr>
        <w:t>-Hughes et al. 1998; Hampe 2004)</w:t>
      </w:r>
      <w:r>
        <w:rPr>
          <w:rFonts w:cs="Times New Roman"/>
          <w:iCs/>
        </w:rPr>
        <w:t xml:space="preserve">. If seed bank dynamics do play </w:t>
      </w:r>
      <w:r w:rsidR="000A083F">
        <w:rPr>
          <w:rFonts w:cs="Times New Roman"/>
          <w:iCs/>
        </w:rPr>
        <w:t>a</w:t>
      </w:r>
      <w:r>
        <w:rPr>
          <w:rFonts w:cs="Times New Roman"/>
          <w:iCs/>
        </w:rPr>
        <w:t xml:space="preserve"> role in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 xml:space="preserve">demography, I may have </w:t>
      </w:r>
      <w:r w:rsidR="00205410">
        <w:rPr>
          <w:rFonts w:cs="Times New Roman"/>
          <w:iCs/>
        </w:rPr>
        <w:t>overestimated</w:t>
      </w:r>
      <w:r>
        <w:rPr>
          <w:rFonts w:cs="Times New Roman"/>
          <w:iCs/>
        </w:rPr>
        <w:t xml:space="preserve"> fecundity by overestimating germination rates. This would suggest that simulations with moderate levels of fecundity best represent the demography of </w:t>
      </w:r>
      <w:r>
        <w:rPr>
          <w:rFonts w:cs="Times New Roman"/>
          <w:i/>
          <w:iCs/>
        </w:rPr>
        <w:t xml:space="preserve">F. </w:t>
      </w:r>
      <w:proofErr w:type="spellStart"/>
      <w:r>
        <w:rPr>
          <w:rFonts w:cs="Times New Roman"/>
          <w:i/>
          <w:iCs/>
        </w:rPr>
        <w:t>alnus</w:t>
      </w:r>
      <w:proofErr w:type="spellEnd"/>
      <w:r>
        <w:rPr>
          <w:rFonts w:cs="Times New Roman"/>
          <w:iCs/>
        </w:rPr>
        <w:t>, which would further support the role of moderate to high LDD events, assuming that the combined sensitivity and positive predictive power metric is more informative of simulation fit. Future field studies should address the role of seed bank dynamics.</w:t>
      </w:r>
      <w:r w:rsidR="00EE16B0">
        <w:br w:type="page"/>
      </w:r>
    </w:p>
    <w:p w14:paraId="183FFF8F" w14:textId="112B1F71" w:rsidR="00FF24C7" w:rsidRPr="004B7DE4" w:rsidRDefault="00DB095A" w:rsidP="008579EE">
      <w:pPr>
        <w:spacing w:line="480" w:lineRule="auto"/>
        <w:rPr>
          <w:b/>
        </w:rPr>
      </w:pPr>
      <w:r w:rsidRPr="004B7DE4">
        <w:rPr>
          <w:b/>
        </w:rPr>
        <w:lastRenderedPageBreak/>
        <w:t>Conclusions</w:t>
      </w:r>
    </w:p>
    <w:p w14:paraId="5958EF0A" w14:textId="77777777" w:rsidR="006B2BEE" w:rsidRDefault="00ED0ECB" w:rsidP="008579EE">
      <w:pPr>
        <w:spacing w:line="480" w:lineRule="auto"/>
        <w:rPr>
          <w:rFonts w:eastAsiaTheme="minorEastAsia" w:cs="Times New Roman"/>
          <w:iCs/>
        </w:rPr>
      </w:pPr>
      <w:r>
        <w:tab/>
      </w:r>
      <w:r w:rsidR="00F26FAB">
        <w:t>I used an i</w:t>
      </w:r>
      <w:r>
        <w:t xml:space="preserve">ntegrated demographic </w:t>
      </w:r>
      <w:r w:rsidR="00F26FAB">
        <w:t xml:space="preserve">and species distribution model to simulate the spread of invasive </w:t>
      </w:r>
      <w:r w:rsidR="00F26FAB">
        <w:rPr>
          <w:rFonts w:eastAsiaTheme="minorEastAsia" w:cs="Times New Roman"/>
          <w:i/>
          <w:iCs/>
        </w:rPr>
        <w:t xml:space="preserve">F. </w:t>
      </w:r>
      <w:proofErr w:type="spellStart"/>
      <w:r w:rsidR="00F26FAB">
        <w:rPr>
          <w:rFonts w:eastAsiaTheme="minorEastAsia" w:cs="Times New Roman"/>
          <w:i/>
          <w:iCs/>
        </w:rPr>
        <w:t>alnus</w:t>
      </w:r>
      <w:proofErr w:type="spellEnd"/>
      <w:r w:rsidR="00F26FAB">
        <w:rPr>
          <w:rFonts w:eastAsiaTheme="minorEastAsia" w:cs="Times New Roman"/>
          <w:i/>
          <w:iCs/>
        </w:rPr>
        <w:t xml:space="preserve"> </w:t>
      </w:r>
      <w:r w:rsidR="00F26FAB">
        <w:rPr>
          <w:rFonts w:eastAsiaTheme="minorEastAsia" w:cs="Times New Roman"/>
          <w:iCs/>
        </w:rPr>
        <w:t>throughout its novel North American range.</w:t>
      </w:r>
      <w:r w:rsidR="00F26FAB">
        <w:t xml:space="preserve"> </w:t>
      </w:r>
      <w:r w:rsidR="006B2BEE">
        <w:t xml:space="preserve">Comparing patterns of spatial spread resulting from 3000 simulations to historic occurrence records I concluded that the success of </w:t>
      </w:r>
      <w:r w:rsidR="006B2BEE">
        <w:rPr>
          <w:rFonts w:eastAsiaTheme="minorEastAsia" w:cs="Times New Roman"/>
          <w:i/>
          <w:iCs/>
        </w:rPr>
        <w:t xml:space="preserve">F. </w:t>
      </w:r>
      <w:proofErr w:type="spellStart"/>
      <w:r w:rsidR="006B2BEE">
        <w:rPr>
          <w:rFonts w:eastAsiaTheme="minorEastAsia" w:cs="Times New Roman"/>
          <w:i/>
          <w:iCs/>
        </w:rPr>
        <w:t>alnus</w:t>
      </w:r>
      <w:proofErr w:type="spellEnd"/>
      <w:r w:rsidR="006B2BEE">
        <w:rPr>
          <w:rFonts w:eastAsiaTheme="minorEastAsia" w:cs="Times New Roman"/>
          <w:i/>
          <w:iCs/>
        </w:rPr>
        <w:t xml:space="preserve"> </w:t>
      </w:r>
      <w:r w:rsidR="006B2BEE">
        <w:rPr>
          <w:rFonts w:eastAsiaTheme="minorEastAsia" w:cs="Times New Roman"/>
          <w:iCs/>
        </w:rPr>
        <w:t xml:space="preserve">can largely be attributed to its relatively high fecundity and the fact that it experienced extensive long-distance dispersal, mostly likely the result of humans. However, under most ecological conditions </w:t>
      </w:r>
      <w:r w:rsidR="006B2BEE">
        <w:rPr>
          <w:rFonts w:eastAsiaTheme="minorEastAsia" w:cs="Times New Roman"/>
          <w:i/>
          <w:iCs/>
        </w:rPr>
        <w:t xml:space="preserve">F. </w:t>
      </w:r>
      <w:proofErr w:type="spellStart"/>
      <w:r w:rsidR="006B2BEE">
        <w:rPr>
          <w:rFonts w:eastAsiaTheme="minorEastAsia" w:cs="Times New Roman"/>
          <w:i/>
          <w:iCs/>
        </w:rPr>
        <w:t>alnus</w:t>
      </w:r>
      <w:proofErr w:type="spellEnd"/>
      <w:r w:rsidR="006B2BEE">
        <w:rPr>
          <w:rFonts w:eastAsiaTheme="minorEastAsia" w:cs="Times New Roman"/>
          <w:i/>
          <w:iCs/>
        </w:rPr>
        <w:t xml:space="preserve"> </w:t>
      </w:r>
      <w:r w:rsidR="006B2BEE">
        <w:rPr>
          <w:rFonts w:eastAsiaTheme="minorEastAsia" w:cs="Times New Roman"/>
          <w:iCs/>
        </w:rPr>
        <w:t>does not demonstrate extraordinary population growth, as other invasive plants do (e.g., kudzu, multiflora rose, Japanese barberry). Ultimately, the factors that lead to the successful spread of this species are its ability to survive in varied habitats and have occasional periods of high reproductive output, combined with human proclivity to transport it to new parts of the novel range. Given the prevalence of non-native species that have been introduced via the horticulture industry, it is likely that these dynamics, and the patterns they produce, are indicative of what we will see with continued monitoring and investigation of invasive plants.</w:t>
      </w:r>
    </w:p>
    <w:p w14:paraId="6F8B4696" w14:textId="5B508FD6" w:rsidR="00262A8C" w:rsidRDefault="006B2BEE" w:rsidP="00E81286">
      <w:pPr>
        <w:spacing w:line="480" w:lineRule="auto"/>
        <w:ind w:firstLine="720"/>
        <w:rPr>
          <w:rFonts w:eastAsiaTheme="minorEastAsia" w:cs="Times New Roman"/>
          <w:iCs/>
        </w:rPr>
      </w:pPr>
      <w:r>
        <w:rPr>
          <w:rFonts w:eastAsiaTheme="minorEastAsia" w:cs="Times New Roman"/>
          <w:iCs/>
        </w:rPr>
        <w:t>The integrated modeling</w:t>
      </w:r>
      <w:r w:rsidR="00044D47">
        <w:rPr>
          <w:rFonts w:eastAsiaTheme="minorEastAsia" w:cs="Times New Roman"/>
          <w:iCs/>
        </w:rPr>
        <w:t xml:space="preserve"> methods </w:t>
      </w:r>
      <w:r w:rsidR="009763EC">
        <w:rPr>
          <w:rFonts w:eastAsiaTheme="minorEastAsia" w:cs="Times New Roman"/>
          <w:iCs/>
        </w:rPr>
        <w:t xml:space="preserve">I used here </w:t>
      </w:r>
      <w:r>
        <w:rPr>
          <w:rFonts w:eastAsiaTheme="minorEastAsia" w:cs="Times New Roman"/>
          <w:iCs/>
        </w:rPr>
        <w:t>are</w:t>
      </w:r>
      <w:r w:rsidR="0096577B">
        <w:rPr>
          <w:rFonts w:eastAsiaTheme="minorEastAsia" w:cs="Times New Roman"/>
          <w:iCs/>
        </w:rPr>
        <w:t xml:space="preserve"> increasingly being applied </w:t>
      </w:r>
      <w:r w:rsidR="00FF694F">
        <w:rPr>
          <w:rFonts w:eastAsiaTheme="minorEastAsia" w:cs="Times New Roman"/>
          <w:iCs/>
        </w:rPr>
        <w:t>in</w:t>
      </w:r>
      <w:r w:rsidR="00044D47">
        <w:rPr>
          <w:rFonts w:eastAsiaTheme="minorEastAsia" w:cs="Times New Roman"/>
          <w:iCs/>
        </w:rPr>
        <w:t xml:space="preserve"> conservation related studies</w:t>
      </w:r>
      <w:r>
        <w:rPr>
          <w:rFonts w:eastAsiaTheme="minorEastAsia" w:cs="Times New Roman"/>
          <w:iCs/>
        </w:rPr>
        <w:t>, but are less common among invasion biology studies</w:t>
      </w:r>
      <w:r w:rsidR="00044D47">
        <w:rPr>
          <w:rFonts w:eastAsiaTheme="minorEastAsia" w:cs="Times New Roman"/>
          <w:iCs/>
        </w:rPr>
        <w:t>.</w:t>
      </w:r>
      <w:r w:rsidR="0096577B">
        <w:rPr>
          <w:rFonts w:eastAsiaTheme="minorEastAsia" w:cs="Times New Roman"/>
          <w:iCs/>
        </w:rPr>
        <w:t xml:space="preserve"> They provide a means </w:t>
      </w:r>
      <w:r w:rsidR="00044D47">
        <w:rPr>
          <w:rFonts w:eastAsiaTheme="minorEastAsia" w:cs="Times New Roman"/>
          <w:iCs/>
        </w:rPr>
        <w:t>of</w:t>
      </w:r>
      <w:r w:rsidR="0096577B">
        <w:rPr>
          <w:rFonts w:eastAsiaTheme="minorEastAsia" w:cs="Times New Roman"/>
          <w:iCs/>
        </w:rPr>
        <w:t xml:space="preserve"> connect</w:t>
      </w:r>
      <w:r w:rsidR="00044D47">
        <w:rPr>
          <w:rFonts w:eastAsiaTheme="minorEastAsia" w:cs="Times New Roman"/>
          <w:iCs/>
        </w:rPr>
        <w:t>ing</w:t>
      </w:r>
      <w:r w:rsidR="0096577B">
        <w:rPr>
          <w:rFonts w:eastAsiaTheme="minorEastAsia" w:cs="Times New Roman"/>
          <w:iCs/>
        </w:rPr>
        <w:t xml:space="preserve"> </w:t>
      </w:r>
      <w:r w:rsidR="00044D47">
        <w:rPr>
          <w:rFonts w:eastAsiaTheme="minorEastAsia" w:cs="Times New Roman"/>
          <w:iCs/>
        </w:rPr>
        <w:t xml:space="preserve">demographic characteristics and population level processes to </w:t>
      </w:r>
      <w:r w:rsidR="0096577B">
        <w:rPr>
          <w:rFonts w:eastAsiaTheme="minorEastAsia" w:cs="Times New Roman"/>
          <w:iCs/>
        </w:rPr>
        <w:t xml:space="preserve">species range patterns. </w:t>
      </w:r>
      <w:r w:rsidR="00044D47">
        <w:rPr>
          <w:rFonts w:eastAsiaTheme="minorEastAsia" w:cs="Times New Roman"/>
          <w:iCs/>
        </w:rPr>
        <w:t>In this study I found that interactions between population level processes influence how species spread and establish in novel re</w:t>
      </w:r>
      <w:r>
        <w:rPr>
          <w:rFonts w:eastAsiaTheme="minorEastAsia" w:cs="Times New Roman"/>
          <w:iCs/>
        </w:rPr>
        <w:t xml:space="preserve">gions. Such knowledge is important if we want to understand what makes an invasion successful and how to avoid facilitating such invasions in the future. However there are also important conservations lessons to be learned in these studies. As environments continue to be influenced by human impacts, resulting in novel ecological conditions where species can, and in some cases must, spread, it is vital that we learn </w:t>
      </w:r>
      <w:r>
        <w:rPr>
          <w:rFonts w:eastAsiaTheme="minorEastAsia" w:cs="Times New Roman"/>
          <w:iCs/>
        </w:rPr>
        <w:lastRenderedPageBreak/>
        <w:t>how interactions among processes affect species spread. As shown in this study, these methods are a promising way to achieve this goal.</w:t>
      </w:r>
      <w:r w:rsidR="00262A8C">
        <w:rPr>
          <w:rFonts w:eastAsiaTheme="minorEastAsia" w:cs="Times New Roman"/>
          <w:iCs/>
        </w:rPr>
        <w:br w:type="page"/>
      </w:r>
    </w:p>
    <w:p w14:paraId="58747159" w14:textId="1DFAF632" w:rsidR="00262A8C" w:rsidRDefault="00262A8C" w:rsidP="00262A8C">
      <w:pPr>
        <w:spacing w:line="480" w:lineRule="auto"/>
        <w:rPr>
          <w:b/>
          <w:bCs/>
        </w:rPr>
      </w:pPr>
      <w:r>
        <w:rPr>
          <w:b/>
          <w:bCs/>
        </w:rPr>
        <w:lastRenderedPageBreak/>
        <w:t>Acknowledgments</w:t>
      </w:r>
    </w:p>
    <w:p w14:paraId="6A3BE132" w14:textId="4BE9B605" w:rsidR="00FF24C7" w:rsidRPr="00E81286" w:rsidRDefault="00F9669E" w:rsidP="00E81286">
      <w:pPr>
        <w:spacing w:line="480" w:lineRule="auto"/>
      </w:pPr>
      <w:r w:rsidRPr="00F9669E">
        <w:t xml:space="preserve">I </w:t>
      </w:r>
      <w:r w:rsidRPr="00F9669E">
        <w:t>thank C.</w:t>
      </w:r>
      <w:r w:rsidRPr="00F9669E">
        <w:t xml:space="preserve"> H.</w:t>
      </w:r>
      <w:r w:rsidRPr="00F9669E">
        <w:t xml:space="preserve"> Graham, J. </w:t>
      </w:r>
      <w:proofErr w:type="spellStart"/>
      <w:r w:rsidRPr="00F9669E">
        <w:t>Gurevitch</w:t>
      </w:r>
      <w:proofErr w:type="spellEnd"/>
      <w:r w:rsidRPr="00F9669E">
        <w:t>, T.</w:t>
      </w:r>
      <w:r w:rsidRPr="00F9669E">
        <w:t xml:space="preserve"> M.</w:t>
      </w:r>
      <w:r w:rsidRPr="00F9669E">
        <w:t xml:space="preserve"> Knight </w:t>
      </w:r>
      <w:r w:rsidRPr="00F9669E">
        <w:t xml:space="preserve">and H. R. </w:t>
      </w:r>
      <w:proofErr w:type="spellStart"/>
      <w:r w:rsidRPr="00F9669E">
        <w:t>Akçakaya</w:t>
      </w:r>
      <w:proofErr w:type="spellEnd"/>
      <w:r w:rsidRPr="00F9669E">
        <w:t xml:space="preserve"> </w:t>
      </w:r>
      <w:r w:rsidRPr="00F9669E">
        <w:t>for helpful comments on earlier versions of this manuscript. M.A.-L. C</w:t>
      </w:r>
      <w:r>
        <w:t xml:space="preserve">. </w:t>
      </w:r>
      <w:proofErr w:type="spellStart"/>
      <w:r w:rsidRPr="00F9669E">
        <w:t>Mattrick</w:t>
      </w:r>
      <w:proofErr w:type="spellEnd"/>
      <w:r w:rsidRPr="00F9669E">
        <w:t xml:space="preserve"> helped me to establish field sites in the White Mountains National Forest of New Hampshire. T</w:t>
      </w:r>
      <w:r>
        <w:t>.</w:t>
      </w:r>
      <w:r w:rsidRPr="00F9669E">
        <w:t xml:space="preserve"> Lee and S</w:t>
      </w:r>
      <w:r>
        <w:t>.</w:t>
      </w:r>
      <w:r w:rsidRPr="00F9669E">
        <w:t xml:space="preserve"> </w:t>
      </w:r>
      <w:proofErr w:type="spellStart"/>
      <w:r w:rsidRPr="00F9669E">
        <w:t>Eisenhaure</w:t>
      </w:r>
      <w:proofErr w:type="spellEnd"/>
      <w:r w:rsidRPr="00F9669E">
        <w:t xml:space="preserve"> at the University of New Hampshire helped me establish field sites in the Durham, NH region. W</w:t>
      </w:r>
      <w:r>
        <w:t>.</w:t>
      </w:r>
      <w:r w:rsidRPr="00F9669E">
        <w:t xml:space="preserve"> </w:t>
      </w:r>
      <w:proofErr w:type="spellStart"/>
      <w:r w:rsidRPr="00F9669E">
        <w:t>Bohach</w:t>
      </w:r>
      <w:proofErr w:type="spellEnd"/>
      <w:r w:rsidRPr="00F9669E">
        <w:t xml:space="preserve"> helped me obtain permits to establish field sites at Caleb Smith State Park in New York. </w:t>
      </w:r>
      <w:bookmarkStart w:id="6" w:name="_GoBack"/>
      <w:bookmarkEnd w:id="6"/>
      <w:r w:rsidR="00FF24C7">
        <w:rPr>
          <w:b/>
        </w:rPr>
        <w:br w:type="page"/>
      </w:r>
    </w:p>
    <w:p w14:paraId="64086E4E" w14:textId="39D8C12B" w:rsidR="00FF24C7" w:rsidRPr="00910A69" w:rsidRDefault="004639BE" w:rsidP="0086771B">
      <w:pPr>
        <w:pStyle w:val="NormalWeb"/>
        <w:rPr>
          <w:b/>
          <w:sz w:val="24"/>
          <w:szCs w:val="24"/>
        </w:rPr>
      </w:pPr>
      <w:r>
        <w:rPr>
          <w:b/>
          <w:sz w:val="24"/>
          <w:szCs w:val="24"/>
        </w:rPr>
        <w:lastRenderedPageBreak/>
        <w:t>References</w:t>
      </w:r>
    </w:p>
    <w:p w14:paraId="74F6DBAA" w14:textId="3FB754EA" w:rsidR="00442A82" w:rsidRPr="00442A82" w:rsidRDefault="00442A82" w:rsidP="00442A82">
      <w:pPr>
        <w:pStyle w:val="Bibliography"/>
      </w:pPr>
      <w:r w:rsidRPr="00442A82">
        <w:t>Adams J (1927) The germination of the seeds of some plants with fleshy fruits. American Journal of Botany 415–428</w:t>
      </w:r>
    </w:p>
    <w:p w14:paraId="3D560584" w14:textId="77777777" w:rsidR="00442A82" w:rsidRPr="00442A82" w:rsidRDefault="00442A82" w:rsidP="00442A82">
      <w:pPr>
        <w:pStyle w:val="Bibliography"/>
      </w:pPr>
      <w:r w:rsidRPr="00442A82">
        <w:t xml:space="preserve">Aiello-Lammens ME (2014) Patterns and Processes of the Invasion of </w:t>
      </w:r>
      <w:r w:rsidRPr="00442A82">
        <w:rPr>
          <w:i/>
          <w:iCs/>
        </w:rPr>
        <w:t>Frangula alnus</w:t>
      </w:r>
      <w:r w:rsidRPr="00442A82">
        <w:t>: An Integrated Model Framework. Ph.D., Stony Brook University</w:t>
      </w:r>
    </w:p>
    <w:p w14:paraId="281E5D11" w14:textId="77777777" w:rsidR="00442A82" w:rsidRPr="00442A82" w:rsidRDefault="00442A82" w:rsidP="00442A82">
      <w:pPr>
        <w:pStyle w:val="Bibliography"/>
      </w:pPr>
      <w:r w:rsidRPr="00442A82">
        <w:t>Aiello-Lammens ME, Chu-Agor ML, Convertino M, et al (2011) The impact of sea-level rise on Snowy Plovers in Florida: integrating geomorphological, habitat, and metapopulation models. Global Change Biology 17:3644–3654. https://doi.org/10.1111/j.1365-2486.2011.02497.x</w:t>
      </w:r>
    </w:p>
    <w:p w14:paraId="2FE50CEC" w14:textId="77777777" w:rsidR="00442A82" w:rsidRPr="00442A82" w:rsidRDefault="00442A82" w:rsidP="00442A82">
      <w:pPr>
        <w:pStyle w:val="Bibliography"/>
      </w:pPr>
      <w:r w:rsidRPr="00442A82">
        <w:t>Aiello-Lammens ME, Resit Akçakaya H (2017) Using global sensitivity analysis of demographic models for ecological impact assessment. Conservation Biology 31:116–125. https://doi.org/10.1111/cobi.12726</w:t>
      </w:r>
    </w:p>
    <w:p w14:paraId="012D98F9" w14:textId="77777777" w:rsidR="00442A82" w:rsidRPr="00442A82" w:rsidRDefault="00442A82" w:rsidP="00442A82">
      <w:pPr>
        <w:pStyle w:val="Bibliography"/>
      </w:pPr>
      <w:r w:rsidRPr="00442A82">
        <w:t>Akçakaya HR (2000) Population viability analyses with demographically and spatially structured models. Ecological Bulletins 23–38</w:t>
      </w:r>
    </w:p>
    <w:p w14:paraId="4D5236C3" w14:textId="77777777" w:rsidR="00442A82" w:rsidRPr="00442A82" w:rsidRDefault="00442A82" w:rsidP="00442A82">
      <w:pPr>
        <w:pStyle w:val="Bibliography"/>
      </w:pPr>
      <w:r w:rsidRPr="00442A82">
        <w:t>Akçakaya HR (2001) Linking population-level risk assessment with landscape and habitat models. The Science of the total environment 274:283–291</w:t>
      </w:r>
    </w:p>
    <w:p w14:paraId="660BBA6B" w14:textId="77777777" w:rsidR="00442A82" w:rsidRPr="00442A82" w:rsidRDefault="00442A82" w:rsidP="00442A82">
      <w:pPr>
        <w:pStyle w:val="Bibliography"/>
      </w:pPr>
      <w:r w:rsidRPr="00442A82">
        <w:t>Akçakaya HR (2002) RAMAS GIS: Linking Spatial Data with Population Viability Analysis. Applied Biomathematics, Setauket</w:t>
      </w:r>
    </w:p>
    <w:p w14:paraId="6AFB8F88" w14:textId="77777777" w:rsidR="00442A82" w:rsidRPr="00442A82" w:rsidRDefault="00442A82" w:rsidP="00442A82">
      <w:pPr>
        <w:pStyle w:val="Bibliography"/>
      </w:pPr>
      <w:r w:rsidRPr="00442A82">
        <w:t>Akçakaya HR, Radeloff VC, Mladenoff DJ, He HS (2004) Integrating landscape and metapopulation modeling approaches: viability of the sharp‐tailed grouse in a dynamic landscape. Conservation Biology 18:526–537</w:t>
      </w:r>
    </w:p>
    <w:p w14:paraId="4FBE4D7D" w14:textId="77777777" w:rsidR="00442A82" w:rsidRPr="00442A82" w:rsidRDefault="00442A82" w:rsidP="00442A82">
      <w:pPr>
        <w:pStyle w:val="Bibliography"/>
      </w:pPr>
      <w:r w:rsidRPr="00442A82">
        <w:t>Anderson RP (2012) Harnessing the world’s biodiversity data: promise and peril in ecological niche modeling of species distributions. Annals of the New York Academy of Sciences 1260:66–80. https://doi.org/10.1111/j.1749-6632.2011.06440.x</w:t>
      </w:r>
    </w:p>
    <w:p w14:paraId="52AFA2A1" w14:textId="77777777" w:rsidR="00442A82" w:rsidRPr="00442A82" w:rsidRDefault="00442A82" w:rsidP="00442A82">
      <w:pPr>
        <w:pStyle w:val="Bibliography"/>
      </w:pPr>
      <w:r w:rsidRPr="00442A82">
        <w:t>Berg J (2011) Susceptibility of five wetland community types to invasion by Glossy Buckthorn (</w:t>
      </w:r>
      <w:r w:rsidRPr="00442A82">
        <w:rPr>
          <w:i/>
          <w:iCs/>
        </w:rPr>
        <w:t>Frangula alnus</w:t>
      </w:r>
      <w:r w:rsidRPr="00442A82">
        <w:t xml:space="preserve"> Mill.). Masters of Science, University of Wisconsin-Milwaukee</w:t>
      </w:r>
    </w:p>
    <w:p w14:paraId="36FEDBBF" w14:textId="77777777" w:rsidR="00442A82" w:rsidRPr="00442A82" w:rsidRDefault="00442A82" w:rsidP="00442A82">
      <w:pPr>
        <w:pStyle w:val="Bibliography"/>
      </w:pPr>
      <w:r w:rsidRPr="00442A82">
        <w:t>Blackburn TM, Pyšek P, Bacher S, et al (2011) A proposed unified framework for biological invasions. Trends in Ecology &amp; Evolution 26:333–339. https://doi.org/10.1016/j.tree.2011.03.023</w:t>
      </w:r>
    </w:p>
    <w:p w14:paraId="6A40FF62" w14:textId="77777777" w:rsidR="00442A82" w:rsidRPr="00442A82" w:rsidRDefault="00442A82" w:rsidP="00442A82">
      <w:pPr>
        <w:pStyle w:val="Bibliography"/>
      </w:pPr>
      <w:r w:rsidRPr="00442A82">
        <w:t>Briscoe NJ, Elith J, Salguero‐Gómez R, et al (2019) Forecasting species range dynamics with process‐explicit models: matching methods to applications. Ecol Lett ele.13348. https://doi.org/10.1111/ele.13348</w:t>
      </w:r>
    </w:p>
    <w:p w14:paraId="5A923A00" w14:textId="77777777" w:rsidR="00442A82" w:rsidRPr="00442A82" w:rsidRDefault="00442A82" w:rsidP="00442A82">
      <w:pPr>
        <w:pStyle w:val="Bibliography"/>
      </w:pPr>
      <w:r w:rsidRPr="00442A82">
        <w:t>Brook BW, Akçakaya HR, Keith DA, et al (2009) Integrating bioclimate with population models to improve forecasts of species extinctions under climate change. Biology Letters 5:723–725. https://doi.org/10.1098/rsbl.2009.0480</w:t>
      </w:r>
    </w:p>
    <w:p w14:paraId="36C80551" w14:textId="77777777" w:rsidR="00442A82" w:rsidRPr="00442A82" w:rsidRDefault="00442A82" w:rsidP="00442A82">
      <w:pPr>
        <w:pStyle w:val="Bibliography"/>
      </w:pPr>
      <w:r w:rsidRPr="00442A82">
        <w:lastRenderedPageBreak/>
        <w:t xml:space="preserve">Burnham KM, Lee TD (2009) Canopy gaps facilitate establishment, growth, and reproduction of invasive </w:t>
      </w:r>
      <w:r w:rsidRPr="00442A82">
        <w:rPr>
          <w:i/>
          <w:iCs/>
        </w:rPr>
        <w:t>Frangula alnus</w:t>
      </w:r>
      <w:r w:rsidRPr="00442A82">
        <w:t xml:space="preserve"> in a </w:t>
      </w:r>
      <w:r w:rsidRPr="00442A82">
        <w:rPr>
          <w:i/>
          <w:iCs/>
        </w:rPr>
        <w:t>Tsuga canadensis</w:t>
      </w:r>
      <w:r w:rsidRPr="00442A82">
        <w:t xml:space="preserve"> dominated forest. Biological Invasions 12:1509–1520. https://doi.org/10.1007/s10530-009-9563-8</w:t>
      </w:r>
    </w:p>
    <w:p w14:paraId="3280BCCF" w14:textId="77777777" w:rsidR="00442A82" w:rsidRPr="00442A82" w:rsidRDefault="00442A82" w:rsidP="00442A82">
      <w:pPr>
        <w:pStyle w:val="Bibliography"/>
      </w:pPr>
      <w:r w:rsidRPr="00442A82">
        <w:t>Cadotte MW, Lovett-Doust J (2001) Ecological and taxonomic differences between native and introduced plants of southwestern Ontario. Ecoscience 8:230–238</w:t>
      </w:r>
    </w:p>
    <w:p w14:paraId="0FD81683" w14:textId="77777777" w:rsidR="00442A82" w:rsidRPr="00442A82" w:rsidRDefault="00442A82" w:rsidP="00442A82">
      <w:pPr>
        <w:pStyle w:val="Bibliography"/>
      </w:pPr>
      <w:r w:rsidRPr="00442A82">
        <w:t>Caswell H (2006) Matrix Population Models: Construction, Analysis, and Interpretation, Second. Sinauer Associates, Sunderland, MA</w:t>
      </w:r>
    </w:p>
    <w:p w14:paraId="6FE453BD" w14:textId="77777777" w:rsidR="00442A82" w:rsidRPr="00442A82" w:rsidRDefault="00442A82" w:rsidP="00442A82">
      <w:pPr>
        <w:pStyle w:val="Bibliography"/>
      </w:pPr>
      <w:r w:rsidRPr="00442A82">
        <w:t xml:space="preserve">Catling PM, Porebski ZS (1994) The history of invasion and current status of glossy buckthorn, </w:t>
      </w:r>
      <w:r w:rsidRPr="00442A82">
        <w:rPr>
          <w:i/>
          <w:iCs/>
        </w:rPr>
        <w:t>Rhamnus frangula</w:t>
      </w:r>
      <w:r w:rsidRPr="00442A82">
        <w:t>, in southern Ontario. Canadian field-naturalist 108:305–310</w:t>
      </w:r>
    </w:p>
    <w:p w14:paraId="256D63B0" w14:textId="77777777" w:rsidR="00442A82" w:rsidRPr="00442A82" w:rsidRDefault="00442A82" w:rsidP="00442A82">
      <w:pPr>
        <w:pStyle w:val="Bibliography"/>
      </w:pPr>
      <w:r w:rsidRPr="00442A82">
        <w:t>Clark JS, Lewis M, Horvath L (2001) Invasion by extremes: population spread with variation in dispersal and reproduction. The American Naturalist 157:537–54. https://doi.org/10.1086/319934</w:t>
      </w:r>
    </w:p>
    <w:p w14:paraId="70960B4F" w14:textId="77777777" w:rsidR="00442A82" w:rsidRPr="00442A82" w:rsidRDefault="00442A82" w:rsidP="00442A82">
      <w:pPr>
        <w:pStyle w:val="Bibliography"/>
      </w:pPr>
      <w:r w:rsidRPr="00442A82">
        <w:t>Colautti RI, Grigorovich IA, MacIsaac HJ (2006) Propagule Pressure: A Null Model for Biological Invasions. Biological Invasions 8:1023–1037. https://doi.org/10.1007/s10530-005-3735-y</w:t>
      </w:r>
    </w:p>
    <w:p w14:paraId="473CD4A1" w14:textId="77777777" w:rsidR="00442A82" w:rsidRPr="00442A82" w:rsidRDefault="00442A82" w:rsidP="00442A82">
      <w:pPr>
        <w:pStyle w:val="Bibliography"/>
      </w:pPr>
      <w:r w:rsidRPr="00442A82">
        <w:t>Comita L, Hubbell S (2009) Local neighborhood and species’ shade tolerance influence survival in a diverse seedling bank. Ecology 90:328–334</w:t>
      </w:r>
    </w:p>
    <w:p w14:paraId="03B5F2F1" w14:textId="77777777" w:rsidR="00442A82" w:rsidRPr="00442A82" w:rsidRDefault="00442A82" w:rsidP="00442A82">
      <w:pPr>
        <w:pStyle w:val="Bibliography"/>
      </w:pPr>
      <w:r w:rsidRPr="00442A82">
        <w:t>Coutts SR, Yokomizo H (2013) Meta-models as a straightforward approach to the sensitivity analysis of complex models. Population Ecology 56:7–19. https://doi.org/10.1007/s10144-013-0422-1</w:t>
      </w:r>
    </w:p>
    <w:p w14:paraId="7635C1D8" w14:textId="77777777" w:rsidR="00442A82" w:rsidRPr="00442A82" w:rsidRDefault="00442A82" w:rsidP="00442A82">
      <w:pPr>
        <w:pStyle w:val="Bibliography"/>
      </w:pPr>
      <w:r w:rsidRPr="00442A82">
        <w:t>Crone EE, Menges ES, Ellis MM, et al (2010) How do plant ecologists use matrix population models? Ecology Letters 14:1–8. https://doi.org/10.1111/j.1461-0248.2010.01540.x</w:t>
      </w:r>
    </w:p>
    <w:p w14:paraId="075A6173" w14:textId="77777777" w:rsidR="00442A82" w:rsidRPr="00442A82" w:rsidRDefault="00442A82" w:rsidP="00442A82">
      <w:pPr>
        <w:pStyle w:val="Bibliography"/>
      </w:pPr>
      <w:r w:rsidRPr="00442A82">
        <w:t>Crooks J (2005) Lag times and exotic species: the ecology and management of biological invasions in slow-motion. Ecoscience 12:316–329</w:t>
      </w:r>
    </w:p>
    <w:p w14:paraId="3159347F" w14:textId="77777777" w:rsidR="00442A82" w:rsidRPr="00442A82" w:rsidRDefault="00442A82" w:rsidP="00442A82">
      <w:pPr>
        <w:pStyle w:val="Bibliography"/>
      </w:pPr>
      <w:r w:rsidRPr="00442A82">
        <w:t>Crooks JA, Soulé ME (1999) Lag times in population explosions of invasive species: causes and implications. In: Sandlund OT, Schei PJ, Viken A (eds) Invasive species and biodiversity management. Kluwer Academic Dordrecht, The Netherlands, pp 103–125</w:t>
      </w:r>
    </w:p>
    <w:p w14:paraId="463FBD0F" w14:textId="77777777" w:rsidR="00442A82" w:rsidRPr="00442A82" w:rsidRDefault="00442A82" w:rsidP="00442A82">
      <w:pPr>
        <w:pStyle w:val="Bibliography"/>
      </w:pPr>
      <w:r w:rsidRPr="00442A82">
        <w:t>Cunard C, Lee TD (2008) Is patience a virtue? Succession, light, and the death of invasive glossy buckthorn (</w:t>
      </w:r>
      <w:r w:rsidRPr="00442A82">
        <w:rPr>
          <w:i/>
          <w:iCs/>
        </w:rPr>
        <w:t>Frangula alnus</w:t>
      </w:r>
      <w:r w:rsidRPr="00442A82">
        <w:t>). Biological Invasions 11:577–586. https://doi.org/10.1007/s10530-008-9272-8</w:t>
      </w:r>
    </w:p>
    <w:p w14:paraId="1644C8E3" w14:textId="77777777" w:rsidR="00442A82" w:rsidRPr="00442A82" w:rsidRDefault="00442A82" w:rsidP="00442A82">
      <w:pPr>
        <w:pStyle w:val="Bibliography"/>
      </w:pPr>
      <w:r w:rsidRPr="00442A82">
        <w:t>Davis AS, Landis DA, Nuzzo V, et al (2006) Demographic models inform selection of biocontrol agents for garlic mustard (</w:t>
      </w:r>
      <w:r w:rsidRPr="00442A82">
        <w:rPr>
          <w:i/>
          <w:iCs/>
        </w:rPr>
        <w:t>Alliaria petiolata</w:t>
      </w:r>
      <w:r w:rsidRPr="00442A82">
        <w:t>). Ecological Applications 16:2399–2410</w:t>
      </w:r>
    </w:p>
    <w:p w14:paraId="67DB572C" w14:textId="77777777" w:rsidR="00442A82" w:rsidRPr="00442A82" w:rsidRDefault="00442A82" w:rsidP="00442A82">
      <w:pPr>
        <w:pStyle w:val="Bibliography"/>
      </w:pPr>
      <w:r w:rsidRPr="00442A82">
        <w:t>Davis M, Grime J, Thompson K (2000) Fluctuating resources in plant communites: a general theory of invasibility. Journal of Ecology 88:528–534</w:t>
      </w:r>
    </w:p>
    <w:p w14:paraId="64AC215A" w14:textId="77777777" w:rsidR="00442A82" w:rsidRPr="00442A82" w:rsidRDefault="00442A82" w:rsidP="00442A82">
      <w:pPr>
        <w:pStyle w:val="Bibliography"/>
      </w:pPr>
      <w:r w:rsidRPr="00442A82">
        <w:lastRenderedPageBreak/>
        <w:t>Dwyer JM, Fensham RJ, Fairfax RJ, Buckley YM (2010) Neighbourhood effects influence drought-induced mortality of savanna trees in Australia. Journal of Vegetation Science 21:573–585. https://doi.org/10.1111/j.1654-1103.2009.01167.x</w:t>
      </w:r>
    </w:p>
    <w:p w14:paraId="3A8868E4" w14:textId="77777777" w:rsidR="00442A82" w:rsidRPr="00442A82" w:rsidRDefault="00442A82" w:rsidP="00442A82">
      <w:pPr>
        <w:pStyle w:val="Bibliography"/>
      </w:pPr>
      <w:r w:rsidRPr="00442A82">
        <w:t>Easterling MR, Ellner SP, Dixon PM (2000) Size-specific sensitivity: applying a new structured population model. Ecology 81:694–708</w:t>
      </w:r>
    </w:p>
    <w:p w14:paraId="1E2CBB96" w14:textId="77777777" w:rsidR="00442A82" w:rsidRPr="00442A82" w:rsidRDefault="00442A82" w:rsidP="00442A82">
      <w:pPr>
        <w:pStyle w:val="Bibliography"/>
      </w:pPr>
      <w:r w:rsidRPr="00442A82">
        <w:t>Elith J, Leathwick JR, Hastie T (2008) A working guide to boosted regression trees. Journal of Animal Ecology 77:802–813. https://doi.org/10.1111/j.1365-2656.2008.01390.x</w:t>
      </w:r>
    </w:p>
    <w:p w14:paraId="35252B48" w14:textId="77777777" w:rsidR="00442A82" w:rsidRPr="00442A82" w:rsidRDefault="00442A82" w:rsidP="00442A82">
      <w:pPr>
        <w:pStyle w:val="Bibliography"/>
      </w:pPr>
      <w:r w:rsidRPr="00442A82">
        <w:t>Elith J, Phillips SJ, Hastie T, et al (2010) A statistical explanation of MaxEnt for ecologists. Diversity and Distributions 17:43–57. https://doi.org/10.1111/j.1472-4642.2010.00725.x</w:t>
      </w:r>
    </w:p>
    <w:p w14:paraId="6DFA2F10" w14:textId="77777777" w:rsidR="00442A82" w:rsidRPr="00442A82" w:rsidRDefault="00442A82" w:rsidP="00442A82">
      <w:pPr>
        <w:pStyle w:val="Bibliography"/>
      </w:pPr>
      <w:r w:rsidRPr="00442A82">
        <w:t>Ellner SP, Rees M (2006) Integral projection models for species with complex demography. The American Naturalist 167:410–428</w:t>
      </w:r>
    </w:p>
    <w:p w14:paraId="31EC64B6" w14:textId="77777777" w:rsidR="00442A82" w:rsidRPr="00442A82" w:rsidRDefault="00442A82" w:rsidP="00442A82">
      <w:pPr>
        <w:pStyle w:val="Bibliography"/>
      </w:pPr>
      <w:r w:rsidRPr="00442A82">
        <w:t>Ellner SP, Rees M (2007) Stochastic stable population growth in integral projection models: theory and application. Journal of mathematical biology 54:227–56. https://doi.org/10.1007/s00285-006-0044-8</w:t>
      </w:r>
    </w:p>
    <w:p w14:paraId="54E0632C" w14:textId="77777777" w:rsidR="00442A82" w:rsidRPr="00442A82" w:rsidRDefault="00442A82" w:rsidP="00442A82">
      <w:pPr>
        <w:pStyle w:val="Bibliography"/>
      </w:pPr>
      <w:r w:rsidRPr="00442A82">
        <w:t>Fagan ME, Peart DR (2004) Impact of the invasive shrub glossy buckthorn (</w:t>
      </w:r>
      <w:r w:rsidRPr="00442A82">
        <w:rPr>
          <w:i/>
          <w:iCs/>
        </w:rPr>
        <w:t>Rhamnus frangula</w:t>
      </w:r>
      <w:r w:rsidRPr="00442A82">
        <w:t xml:space="preserve"> L.) on juvenile recruitment by canopy trees. Forest Ecology and Management 194:95–107. https://doi.org/10.1016/j.foreco.2004.02.015</w:t>
      </w:r>
    </w:p>
    <w:p w14:paraId="3F496CA5" w14:textId="77777777" w:rsidR="00442A82" w:rsidRPr="00442A82" w:rsidRDefault="00442A82" w:rsidP="00442A82">
      <w:pPr>
        <w:pStyle w:val="Bibliography"/>
      </w:pPr>
      <w:r w:rsidRPr="00442A82">
        <w:t>Fielding AH, Bell JF (1997) A review of methods for the assessment of prediction errors in conservation presence/absence models. Environmental Conservation 24:38–49</w:t>
      </w:r>
    </w:p>
    <w:p w14:paraId="7ED9D1BA" w14:textId="77777777" w:rsidR="00442A82" w:rsidRPr="00442A82" w:rsidRDefault="00442A82" w:rsidP="00442A82">
      <w:pPr>
        <w:pStyle w:val="Bibliography"/>
      </w:pPr>
      <w:r w:rsidRPr="00442A82">
        <w:t>Fordham DA, Akçakaya HR, Araújo MB, Brook BW (2012) Modeling Range Shifts for Invasive Vertebrates in Response to Climate Change. In: Brodie (ed). pp 1–31</w:t>
      </w:r>
    </w:p>
    <w:p w14:paraId="054FB9F8" w14:textId="77777777" w:rsidR="00442A82" w:rsidRPr="00442A82" w:rsidRDefault="00442A82" w:rsidP="00442A82">
      <w:pPr>
        <w:pStyle w:val="Bibliography"/>
      </w:pPr>
      <w:r w:rsidRPr="00442A82">
        <w:t>Fordham DA, Mellin C, Russell BD, et al (2013) Population dynamics can be more important than physiological limits for determining range shifts under climate change. Global change biology 19:3224–37. https://doi.org/10.1111/gcb.12289</w:t>
      </w:r>
    </w:p>
    <w:p w14:paraId="5E9E1A10" w14:textId="77777777" w:rsidR="00442A82" w:rsidRPr="00442A82" w:rsidRDefault="00442A82" w:rsidP="00442A82">
      <w:pPr>
        <w:pStyle w:val="Bibliography"/>
      </w:pPr>
      <w:r w:rsidRPr="00442A82">
        <w:t>Foster BL, Gross KL (1999) Temporal and spatial patterns of woody plant establishment in Michigan old fields. The American Midland Naturalist 142:229–243</w:t>
      </w:r>
    </w:p>
    <w:p w14:paraId="725AAFC7" w14:textId="77777777" w:rsidR="00442A82" w:rsidRPr="00442A82" w:rsidRDefault="00442A82" w:rsidP="00442A82">
      <w:pPr>
        <w:pStyle w:val="Bibliography"/>
      </w:pPr>
      <w:r w:rsidRPr="00442A82">
        <w:t>Franklin J (2010) Moving beyond static species distribution models in support of conservation biogeography. Diversity and Distributions 16:321–330. https://doi.org/10.1111/j.1472-4642.2010.00641.x</w:t>
      </w:r>
    </w:p>
    <w:p w14:paraId="1C164893" w14:textId="77777777" w:rsidR="00442A82" w:rsidRPr="00442A82" w:rsidRDefault="00442A82" w:rsidP="00442A82">
      <w:pPr>
        <w:pStyle w:val="Bibliography"/>
      </w:pPr>
      <w:r w:rsidRPr="00442A82">
        <w:t>Franklin J, Regan HM, Syphard AD (2013) Linking spatially explicit species distribution and population models to plan for the persistence of plant species under global change. Environmental Conservation 1–13. https://doi.org/10.1017/S0376892913000453</w:t>
      </w:r>
    </w:p>
    <w:p w14:paraId="1DEAFCCE" w14:textId="77777777" w:rsidR="00442A82" w:rsidRPr="00442A82" w:rsidRDefault="00442A82" w:rsidP="00442A82">
      <w:pPr>
        <w:pStyle w:val="Bibliography"/>
      </w:pPr>
      <w:r w:rsidRPr="00442A82">
        <w:t xml:space="preserve">Frappier B, Eckert RT, Lee TD (2003a) Potential impacts of the invasive exotic shrub </w:t>
      </w:r>
      <w:r w:rsidRPr="00442A82">
        <w:rPr>
          <w:i/>
          <w:iCs/>
        </w:rPr>
        <w:t>Rhamnus frangula</w:t>
      </w:r>
      <w:r w:rsidRPr="00442A82">
        <w:t xml:space="preserve"> L. (glossy buckthorn) on forests of southern New Hampshire. Northeastern Naturalist 10:277–296</w:t>
      </w:r>
    </w:p>
    <w:p w14:paraId="5AF136A9" w14:textId="77777777" w:rsidR="00442A82" w:rsidRPr="00442A82" w:rsidRDefault="00442A82" w:rsidP="00442A82">
      <w:pPr>
        <w:pStyle w:val="Bibliography"/>
      </w:pPr>
      <w:r w:rsidRPr="00442A82">
        <w:lastRenderedPageBreak/>
        <w:t xml:space="preserve">Frappier B, Eckert RT, Lee TD (2004) Experimental removal of the non-indigenous shrub </w:t>
      </w:r>
      <w:r w:rsidRPr="00442A82">
        <w:rPr>
          <w:i/>
          <w:iCs/>
        </w:rPr>
        <w:t>Rhamnus frangula</w:t>
      </w:r>
      <w:r w:rsidRPr="00442A82">
        <w:t xml:space="preserve"> (glossy buckthorn): Effects on native herbs and woody seedlings. Northeastern Naturalist 11:333–342</w:t>
      </w:r>
    </w:p>
    <w:p w14:paraId="72CAEAB3" w14:textId="77777777" w:rsidR="00442A82" w:rsidRPr="00442A82" w:rsidRDefault="00442A82" w:rsidP="00442A82">
      <w:pPr>
        <w:pStyle w:val="Bibliography"/>
      </w:pPr>
      <w:r w:rsidRPr="00442A82">
        <w:t xml:space="preserve">Frappier B, Lee TD, Olson KF, Eckert RT (2003b) Small-scale invasion pattern, spread rate, and lag-phase behavior of </w:t>
      </w:r>
      <w:r w:rsidRPr="00442A82">
        <w:rPr>
          <w:i/>
          <w:iCs/>
        </w:rPr>
        <w:t>Rhamnus frangula</w:t>
      </w:r>
      <w:r w:rsidRPr="00442A82">
        <w:t xml:space="preserve"> L. Forest Ecology and Management 186:1–6. https://doi.org/10.1016/S0378-1127(03)00274-3</w:t>
      </w:r>
    </w:p>
    <w:p w14:paraId="6D9AD826" w14:textId="77777777" w:rsidR="00442A82" w:rsidRPr="00442A82" w:rsidRDefault="00442A82" w:rsidP="00442A82">
      <w:pPr>
        <w:pStyle w:val="Bibliography"/>
      </w:pPr>
      <w:r w:rsidRPr="00442A82">
        <w:t>Gavier-Pizarro GI, Radeloff VC, Stewart SI, et al (2010) Housing is positively associated with invasive exotic plant species richness in New England, USA. Ecological Applications 20:1913–1925</w:t>
      </w:r>
    </w:p>
    <w:p w14:paraId="68632536" w14:textId="77777777" w:rsidR="00442A82" w:rsidRPr="00442A82" w:rsidRDefault="00442A82" w:rsidP="00442A82">
      <w:pPr>
        <w:pStyle w:val="Bibliography"/>
      </w:pPr>
      <w:r w:rsidRPr="00442A82">
        <w:t xml:space="preserve">Godwin H (1943) </w:t>
      </w:r>
      <w:r w:rsidRPr="00442A82">
        <w:rPr>
          <w:i/>
          <w:iCs/>
        </w:rPr>
        <w:t>Frangula alnus</w:t>
      </w:r>
      <w:r w:rsidRPr="00442A82">
        <w:t xml:space="preserve"> Miller. Journal of Ecology 31:77–92</w:t>
      </w:r>
    </w:p>
    <w:p w14:paraId="3E9768C0" w14:textId="77777777" w:rsidR="00442A82" w:rsidRPr="00442A82" w:rsidRDefault="00442A82" w:rsidP="00442A82">
      <w:pPr>
        <w:pStyle w:val="Bibliography"/>
      </w:pPr>
      <w:r w:rsidRPr="00442A82">
        <w:t>Godwin H (1936) Studies in the ecology of Wicken Fen: III. the establishment and development of Fen Scrub (Carr). The Journal of Ecology 82–116</w:t>
      </w:r>
    </w:p>
    <w:p w14:paraId="519A6950" w14:textId="77777777" w:rsidR="00442A82" w:rsidRPr="00442A82" w:rsidRDefault="00442A82" w:rsidP="00442A82">
      <w:pPr>
        <w:pStyle w:val="Bibliography"/>
      </w:pPr>
      <w:r w:rsidRPr="00442A82">
        <w:t>Graham CH, Ferrier S, Huettman F, et al (2004) New developments in museum-based informatics and applications in biodiversity analysis. Trends in Ecology &amp; Evolution 19:497–503. https://doi.org/10.1016/j.tree.2004.07.006</w:t>
      </w:r>
    </w:p>
    <w:p w14:paraId="2BC6FA8E" w14:textId="77777777" w:rsidR="00442A82" w:rsidRPr="00442A82" w:rsidRDefault="00442A82" w:rsidP="00442A82">
      <w:pPr>
        <w:pStyle w:val="Bibliography"/>
      </w:pPr>
      <w:r w:rsidRPr="00442A82">
        <w:t>Granstrom A (1988) Seed banks at six open and afforested heathland sites in southern Sweden. Journal of Applied Ecology 297–306</w:t>
      </w:r>
    </w:p>
    <w:p w14:paraId="0B86E0EC" w14:textId="77777777" w:rsidR="00442A82" w:rsidRPr="00442A82" w:rsidRDefault="00442A82" w:rsidP="00442A82">
      <w:pPr>
        <w:pStyle w:val="Bibliography"/>
      </w:pPr>
      <w:r w:rsidRPr="00442A82">
        <w:t>Gurevitch J, Fox GA, Wardle GM, et al (2011) Emergent insights from the synthesis of conceptual frameworks for biological invasions. Ecology Letters 14:407–418. https://doi.org/10.1111/j.1461-0248.2011.01594.x</w:t>
      </w:r>
    </w:p>
    <w:p w14:paraId="506F6E36" w14:textId="77777777" w:rsidR="00442A82" w:rsidRPr="00442A82" w:rsidRDefault="00442A82" w:rsidP="00442A82">
      <w:pPr>
        <w:pStyle w:val="Bibliography"/>
      </w:pPr>
      <w:r w:rsidRPr="00442A82">
        <w:t>Hampe A (2008) Fruit tracking, frugivore satiation, and their consequences for seed dispersal. Oecologia 156:137–145. https://doi.org/10.1007/s00442-008-0979-0</w:t>
      </w:r>
    </w:p>
    <w:p w14:paraId="5DE3FB76" w14:textId="77777777" w:rsidR="00442A82" w:rsidRPr="00442A82" w:rsidRDefault="00442A82" w:rsidP="00442A82">
      <w:pPr>
        <w:pStyle w:val="Bibliography"/>
      </w:pPr>
      <w:r w:rsidRPr="00442A82">
        <w:t>Hampe A (2004) Extensive hydrochory uncouples spatiotemporal patterns of seedfall and seedling recruitment in a ‘bird‐dispersed’ riparian tree. Journal of Ecology 92:797–807</w:t>
      </w:r>
    </w:p>
    <w:p w14:paraId="0E32C2A6" w14:textId="77777777" w:rsidR="00442A82" w:rsidRPr="00442A82" w:rsidRDefault="00442A82" w:rsidP="00442A82">
      <w:pPr>
        <w:pStyle w:val="Bibliography"/>
      </w:pPr>
      <w:r w:rsidRPr="00442A82">
        <w:t>Hampe A, Arroyo J, Jordano P, Petit RJ (2003) Rangewide phylogeography of a bird-dispersed Eurasian shrub: contrasting Mediterranean and temperate glacial refugia. Molecular Ecology 12:3415–3426. https://doi.org/10.1046/j.1365-294X.2003.02006.x</w:t>
      </w:r>
    </w:p>
    <w:p w14:paraId="4C62198B" w14:textId="77777777" w:rsidR="00442A82" w:rsidRPr="00442A82" w:rsidRDefault="00442A82" w:rsidP="00442A82">
      <w:pPr>
        <w:pStyle w:val="Bibliography"/>
      </w:pPr>
      <w:r w:rsidRPr="00442A82">
        <w:t xml:space="preserve">Hampe A, Bairlein F (2000) Modified dispersal‐related traits in disjunct populations of bird‐dispersed </w:t>
      </w:r>
      <w:r w:rsidRPr="00442A82">
        <w:rPr>
          <w:i/>
          <w:iCs/>
        </w:rPr>
        <w:t>Frangula alnus</w:t>
      </w:r>
      <w:r w:rsidRPr="00442A82">
        <w:t xml:space="preserve"> (Rhamnaceae): a result of its Quaternary distribution shifts? Ecography 23:603–613</w:t>
      </w:r>
    </w:p>
    <w:p w14:paraId="6A7ACF06" w14:textId="77777777" w:rsidR="00442A82" w:rsidRPr="00442A82" w:rsidRDefault="00442A82" w:rsidP="00442A82">
      <w:pPr>
        <w:pStyle w:val="Bibliography"/>
      </w:pPr>
      <w:r w:rsidRPr="00442A82">
        <w:t xml:space="preserve">Harris CM, Park KJ, Atkinson R, et al (2009) Invasive species control: Incorporating demographic data and seed dispersal into a management model for </w:t>
      </w:r>
      <w:r w:rsidRPr="00442A82">
        <w:rPr>
          <w:i/>
          <w:iCs/>
        </w:rPr>
        <w:t>Rhododendron ponticum</w:t>
      </w:r>
      <w:r w:rsidRPr="00442A82">
        <w:t>. Ecological Informatics 4:226–233. https://doi.org/10.1016/j.ecoinf.2009.07.005</w:t>
      </w:r>
    </w:p>
    <w:p w14:paraId="0464F7BE" w14:textId="77777777" w:rsidR="00442A82" w:rsidRPr="00442A82" w:rsidRDefault="00442A82" w:rsidP="00442A82">
      <w:pPr>
        <w:pStyle w:val="Bibliography"/>
      </w:pPr>
      <w:r w:rsidRPr="00442A82">
        <w:lastRenderedPageBreak/>
        <w:t>Hastings A, Cuddington K, Davies KF, et al (2005) The spatial spread of invasions: new developments in theory and evidence. Ecology Letters 8:91–101. https://doi.org/10.1111/j.1461-0248.2004.00687.x</w:t>
      </w:r>
    </w:p>
    <w:p w14:paraId="3080F058" w14:textId="77777777" w:rsidR="00442A82" w:rsidRPr="00442A82" w:rsidRDefault="00442A82" w:rsidP="00442A82">
      <w:pPr>
        <w:pStyle w:val="Bibliography"/>
      </w:pPr>
      <w:r w:rsidRPr="00442A82">
        <w:t>Herron PM, Martine CT, Latimer AM, Leicht-Young SA (2007) Invasive plants and their ecological strategies: prediction and explanation of woody plant invasion in New England. Diversity and Distributions 13:633–644. https://doi.org/10.1111/j.1472-4642.2007.00381.x</w:t>
      </w:r>
    </w:p>
    <w:p w14:paraId="5D911BE9" w14:textId="77777777" w:rsidR="00442A82" w:rsidRPr="00442A82" w:rsidRDefault="00442A82" w:rsidP="00442A82">
      <w:pPr>
        <w:pStyle w:val="Bibliography"/>
      </w:pPr>
      <w:r w:rsidRPr="00442A82">
        <w:t xml:space="preserve">Howell JA, Blackwell WHJr (1977) The history of </w:t>
      </w:r>
      <w:r w:rsidRPr="00442A82">
        <w:rPr>
          <w:i/>
          <w:iCs/>
        </w:rPr>
        <w:t>Rhamnus frangula</w:t>
      </w:r>
      <w:r w:rsidRPr="00442A82">
        <w:t xml:space="preserve"> (glossy buckthorn) in the Ohio flora. Castanea 42:111–115</w:t>
      </w:r>
    </w:p>
    <w:p w14:paraId="22E89F79" w14:textId="77777777" w:rsidR="00442A82" w:rsidRPr="00442A82" w:rsidRDefault="00442A82" w:rsidP="00442A82">
      <w:pPr>
        <w:pStyle w:val="Bibliography"/>
      </w:pPr>
      <w:r w:rsidRPr="00442A82">
        <w:t xml:space="preserve">Jongejans E, Shea K, Skarpaas O, et al (2008) Dispersal and demography contributions to population spread of </w:t>
      </w:r>
      <w:r w:rsidRPr="00442A82">
        <w:rPr>
          <w:i/>
          <w:iCs/>
        </w:rPr>
        <w:t>Carduus nutansin</w:t>
      </w:r>
      <w:r w:rsidRPr="00442A82">
        <w:t xml:space="preserve"> its native and invaded ranges. Journal of Ecology 96:687–697. https://doi.org/10.1111/j.1365-2745.2008.01367.x</w:t>
      </w:r>
    </w:p>
    <w:p w14:paraId="513AB907" w14:textId="77777777" w:rsidR="00442A82" w:rsidRPr="00442A82" w:rsidRDefault="00442A82" w:rsidP="00442A82">
      <w:pPr>
        <w:pStyle w:val="Bibliography"/>
      </w:pPr>
      <w:r w:rsidRPr="00442A82">
        <w:t>Keith DA, Akçakaya HR, Thuiller W, et al (2008) Predicting extinction risks under climate change: coupling stochastic population models with dynamic bioclimatic habitat models. Biology Letters 4:560–563. https://doi.org/10.1098/rsbl.2008.0049</w:t>
      </w:r>
    </w:p>
    <w:p w14:paraId="54D913BD" w14:textId="77777777" w:rsidR="00442A82" w:rsidRPr="00442A82" w:rsidRDefault="00442A82" w:rsidP="00442A82">
      <w:pPr>
        <w:pStyle w:val="Bibliography"/>
      </w:pPr>
      <w:r w:rsidRPr="00442A82">
        <w:t>Klein Goldewijk K, Beusen A, Van Drecht G, De Vos M (2010) The HYDE 3.1 spatially explicit database of human-induced global land-use change over the past 12,000 years. Global Ecology and Biogeography 20:73–86. https://doi.org/10.1111/j.1466-8238.2010.00587.x</w:t>
      </w:r>
    </w:p>
    <w:p w14:paraId="26D71D77" w14:textId="77777777" w:rsidR="00442A82" w:rsidRPr="00442A82" w:rsidRDefault="00442A82" w:rsidP="00442A82">
      <w:pPr>
        <w:pStyle w:val="Bibliography"/>
      </w:pPr>
      <w:r w:rsidRPr="00442A82">
        <w:t>Knight TM, Havens K, Vitt P (2011) Will the use of less fecund cultivars reduce the invasiveness of perennial plants? BioScience 61:816–822. https://doi.org/10.1525/bio.2011.61.10.11</w:t>
      </w:r>
    </w:p>
    <w:p w14:paraId="259235F9" w14:textId="77777777" w:rsidR="00442A82" w:rsidRPr="00442A82" w:rsidRDefault="00442A82" w:rsidP="00442A82">
      <w:pPr>
        <w:pStyle w:val="Bibliography"/>
      </w:pPr>
      <w:r w:rsidRPr="00442A82">
        <w:t>Kostel-Hughes F, Young TP, McDonnell MJ (1998) The soil seed bank and its relationship to the aboveground vegetation in deciduous forests in New York City. Urban Ecosystems 2:43–59</w:t>
      </w:r>
    </w:p>
    <w:p w14:paraId="752D5FD4" w14:textId="77777777" w:rsidR="00442A82" w:rsidRPr="00442A82" w:rsidRDefault="00442A82" w:rsidP="00442A82">
      <w:pPr>
        <w:pStyle w:val="Bibliography"/>
      </w:pPr>
      <w:r w:rsidRPr="00442A82">
        <w:t>Kowarik I (1995) Time lags in biological invasions with regard to success and failure of alien species. In: Pyšek P, Prach K, Rejmánek M, Wade M (eds) Plant invasions: General aspects and special problems. SPB Academic Publishing, Amsterdam, The Netherlands</w:t>
      </w:r>
    </w:p>
    <w:p w14:paraId="68C24811" w14:textId="77777777" w:rsidR="00442A82" w:rsidRPr="00442A82" w:rsidRDefault="00442A82" w:rsidP="00442A82">
      <w:pPr>
        <w:pStyle w:val="Bibliography"/>
      </w:pPr>
      <w:r w:rsidRPr="00442A82">
        <w:t>Larkin DJ (2011) Lengths and correlates of lag phases in upper-Midwest plant invasions. Biological Invasions 14:827–838. https://doi.org/10.1007/s10530-011-0119-3</w:t>
      </w:r>
    </w:p>
    <w:p w14:paraId="00539E5A" w14:textId="77777777" w:rsidR="00442A82" w:rsidRPr="00442A82" w:rsidRDefault="00442A82" w:rsidP="00442A82">
      <w:pPr>
        <w:pStyle w:val="Bibliography"/>
      </w:pPr>
      <w:r w:rsidRPr="00442A82">
        <w:t>Lavoie C (2012) Biological collections in an ever changing world: herbaria as tools for biogeographical and environmental studies. Perspectives in Plant Ecology, Evolution and Systematics 15:68–76. https://doi.org/10.1016/j.ppees.2012.10.002</w:t>
      </w:r>
    </w:p>
    <w:p w14:paraId="22EEA4EF" w14:textId="77777777" w:rsidR="00442A82" w:rsidRPr="00442A82" w:rsidRDefault="00442A82" w:rsidP="00442A82">
      <w:pPr>
        <w:pStyle w:val="Bibliography"/>
      </w:pPr>
      <w:r w:rsidRPr="00442A82">
        <w:t>Lee TD, Thompson JH (2012) Effects of logging history on invasion of eastern white pine forests by exotic glossy buckthorn (</w:t>
      </w:r>
      <w:r w:rsidRPr="00442A82">
        <w:rPr>
          <w:i/>
          <w:iCs/>
        </w:rPr>
        <w:t>Frangula alnus</w:t>
      </w:r>
      <w:r w:rsidRPr="00442A82">
        <w:t xml:space="preserve"> P. Mill.). Forest Ecology and Management 265:201–210. https://doi.org/10.1016/j.foreco.2011.10.035</w:t>
      </w:r>
    </w:p>
    <w:p w14:paraId="383A2E2E" w14:textId="77777777" w:rsidR="00442A82" w:rsidRPr="00442A82" w:rsidRDefault="00442A82" w:rsidP="00442A82">
      <w:pPr>
        <w:pStyle w:val="Bibliography"/>
      </w:pPr>
      <w:r w:rsidRPr="00442A82">
        <w:lastRenderedPageBreak/>
        <w:t>Lowry E, Rollinson EJ, Laybourn AJ, et al (2012) Biological invasions: a field synopsis, systematic review, and database of the literature. Ecology and Evolution 3:182–96. https://doi.org/10.1002/ece3.431</w:t>
      </w:r>
    </w:p>
    <w:p w14:paraId="2B0A7C45" w14:textId="77777777" w:rsidR="00442A82" w:rsidRPr="00442A82" w:rsidRDefault="00442A82" w:rsidP="00442A82">
      <w:pPr>
        <w:pStyle w:val="Bibliography"/>
      </w:pPr>
      <w:r w:rsidRPr="00442A82">
        <w:t>Mack RN, Simberloff D, Mark Lonsdale W, et al (2000) Biotic invasions: causes, epidemiology, global consequences, and control. Ecological Applications 10:689–710</w:t>
      </w:r>
    </w:p>
    <w:p w14:paraId="4C4E2993" w14:textId="77777777" w:rsidR="00442A82" w:rsidRPr="00442A82" w:rsidRDefault="00442A82" w:rsidP="00442A82">
      <w:pPr>
        <w:pStyle w:val="Bibliography"/>
      </w:pPr>
      <w:r w:rsidRPr="00442A82">
        <w:t>Mason R a. B, Cooke J, Moles AT, Leishman MR (2008) Reproductive output of invasive versus native plants. Global Ecology and Biogeography 17:633–640. https://doi.org/10.1111/j.1466-8238.2008.00402.x</w:t>
      </w:r>
    </w:p>
    <w:p w14:paraId="6D9DC351" w14:textId="77777777" w:rsidR="00442A82" w:rsidRPr="00442A82" w:rsidRDefault="00442A82" w:rsidP="00442A82">
      <w:pPr>
        <w:pStyle w:val="Bibliography"/>
      </w:pPr>
      <w:r w:rsidRPr="00442A82">
        <w:t>McDonald RI, Motzkin G, Foster DR (2008) Assessing the influence of historical factors, contemporary processes, and environmental conditions on the distribution of invasive species. The Journal of the Torrey Botanical Society 135:260–271</w:t>
      </w:r>
    </w:p>
    <w:p w14:paraId="585AEF3D" w14:textId="77777777" w:rsidR="00442A82" w:rsidRPr="00442A82" w:rsidRDefault="00442A82" w:rsidP="00442A82">
      <w:pPr>
        <w:pStyle w:val="Bibliography"/>
      </w:pPr>
      <w:r w:rsidRPr="00442A82">
        <w:t xml:space="preserve">Medan D (1994) Reproductive biology of </w:t>
      </w:r>
      <w:r w:rsidRPr="00442A82">
        <w:rPr>
          <w:i/>
          <w:iCs/>
        </w:rPr>
        <w:t>Frangula alnus</w:t>
      </w:r>
      <w:r w:rsidRPr="00442A82">
        <w:t xml:space="preserve"> (Rhamnaceae) in southern Spain. Plant Systematics and Evolution 193:173–186. https://doi.org/10.1007/BF00983549</w:t>
      </w:r>
    </w:p>
    <w:p w14:paraId="3398D7E5" w14:textId="77777777" w:rsidR="00442A82" w:rsidRPr="00442A82" w:rsidRDefault="00442A82" w:rsidP="00442A82">
      <w:pPr>
        <w:pStyle w:val="Bibliography"/>
      </w:pPr>
      <w:r w:rsidRPr="00442A82">
        <w:t>Menges ES (2000) Population viability analyses in plants: challenges and opportunities. Trends in Ecology &amp; Evolution 15:51–56</w:t>
      </w:r>
    </w:p>
    <w:p w14:paraId="099F32C7" w14:textId="77777777" w:rsidR="00442A82" w:rsidRPr="00442A82" w:rsidRDefault="00442A82" w:rsidP="00442A82">
      <w:pPr>
        <w:pStyle w:val="Bibliography"/>
      </w:pPr>
      <w:r w:rsidRPr="00442A82">
        <w:t>Merow C, LaFleur N, Silander Jr JA, et al (2011) Developing dynamic mechanistic species distribution models: predicting bird-mediated spread of invasive plants across northeastern North America. The American Naturalist 178:30–43. https://doi.org/10.1086/660295</w:t>
      </w:r>
    </w:p>
    <w:p w14:paraId="3B6BB3D1" w14:textId="77777777" w:rsidR="00442A82" w:rsidRPr="00442A82" w:rsidRDefault="00442A82" w:rsidP="00442A82">
      <w:pPr>
        <w:pStyle w:val="Bibliography"/>
      </w:pPr>
      <w:r w:rsidRPr="00442A82">
        <w:t>Merow C, Latimer AM, Wilson AM, et al (2014) On using integral projection models to generate demographically driven predictions of species’ distributions: development and validation using sparse data. Ecography 37:1167–1183. https://doi.org/10.1111/ecog.00839</w:t>
      </w:r>
    </w:p>
    <w:p w14:paraId="2DDE2342" w14:textId="77777777" w:rsidR="00442A82" w:rsidRPr="00442A82" w:rsidRDefault="00442A82" w:rsidP="00442A82">
      <w:pPr>
        <w:pStyle w:val="Bibliography"/>
      </w:pPr>
      <w:r w:rsidRPr="00442A82">
        <w:t>Merow C, Smith MJ, Silander Jr JA (2013) A practical guide to MaxEnt for modeling species’ distributions: what it does, and why inputs and settings matter. Ecography 36:1058–1069. https://doi.org/10.1111/j.1600-0587.2013.07872.x</w:t>
      </w:r>
    </w:p>
    <w:p w14:paraId="3DFB55A5" w14:textId="77777777" w:rsidR="00442A82" w:rsidRPr="00442A82" w:rsidRDefault="00442A82" w:rsidP="00442A82">
      <w:pPr>
        <w:pStyle w:val="Bibliography"/>
      </w:pPr>
      <w:r w:rsidRPr="00442A82">
        <w:t>Mills JE, Meyer GA, Reinartz JA (2012) An exotic invasive shrub has greater recruitment than native shrub species within a large undisturbed wetland. Plant Ecology 213:1425–1436</w:t>
      </w:r>
    </w:p>
    <w:p w14:paraId="6E117D65" w14:textId="77777777" w:rsidR="00442A82" w:rsidRPr="00442A82" w:rsidRDefault="00442A82" w:rsidP="00442A82">
      <w:pPr>
        <w:pStyle w:val="Bibliography"/>
      </w:pPr>
      <w:r w:rsidRPr="00442A82">
        <w:t>Mills JE, Reinartz JA, Meyer GA, Young EB (2009) Exotic shrub invasion in an undisturbed wetland has little community-level effect over a 15-year period. Biological Invasions 11:1803–1820. https://doi.org/10.1007/s10530-008-9359-2</w:t>
      </w:r>
    </w:p>
    <w:p w14:paraId="30047F75" w14:textId="77777777" w:rsidR="00442A82" w:rsidRPr="00442A82" w:rsidRDefault="00442A82" w:rsidP="00442A82">
      <w:pPr>
        <w:pStyle w:val="Bibliography"/>
      </w:pPr>
      <w:r w:rsidRPr="00442A82">
        <w:t>Mosher ES, Silander Jr JA, Latimer AM (2009) The role of land-use history in major invasions by woody plant species in the northeastern North American landscape. Biological Invasions 11:2317–2328. https://doi.org/10.1007/s10530-008-9418-8</w:t>
      </w:r>
    </w:p>
    <w:p w14:paraId="379A7768" w14:textId="77777777" w:rsidR="00442A82" w:rsidRPr="00442A82" w:rsidRDefault="00442A82" w:rsidP="00442A82">
      <w:pPr>
        <w:pStyle w:val="Bibliography"/>
      </w:pPr>
      <w:r w:rsidRPr="00442A82">
        <w:t>Nehrbass N, Winkler E, Müllerová J, et al (2006) A simulation model of plant invasion: long-distance dispersal determines the pattern of spread. Biological Invasions 9:383–395. https://doi.org/10.1007/s10530-006-9040-6</w:t>
      </w:r>
    </w:p>
    <w:p w14:paraId="3BE3AAB2" w14:textId="77777777" w:rsidR="00442A82" w:rsidRPr="00442A82" w:rsidRDefault="00442A82" w:rsidP="00442A82">
      <w:pPr>
        <w:pStyle w:val="Bibliography"/>
      </w:pPr>
      <w:r w:rsidRPr="00442A82">
        <w:lastRenderedPageBreak/>
        <w:t xml:space="preserve">Pardini EA, Drake JM, Chase JM, Knight TM (2009) Complex population dynamics and control of the invasive biennial </w:t>
      </w:r>
      <w:r w:rsidRPr="00442A82">
        <w:rPr>
          <w:i/>
          <w:iCs/>
        </w:rPr>
        <w:t>Alliaria petiolata</w:t>
      </w:r>
      <w:r w:rsidRPr="00442A82">
        <w:t xml:space="preserve"> (garlic mustard). Ecological Applications 19:387–397</w:t>
      </w:r>
    </w:p>
    <w:p w14:paraId="2818474E" w14:textId="77777777" w:rsidR="00442A82" w:rsidRPr="00442A82" w:rsidRDefault="00442A82" w:rsidP="00442A82">
      <w:pPr>
        <w:pStyle w:val="Bibliography"/>
      </w:pPr>
      <w:r w:rsidRPr="00442A82">
        <w:t>Pearson RG, Stanton JC, Shoemaker KT, et al (2014) Life history and spatial traits predict extinction risk due to climate change. Nature Climate Change 4:217–221. https://doi.org/10.1038/NCLIMATE2113</w:t>
      </w:r>
    </w:p>
    <w:p w14:paraId="4674509B" w14:textId="77777777" w:rsidR="00442A82" w:rsidRPr="00442A82" w:rsidRDefault="00442A82" w:rsidP="00442A82">
      <w:pPr>
        <w:pStyle w:val="Bibliography"/>
      </w:pPr>
      <w:r w:rsidRPr="00442A82">
        <w:t>Peterson AT, Soberón J, Pearson RG, et al (2011) Ecological niches and geographic distributions (MPB-49). Princeton University Press, Princeton</w:t>
      </w:r>
    </w:p>
    <w:p w14:paraId="774518E8" w14:textId="77777777" w:rsidR="00442A82" w:rsidRPr="00442A82" w:rsidRDefault="00442A82" w:rsidP="00442A82">
      <w:pPr>
        <w:pStyle w:val="Bibliography"/>
      </w:pPr>
      <w:r w:rsidRPr="00442A82">
        <w:t>Phillips SJ, Anderson RP, Schapire RE (2006) Maximum entropy modeling of species geographic distributions. Ecological Modelling 190:231–259. https://doi.org/10.1016/j.ecolmodel.2005.03.026</w:t>
      </w:r>
    </w:p>
    <w:p w14:paraId="30D96AE0" w14:textId="77777777" w:rsidR="00442A82" w:rsidRPr="00442A82" w:rsidRDefault="00442A82" w:rsidP="00442A82">
      <w:pPr>
        <w:pStyle w:val="Bibliography"/>
      </w:pPr>
      <w:r w:rsidRPr="00442A82">
        <w:t>Phillips SJ, Dudík M (2008) Modeling of species distributions with Maxent: new extensions and a comprehensive evaluation. Ecography 31:161–175. https://doi.org/10.1111/j.2007.0906-7590.05203.x</w:t>
      </w:r>
    </w:p>
    <w:p w14:paraId="1FE5F11D" w14:textId="77777777" w:rsidR="00442A82" w:rsidRPr="00442A82" w:rsidRDefault="00442A82" w:rsidP="00442A82">
      <w:pPr>
        <w:pStyle w:val="Bibliography"/>
      </w:pPr>
      <w:r w:rsidRPr="00442A82">
        <w:t xml:space="preserve">Possessky SL, Williams CE, Moriarity WJ (2000) Glossy buckthorn, </w:t>
      </w:r>
      <w:r w:rsidRPr="00442A82">
        <w:rPr>
          <w:i/>
          <w:iCs/>
        </w:rPr>
        <w:t>Rhamnus frangula</w:t>
      </w:r>
      <w:r w:rsidRPr="00442A82">
        <w:t xml:space="preserve"> L.: A threat to riparian plant communities of the northern Allegheny Plateau (USA). Natural Areas Journal 20:290–292</w:t>
      </w:r>
    </w:p>
    <w:p w14:paraId="535FA1ED" w14:textId="77777777" w:rsidR="00442A82" w:rsidRPr="00442A82" w:rsidRDefault="00442A82" w:rsidP="00442A82">
      <w:pPr>
        <w:pStyle w:val="Bibliography"/>
      </w:pPr>
      <w:r w:rsidRPr="00442A82">
        <w:t>Prowse TAA, Johnson CN, Lacy RC, et al (2013) No need for disease: Testing extinction hypotheses for the thylacine using multi-species metamodels. Journal of Animal Ecology 82:355–364. https://doi.org/10.1111/1365-2656.12029</w:t>
      </w:r>
    </w:p>
    <w:p w14:paraId="16D3EA60" w14:textId="77777777" w:rsidR="00442A82" w:rsidRPr="00442A82" w:rsidRDefault="00442A82" w:rsidP="00442A82">
      <w:pPr>
        <w:pStyle w:val="Bibliography"/>
      </w:pPr>
      <w:r w:rsidRPr="00442A82">
        <w:t>Pyšek P, Hulme PE (2005) Spatio-temporal dynamics of plant invasions: linking pattern to process. Ecoscience 12:302–315</w:t>
      </w:r>
    </w:p>
    <w:p w14:paraId="5AD32038" w14:textId="77777777" w:rsidR="00442A82" w:rsidRPr="00442A82" w:rsidRDefault="00442A82" w:rsidP="00442A82">
      <w:pPr>
        <w:pStyle w:val="Bibliography"/>
      </w:pPr>
      <w:r w:rsidRPr="00442A82">
        <w:t>Ramula S, Buckley YM (2010) Management recommendations for short-lived weeds depend on model structure and explicit characterization of density dependence. Methods in Ecology and Evolution 1:158–167. https://doi.org/10.1111/j.2041-210X.2010.00022.x</w:t>
      </w:r>
    </w:p>
    <w:p w14:paraId="7087D8C9" w14:textId="77777777" w:rsidR="00442A82" w:rsidRPr="00442A82" w:rsidRDefault="00442A82" w:rsidP="00442A82">
      <w:pPr>
        <w:pStyle w:val="Bibliography"/>
      </w:pPr>
      <w:r w:rsidRPr="00442A82">
        <w:t>Ramula S, Knight TM, Burns JH, Buckley YM (2008) General guidelines for invasive plant management based on comparative demography of invasive and native plant populations. Journal of Applied Ecology 45:1124–1133. https://doi.org/10.1111/j.1365-2664.2008.01502.x</w:t>
      </w:r>
    </w:p>
    <w:p w14:paraId="26948C0F" w14:textId="77777777" w:rsidR="00442A82" w:rsidRPr="00442A82" w:rsidRDefault="00442A82" w:rsidP="00442A82">
      <w:pPr>
        <w:pStyle w:val="Bibliography"/>
      </w:pPr>
      <w:r w:rsidRPr="00442A82">
        <w:t>Rees M, Ellner SP (2009) Integral projection models for populations in temporally varying environments. Ecological Monographs 79:575–594</w:t>
      </w:r>
    </w:p>
    <w:p w14:paraId="2BCDEACD" w14:textId="77777777" w:rsidR="00442A82" w:rsidRPr="00442A82" w:rsidRDefault="00442A82" w:rsidP="00442A82">
      <w:pPr>
        <w:pStyle w:val="Bibliography"/>
      </w:pPr>
      <w:r w:rsidRPr="00442A82">
        <w:t>Sakai AK, Allendorf FW, Holt JS, et al (2001) The population biology of invasive species. Annual Review of Ecology and Systematics 32:305–332</w:t>
      </w:r>
    </w:p>
    <w:p w14:paraId="15B57BAA" w14:textId="77777777" w:rsidR="00442A82" w:rsidRPr="00442A82" w:rsidRDefault="00442A82" w:rsidP="00442A82">
      <w:pPr>
        <w:pStyle w:val="Bibliography"/>
      </w:pPr>
      <w:r w:rsidRPr="00442A82">
        <w:t>Searcy KB, Pucko C, McClelland D (2006) The distribution and habitat preferences of introduced species in the Mount Holyoke Range, Hampshire Co., Massachusetts. Rhodora 108:43–61. https://doi.org/10.3119/04-16.1</w:t>
      </w:r>
    </w:p>
    <w:p w14:paraId="6E55DD48" w14:textId="77777777" w:rsidR="00442A82" w:rsidRPr="00442A82" w:rsidRDefault="00442A82" w:rsidP="00442A82">
      <w:pPr>
        <w:pStyle w:val="Bibliography"/>
      </w:pPr>
      <w:r w:rsidRPr="00442A82">
        <w:lastRenderedPageBreak/>
        <w:t>Simberloff D (2009) The Role of Propagule Pressure in Biological Invasions. Annual Review of Ecology, Evolution, and Systematics 40:81–102. https://doi.org/10.1146/annurev.ecolsys.110308.120304</w:t>
      </w:r>
    </w:p>
    <w:p w14:paraId="6F16F9A8" w14:textId="77777777" w:rsidR="00442A82" w:rsidRPr="00442A82" w:rsidRDefault="00442A82" w:rsidP="00442A82">
      <w:pPr>
        <w:pStyle w:val="Bibliography"/>
      </w:pPr>
      <w:r w:rsidRPr="00442A82">
        <w:t>Stanton JC (2014) Present-day risk assessment would have predicted the extinction of the passenger pigeon (</w:t>
      </w:r>
      <w:r w:rsidRPr="00442A82">
        <w:rPr>
          <w:i/>
          <w:iCs/>
        </w:rPr>
        <w:t>Ectopistes migratorius</w:t>
      </w:r>
      <w:r w:rsidRPr="00442A82">
        <w:t>). Biological Conservation 180:11–20. https://doi.org/10.1016/j.biocon.2014.09.023</w:t>
      </w:r>
    </w:p>
    <w:p w14:paraId="5F748E73" w14:textId="77777777" w:rsidR="00442A82" w:rsidRPr="00442A82" w:rsidRDefault="00442A82" w:rsidP="00442A82">
      <w:pPr>
        <w:pStyle w:val="Bibliography"/>
      </w:pPr>
      <w:r w:rsidRPr="00442A82">
        <w:t>Sullivan MJP, Davies RG, Reino L, Franco AM a. (2012) Using dispersal information to model the species-environment relationship of spreading non-native species. Methods in Ecology and Evolution 3:870–879. https://doi.org/10.1111/j.2041-210X.2012.00219.x</w:t>
      </w:r>
    </w:p>
    <w:p w14:paraId="1589CBB0" w14:textId="77777777" w:rsidR="00442A82" w:rsidRPr="00442A82" w:rsidRDefault="00442A82" w:rsidP="00442A82">
      <w:pPr>
        <w:pStyle w:val="Bibliography"/>
      </w:pPr>
      <w:r w:rsidRPr="00442A82">
        <w:t>Syfert MM, Smith MJ, Coomes DA (2013) The effects of sampling bias and model complexity on the predictive performance of MaxEnt species distribution models. PLoS ONE 8:e55158. https://doi.org/10.1371/journal.pone.0055158</w:t>
      </w:r>
    </w:p>
    <w:p w14:paraId="6257E6B8" w14:textId="77777777" w:rsidR="00442A82" w:rsidRPr="00442A82" w:rsidRDefault="00442A82" w:rsidP="00442A82">
      <w:pPr>
        <w:pStyle w:val="Bibliography"/>
      </w:pPr>
      <w:r w:rsidRPr="00442A82">
        <w:t>Theoharides KA, Dukes JS (2007) Plant invasion across space and time: factors affecting nonindigenous species success during four stages of invasion. New Phytologist 176:256–273. https://doi.org/10.1111/j.1469-8137.2007.02207.x</w:t>
      </w:r>
    </w:p>
    <w:p w14:paraId="613AFB21" w14:textId="77777777" w:rsidR="00442A82" w:rsidRPr="00442A82" w:rsidRDefault="00442A82" w:rsidP="00442A82">
      <w:pPr>
        <w:pStyle w:val="Bibliography"/>
      </w:pPr>
      <w:r w:rsidRPr="00442A82">
        <w:t xml:space="preserve">Urban MC, Phillips BL, Skelly DK, Shine R (2007) The cane toad’s </w:t>
      </w:r>
      <w:r w:rsidRPr="00442A82">
        <w:rPr>
          <w:i/>
          <w:iCs/>
        </w:rPr>
        <w:t>(Chaunus [Bufo] marinus)</w:t>
      </w:r>
      <w:r w:rsidRPr="00442A82">
        <w:t xml:space="preserve"> increasing ability to invade Australia is revealed by a dynamically updated range model. Proceedings of the Royal Society B: Biological Sciences 274:1413–9. https://doi.org/10.1098/rspb.2007.0114</w:t>
      </w:r>
    </w:p>
    <w:p w14:paraId="2EC11C79" w14:textId="77777777" w:rsidR="00442A82" w:rsidRPr="00442A82" w:rsidRDefault="00442A82" w:rsidP="00442A82">
      <w:pPr>
        <w:pStyle w:val="Bibliography"/>
      </w:pPr>
      <w:r w:rsidRPr="00442A82">
        <w:t>VanDerWal J, Shoo LP, Johnson CN, Williams SE (2009) Abundance and the environmental niche: environmental suitability estimated from niche models predicts the upper limit of local abundance. The American Naturalist 174:282–91. https://doi.org/10.1086/600087</w:t>
      </w:r>
    </w:p>
    <w:p w14:paraId="416E0E9F" w14:textId="77777777" w:rsidR="00442A82" w:rsidRPr="00442A82" w:rsidRDefault="00442A82" w:rsidP="00442A82">
      <w:pPr>
        <w:pStyle w:val="Bibliography"/>
      </w:pPr>
      <w:r w:rsidRPr="00442A82">
        <w:t>Vindenes Y, Engen S, Saether B-E (2011) Integral projection models for finite populations in a stochastic environment. Ecology 92:1146–56. https://doi.org/10.1890/10-0500.1</w:t>
      </w:r>
    </w:p>
    <w:p w14:paraId="3633BA3C" w14:textId="77777777" w:rsidR="00442A82" w:rsidRPr="00442A82" w:rsidRDefault="00442A82" w:rsidP="00442A82">
      <w:pPr>
        <w:pStyle w:val="Bibliography"/>
      </w:pPr>
      <w:r w:rsidRPr="00442A82">
        <w:t>With K a. (2002) The Landscape Ecology of Invasive Spread. Conservation Biology 16:1192–1203. https://doi.org/10.1046/j.1523-1739.2002.01064.x</w:t>
      </w:r>
    </w:p>
    <w:p w14:paraId="797C6CC8" w14:textId="77777777" w:rsidR="00442A82" w:rsidRPr="00442A82" w:rsidRDefault="00442A82" w:rsidP="00442A82">
      <w:pPr>
        <w:pStyle w:val="Bibliography"/>
      </w:pPr>
      <w:r w:rsidRPr="00442A82">
        <w:t>With KA (2004) Assessing the risk of invasive spread in fragmented landscapes. Risk Analysis 24:803–815. https://doi.org/10.1111/j.0272-4332.2004.00480.x</w:t>
      </w:r>
    </w:p>
    <w:p w14:paraId="2BF83F7E" w14:textId="77777777" w:rsidR="00041BCD" w:rsidRDefault="00041BCD">
      <w:pPr>
        <w:spacing w:after="0"/>
        <w:rPr>
          <w:rFonts w:cs="Times New Roman"/>
          <w:b/>
        </w:rPr>
      </w:pPr>
      <w:r>
        <w:rPr>
          <w:rFonts w:cs="Times New Roman"/>
          <w:b/>
        </w:rPr>
        <w:br w:type="page"/>
      </w:r>
    </w:p>
    <w:p w14:paraId="4E4AE036" w14:textId="45E637D2" w:rsidR="0086771B" w:rsidRPr="004E10B9" w:rsidRDefault="0086771B" w:rsidP="0086771B">
      <w:pPr>
        <w:rPr>
          <w:rFonts w:cs="Times New Roman"/>
        </w:rPr>
      </w:pPr>
      <w:r w:rsidRPr="00141DC1">
        <w:rPr>
          <w:rFonts w:cs="Times New Roman"/>
          <w:b/>
        </w:rPr>
        <w:lastRenderedPageBreak/>
        <w:t>Table 1.</w:t>
      </w:r>
      <w:r w:rsidRPr="00141DC1">
        <w:rPr>
          <w:rFonts w:cs="Times New Roman"/>
        </w:rPr>
        <w:t xml:space="preserve"> Bioclimatic and environmental predictor variables </w:t>
      </w:r>
      <w:r>
        <w:rPr>
          <w:rFonts w:cs="Times New Roman"/>
        </w:rPr>
        <w:t xml:space="preserve">use in the </w:t>
      </w:r>
      <w:r w:rsidRPr="00141DC1">
        <w:rPr>
          <w:rFonts w:cs="Times New Roman"/>
        </w:rPr>
        <w:t xml:space="preserve">SDM of </w:t>
      </w:r>
      <w:r w:rsidRPr="00141DC1">
        <w:rPr>
          <w:rFonts w:cs="Times New Roman"/>
          <w:i/>
          <w:iCs/>
        </w:rPr>
        <w:t xml:space="preserve">F. </w:t>
      </w:r>
      <w:proofErr w:type="spellStart"/>
      <w:r w:rsidRPr="00141DC1">
        <w:rPr>
          <w:rFonts w:cs="Times New Roman"/>
          <w:i/>
          <w:iCs/>
        </w:rPr>
        <w:t>alnus</w:t>
      </w:r>
      <w:proofErr w:type="spellEnd"/>
      <w:r w:rsidRPr="00141DC1">
        <w:rPr>
          <w:rFonts w:cs="Times New Roman"/>
        </w:rPr>
        <w:t>.</w:t>
      </w:r>
      <w:r>
        <w:rPr>
          <w:rFonts w:cs="Times New Roman"/>
        </w:rPr>
        <w:t xml:space="preserve"> Dynamic variables listed first, followed by static variables. </w:t>
      </w:r>
    </w:p>
    <w:tbl>
      <w:tblPr>
        <w:tblStyle w:val="TableGrid"/>
        <w:tblW w:w="0" w:type="auto"/>
        <w:jc w:val="center"/>
        <w:tblLook w:val="00A0" w:firstRow="1" w:lastRow="0" w:firstColumn="1" w:lastColumn="0" w:noHBand="0" w:noVBand="0"/>
      </w:tblPr>
      <w:tblGrid>
        <w:gridCol w:w="2189"/>
        <w:gridCol w:w="1341"/>
        <w:gridCol w:w="2645"/>
        <w:gridCol w:w="3339"/>
      </w:tblGrid>
      <w:tr w:rsidR="0086771B" w:rsidRPr="00DD5377" w14:paraId="511BD31B" w14:textId="77777777" w:rsidTr="003F53EA">
        <w:trPr>
          <w:trHeight w:val="191"/>
          <w:jc w:val="center"/>
        </w:trPr>
        <w:tc>
          <w:tcPr>
            <w:tcW w:w="2189" w:type="dxa"/>
            <w:tcBorders>
              <w:top w:val="single" w:sz="4" w:space="0" w:color="auto"/>
              <w:left w:val="nil"/>
              <w:bottom w:val="single" w:sz="4" w:space="0" w:color="auto"/>
              <w:right w:val="nil"/>
            </w:tcBorders>
          </w:tcPr>
          <w:p w14:paraId="29885EA5" w14:textId="77777777" w:rsidR="0086771B" w:rsidRPr="00DD5377" w:rsidRDefault="0086771B" w:rsidP="003F53EA">
            <w:pPr>
              <w:spacing w:after="40"/>
              <w:rPr>
                <w:rFonts w:cs="Times New Roman"/>
                <w:sz w:val="22"/>
                <w:szCs w:val="22"/>
              </w:rPr>
            </w:pPr>
            <w:r w:rsidRPr="00DD5377">
              <w:rPr>
                <w:rFonts w:cs="Times New Roman"/>
                <w:sz w:val="22"/>
                <w:szCs w:val="22"/>
              </w:rPr>
              <w:t>Variable source or data Set</w:t>
            </w:r>
          </w:p>
        </w:tc>
        <w:tc>
          <w:tcPr>
            <w:tcW w:w="1341" w:type="dxa"/>
            <w:tcBorders>
              <w:top w:val="single" w:sz="4" w:space="0" w:color="auto"/>
              <w:left w:val="nil"/>
              <w:bottom w:val="single" w:sz="4" w:space="0" w:color="auto"/>
              <w:right w:val="nil"/>
            </w:tcBorders>
          </w:tcPr>
          <w:p w14:paraId="6FA3B069" w14:textId="77777777" w:rsidR="0086771B" w:rsidRPr="00DD5377" w:rsidRDefault="0086771B" w:rsidP="003F53EA">
            <w:pPr>
              <w:spacing w:after="40"/>
              <w:rPr>
                <w:rFonts w:cs="Times New Roman"/>
                <w:sz w:val="22"/>
                <w:szCs w:val="22"/>
              </w:rPr>
            </w:pPr>
            <w:r w:rsidRPr="00DD5377">
              <w:rPr>
                <w:rFonts w:cs="Times New Roman"/>
                <w:sz w:val="22"/>
                <w:szCs w:val="22"/>
              </w:rPr>
              <w:t>Variable Name</w:t>
            </w:r>
          </w:p>
        </w:tc>
        <w:tc>
          <w:tcPr>
            <w:tcW w:w="2645" w:type="dxa"/>
            <w:tcBorders>
              <w:top w:val="single" w:sz="4" w:space="0" w:color="auto"/>
              <w:left w:val="nil"/>
              <w:bottom w:val="single" w:sz="4" w:space="0" w:color="auto"/>
              <w:right w:val="nil"/>
            </w:tcBorders>
          </w:tcPr>
          <w:p w14:paraId="75B3AF7E" w14:textId="77777777" w:rsidR="0086771B" w:rsidRPr="00DD5377" w:rsidRDefault="0086771B" w:rsidP="003F53EA">
            <w:pPr>
              <w:spacing w:after="40"/>
              <w:rPr>
                <w:rFonts w:cs="Times New Roman"/>
                <w:sz w:val="22"/>
                <w:szCs w:val="22"/>
              </w:rPr>
            </w:pPr>
            <w:r w:rsidRPr="00DD5377">
              <w:rPr>
                <w:rFonts w:cs="Times New Roman"/>
                <w:sz w:val="22"/>
                <w:szCs w:val="22"/>
              </w:rPr>
              <w:t>Description</w:t>
            </w:r>
          </w:p>
        </w:tc>
        <w:tc>
          <w:tcPr>
            <w:tcW w:w="3339" w:type="dxa"/>
            <w:tcBorders>
              <w:top w:val="single" w:sz="4" w:space="0" w:color="auto"/>
              <w:left w:val="nil"/>
              <w:bottom w:val="single" w:sz="4" w:space="0" w:color="auto"/>
              <w:right w:val="nil"/>
            </w:tcBorders>
          </w:tcPr>
          <w:p w14:paraId="09605EA7" w14:textId="77777777" w:rsidR="0086771B" w:rsidRPr="00DD5377" w:rsidRDefault="0086771B" w:rsidP="003F53EA">
            <w:pPr>
              <w:spacing w:after="40"/>
              <w:rPr>
                <w:rFonts w:cs="Times New Roman"/>
                <w:sz w:val="22"/>
                <w:szCs w:val="22"/>
              </w:rPr>
            </w:pPr>
            <w:r w:rsidRPr="00DD5377">
              <w:rPr>
                <w:rFonts w:cs="Times New Roman"/>
                <w:sz w:val="22"/>
                <w:szCs w:val="22"/>
              </w:rPr>
              <w:t>Ecological Basis for Inclusion</w:t>
            </w:r>
          </w:p>
        </w:tc>
      </w:tr>
      <w:tr w:rsidR="0086771B" w:rsidRPr="00DD5377" w14:paraId="756A299C" w14:textId="77777777" w:rsidTr="003F53EA">
        <w:trPr>
          <w:trHeight w:val="372"/>
          <w:jc w:val="center"/>
        </w:trPr>
        <w:tc>
          <w:tcPr>
            <w:tcW w:w="2189" w:type="dxa"/>
            <w:tcBorders>
              <w:top w:val="single" w:sz="4" w:space="0" w:color="auto"/>
              <w:left w:val="nil"/>
              <w:bottom w:val="nil"/>
              <w:right w:val="nil"/>
            </w:tcBorders>
          </w:tcPr>
          <w:p w14:paraId="337E939E" w14:textId="77777777" w:rsidR="0086771B" w:rsidRPr="00DD5377" w:rsidRDefault="0086771B" w:rsidP="003F53EA">
            <w:pPr>
              <w:spacing w:after="40"/>
              <w:rPr>
                <w:rFonts w:cs="Times New Roman"/>
                <w:sz w:val="22"/>
                <w:szCs w:val="22"/>
              </w:rPr>
            </w:pPr>
            <w:r w:rsidRPr="00DD5377">
              <w:rPr>
                <w:rFonts w:cs="Times New Roman"/>
                <w:sz w:val="22"/>
                <w:szCs w:val="22"/>
              </w:rPr>
              <w:t xml:space="preserve">Natural Resources Canada International Climate Modeling Project </w:t>
            </w:r>
            <w:r w:rsidRPr="00910A69">
              <w:rPr>
                <w:rFonts w:cs="Times New Roman"/>
                <w:noProof/>
                <w:sz w:val="22"/>
                <w:szCs w:val="22"/>
              </w:rPr>
              <w:t>(McKenney et al. 2006, 2011)</w:t>
            </w:r>
          </w:p>
        </w:tc>
        <w:tc>
          <w:tcPr>
            <w:tcW w:w="1341" w:type="dxa"/>
            <w:tcBorders>
              <w:top w:val="nil"/>
              <w:left w:val="nil"/>
              <w:bottom w:val="nil"/>
              <w:right w:val="nil"/>
            </w:tcBorders>
          </w:tcPr>
          <w:p w14:paraId="19F1E1F4" w14:textId="77777777" w:rsidR="0086771B" w:rsidRPr="00DD5377" w:rsidRDefault="0086771B" w:rsidP="003F53EA">
            <w:pPr>
              <w:spacing w:after="40"/>
              <w:rPr>
                <w:rFonts w:cs="Times New Roman"/>
                <w:sz w:val="22"/>
                <w:szCs w:val="22"/>
              </w:rPr>
            </w:pPr>
            <w:r w:rsidRPr="00DD5377">
              <w:rPr>
                <w:rFonts w:cs="Times New Roman"/>
                <w:sz w:val="22"/>
                <w:szCs w:val="22"/>
              </w:rPr>
              <w:t>BIO4</w:t>
            </w:r>
          </w:p>
        </w:tc>
        <w:tc>
          <w:tcPr>
            <w:tcW w:w="2645" w:type="dxa"/>
            <w:tcBorders>
              <w:top w:val="nil"/>
              <w:left w:val="nil"/>
              <w:bottom w:val="nil"/>
              <w:right w:val="nil"/>
            </w:tcBorders>
          </w:tcPr>
          <w:p w14:paraId="6F76010A" w14:textId="77777777" w:rsidR="0086771B" w:rsidRPr="00DD5377" w:rsidRDefault="0086771B" w:rsidP="003F53EA">
            <w:pPr>
              <w:spacing w:after="40"/>
              <w:rPr>
                <w:rFonts w:cs="Times New Roman"/>
                <w:sz w:val="22"/>
                <w:szCs w:val="22"/>
              </w:rPr>
            </w:pPr>
            <w:r w:rsidRPr="00DD5377">
              <w:rPr>
                <w:rFonts w:cs="Times New Roman"/>
                <w:sz w:val="22"/>
                <w:szCs w:val="22"/>
              </w:rPr>
              <w:t>Temperature seasonality</w:t>
            </w:r>
          </w:p>
        </w:tc>
        <w:tc>
          <w:tcPr>
            <w:tcW w:w="3339" w:type="dxa"/>
            <w:tcBorders>
              <w:top w:val="single" w:sz="4" w:space="0" w:color="auto"/>
              <w:left w:val="nil"/>
              <w:bottom w:val="nil"/>
              <w:right w:val="nil"/>
            </w:tcBorders>
          </w:tcPr>
          <w:p w14:paraId="1D12CDB4" w14:textId="77777777" w:rsidR="0086771B" w:rsidRPr="00DD5377" w:rsidRDefault="0086771B" w:rsidP="003F53EA">
            <w:pPr>
              <w:spacing w:after="40"/>
              <w:rPr>
                <w:rFonts w:cs="Times New Roman"/>
                <w:sz w:val="22"/>
                <w:szCs w:val="22"/>
              </w:rPr>
            </w:pPr>
            <w:r w:rsidRPr="00DD5377">
              <w:rPr>
                <w:rFonts w:cs="Times New Roman"/>
                <w:sz w:val="22"/>
                <w:szCs w:val="22"/>
              </w:rPr>
              <w:t>Indicative of evenness of temperature throughout the year</w:t>
            </w:r>
          </w:p>
        </w:tc>
      </w:tr>
      <w:tr w:rsidR="0086771B" w:rsidRPr="00DD5377" w14:paraId="434D1CDA" w14:textId="77777777" w:rsidTr="003F53EA">
        <w:trPr>
          <w:trHeight w:val="115"/>
          <w:jc w:val="center"/>
        </w:trPr>
        <w:tc>
          <w:tcPr>
            <w:tcW w:w="2189" w:type="dxa"/>
            <w:tcBorders>
              <w:top w:val="nil"/>
              <w:left w:val="nil"/>
              <w:bottom w:val="nil"/>
              <w:right w:val="nil"/>
            </w:tcBorders>
          </w:tcPr>
          <w:p w14:paraId="04CB40DC" w14:textId="77777777" w:rsidR="0086771B" w:rsidRPr="00DD5377" w:rsidRDefault="0086771B" w:rsidP="003F53EA">
            <w:pPr>
              <w:spacing w:after="40"/>
              <w:rPr>
                <w:rFonts w:cs="Times New Roman"/>
                <w:sz w:val="22"/>
                <w:szCs w:val="22"/>
              </w:rPr>
            </w:pPr>
          </w:p>
        </w:tc>
        <w:tc>
          <w:tcPr>
            <w:tcW w:w="1341" w:type="dxa"/>
            <w:tcBorders>
              <w:top w:val="nil"/>
              <w:left w:val="nil"/>
              <w:bottom w:val="nil"/>
              <w:right w:val="nil"/>
            </w:tcBorders>
          </w:tcPr>
          <w:p w14:paraId="0483DCB7" w14:textId="77777777" w:rsidR="0086771B" w:rsidRPr="00DD5377" w:rsidRDefault="0086771B" w:rsidP="003F53EA">
            <w:pPr>
              <w:spacing w:after="40"/>
              <w:rPr>
                <w:rFonts w:cs="Times New Roman"/>
                <w:sz w:val="22"/>
                <w:szCs w:val="22"/>
              </w:rPr>
            </w:pPr>
            <w:r w:rsidRPr="00DD5377">
              <w:rPr>
                <w:rFonts w:cs="Times New Roman"/>
                <w:sz w:val="22"/>
                <w:szCs w:val="22"/>
              </w:rPr>
              <w:t>BIO5</w:t>
            </w:r>
          </w:p>
        </w:tc>
        <w:tc>
          <w:tcPr>
            <w:tcW w:w="2645" w:type="dxa"/>
            <w:tcBorders>
              <w:top w:val="nil"/>
              <w:left w:val="nil"/>
              <w:bottom w:val="nil"/>
              <w:right w:val="nil"/>
            </w:tcBorders>
          </w:tcPr>
          <w:p w14:paraId="51B71313" w14:textId="77777777" w:rsidR="0086771B" w:rsidRPr="00DD5377" w:rsidRDefault="0086771B" w:rsidP="003F53EA">
            <w:pPr>
              <w:spacing w:after="40"/>
              <w:rPr>
                <w:rFonts w:cs="Times New Roman"/>
                <w:sz w:val="22"/>
                <w:szCs w:val="22"/>
              </w:rPr>
            </w:pPr>
            <w:r w:rsidRPr="00DD5377">
              <w:rPr>
                <w:rFonts w:cs="Times New Roman"/>
                <w:sz w:val="22"/>
                <w:szCs w:val="22"/>
              </w:rPr>
              <w:t>Max temperature of warmest month</w:t>
            </w:r>
          </w:p>
        </w:tc>
        <w:tc>
          <w:tcPr>
            <w:tcW w:w="3339" w:type="dxa"/>
            <w:tcBorders>
              <w:top w:val="nil"/>
              <w:left w:val="nil"/>
              <w:bottom w:val="nil"/>
              <w:right w:val="nil"/>
            </w:tcBorders>
          </w:tcPr>
          <w:p w14:paraId="77639B63" w14:textId="77777777" w:rsidR="0086771B" w:rsidRPr="00DD5377" w:rsidRDefault="0086771B" w:rsidP="003F53EA">
            <w:pPr>
              <w:spacing w:after="40"/>
              <w:rPr>
                <w:rFonts w:cs="Times New Roman"/>
                <w:sz w:val="22"/>
                <w:szCs w:val="22"/>
              </w:rPr>
            </w:pPr>
            <w:r w:rsidRPr="00DD5377">
              <w:rPr>
                <w:rFonts w:cs="Times New Roman"/>
                <w:sz w:val="22"/>
                <w:szCs w:val="22"/>
              </w:rPr>
              <w:t>Indicative of plant heat tolerance</w:t>
            </w:r>
          </w:p>
        </w:tc>
      </w:tr>
      <w:tr w:rsidR="0086771B" w:rsidRPr="00DD5377" w14:paraId="1F1DD65F" w14:textId="77777777" w:rsidTr="003F53EA">
        <w:trPr>
          <w:trHeight w:val="115"/>
          <w:jc w:val="center"/>
        </w:trPr>
        <w:tc>
          <w:tcPr>
            <w:tcW w:w="2189" w:type="dxa"/>
            <w:tcBorders>
              <w:top w:val="nil"/>
              <w:left w:val="nil"/>
              <w:bottom w:val="nil"/>
              <w:right w:val="nil"/>
            </w:tcBorders>
          </w:tcPr>
          <w:p w14:paraId="0058A2A7" w14:textId="77777777" w:rsidR="0086771B" w:rsidRPr="00DD5377" w:rsidRDefault="0086771B" w:rsidP="003F53EA">
            <w:pPr>
              <w:spacing w:after="40"/>
              <w:rPr>
                <w:rFonts w:cs="Times New Roman"/>
                <w:sz w:val="22"/>
                <w:szCs w:val="22"/>
              </w:rPr>
            </w:pPr>
          </w:p>
        </w:tc>
        <w:tc>
          <w:tcPr>
            <w:tcW w:w="1341" w:type="dxa"/>
            <w:tcBorders>
              <w:top w:val="nil"/>
              <w:left w:val="nil"/>
              <w:bottom w:val="nil"/>
              <w:right w:val="nil"/>
            </w:tcBorders>
          </w:tcPr>
          <w:p w14:paraId="636490C5" w14:textId="77777777" w:rsidR="0086771B" w:rsidRPr="00DD5377" w:rsidRDefault="0086771B" w:rsidP="003F53EA">
            <w:pPr>
              <w:spacing w:after="40"/>
              <w:rPr>
                <w:rFonts w:cs="Times New Roman"/>
                <w:sz w:val="22"/>
                <w:szCs w:val="22"/>
              </w:rPr>
            </w:pPr>
            <w:r w:rsidRPr="00DD5377">
              <w:rPr>
                <w:rFonts w:cs="Times New Roman"/>
                <w:sz w:val="22"/>
                <w:szCs w:val="22"/>
              </w:rPr>
              <w:t>BIO6</w:t>
            </w:r>
          </w:p>
        </w:tc>
        <w:tc>
          <w:tcPr>
            <w:tcW w:w="2645" w:type="dxa"/>
            <w:tcBorders>
              <w:top w:val="nil"/>
              <w:left w:val="nil"/>
              <w:bottom w:val="nil"/>
              <w:right w:val="nil"/>
            </w:tcBorders>
          </w:tcPr>
          <w:p w14:paraId="2412C6F0" w14:textId="77777777" w:rsidR="0086771B" w:rsidRPr="00DD5377" w:rsidRDefault="0086771B" w:rsidP="003F53EA">
            <w:pPr>
              <w:spacing w:after="40"/>
              <w:rPr>
                <w:rFonts w:cs="Times New Roman"/>
                <w:sz w:val="22"/>
                <w:szCs w:val="22"/>
              </w:rPr>
            </w:pPr>
            <w:r w:rsidRPr="00DD5377">
              <w:rPr>
                <w:rFonts w:cs="Times New Roman"/>
                <w:sz w:val="22"/>
                <w:szCs w:val="22"/>
              </w:rPr>
              <w:t>Min temperature of coolest month</w:t>
            </w:r>
          </w:p>
        </w:tc>
        <w:tc>
          <w:tcPr>
            <w:tcW w:w="3339" w:type="dxa"/>
            <w:tcBorders>
              <w:top w:val="nil"/>
              <w:left w:val="nil"/>
              <w:bottom w:val="nil"/>
              <w:right w:val="nil"/>
            </w:tcBorders>
          </w:tcPr>
          <w:p w14:paraId="7F66A03A" w14:textId="77777777" w:rsidR="0086771B" w:rsidRPr="00DD5377" w:rsidRDefault="0086771B" w:rsidP="003F53EA">
            <w:pPr>
              <w:spacing w:after="40"/>
              <w:rPr>
                <w:rFonts w:cs="Times New Roman"/>
                <w:sz w:val="22"/>
                <w:szCs w:val="22"/>
              </w:rPr>
            </w:pPr>
            <w:r w:rsidRPr="00DD5377">
              <w:rPr>
                <w:rFonts w:cs="Times New Roman"/>
                <w:sz w:val="22"/>
                <w:szCs w:val="22"/>
              </w:rPr>
              <w:t>Indicative of plant cold tolerance (e.g., frost)</w:t>
            </w:r>
          </w:p>
        </w:tc>
      </w:tr>
      <w:tr w:rsidR="0086771B" w:rsidRPr="00DD5377" w14:paraId="5704B7D1" w14:textId="77777777" w:rsidTr="003F53EA">
        <w:trPr>
          <w:trHeight w:val="115"/>
          <w:jc w:val="center"/>
        </w:trPr>
        <w:tc>
          <w:tcPr>
            <w:tcW w:w="2189" w:type="dxa"/>
            <w:tcBorders>
              <w:top w:val="nil"/>
              <w:left w:val="nil"/>
              <w:bottom w:val="nil"/>
              <w:right w:val="nil"/>
            </w:tcBorders>
          </w:tcPr>
          <w:p w14:paraId="56B5B362" w14:textId="77777777" w:rsidR="0086771B" w:rsidRPr="00DD5377" w:rsidRDefault="0086771B" w:rsidP="003F53EA">
            <w:pPr>
              <w:spacing w:after="40"/>
              <w:rPr>
                <w:rFonts w:cs="Times New Roman"/>
                <w:sz w:val="22"/>
                <w:szCs w:val="22"/>
              </w:rPr>
            </w:pPr>
          </w:p>
        </w:tc>
        <w:tc>
          <w:tcPr>
            <w:tcW w:w="1341" w:type="dxa"/>
            <w:tcBorders>
              <w:top w:val="nil"/>
              <w:left w:val="nil"/>
              <w:bottom w:val="nil"/>
              <w:right w:val="nil"/>
            </w:tcBorders>
          </w:tcPr>
          <w:p w14:paraId="13AF8B46" w14:textId="77777777" w:rsidR="0086771B" w:rsidRPr="00DD5377" w:rsidRDefault="0086771B" w:rsidP="003F53EA">
            <w:pPr>
              <w:spacing w:after="40"/>
              <w:rPr>
                <w:rFonts w:cs="Times New Roman"/>
                <w:sz w:val="22"/>
                <w:szCs w:val="22"/>
              </w:rPr>
            </w:pPr>
            <w:r w:rsidRPr="00DD5377">
              <w:rPr>
                <w:rFonts w:cs="Times New Roman"/>
                <w:sz w:val="22"/>
                <w:szCs w:val="22"/>
              </w:rPr>
              <w:t>BIO12</w:t>
            </w:r>
          </w:p>
        </w:tc>
        <w:tc>
          <w:tcPr>
            <w:tcW w:w="2645" w:type="dxa"/>
            <w:tcBorders>
              <w:top w:val="nil"/>
              <w:left w:val="nil"/>
              <w:bottom w:val="nil"/>
              <w:right w:val="nil"/>
            </w:tcBorders>
          </w:tcPr>
          <w:p w14:paraId="507EB9A5" w14:textId="77777777" w:rsidR="0086771B" w:rsidRPr="00DD5377" w:rsidRDefault="0086771B" w:rsidP="003F53EA">
            <w:pPr>
              <w:spacing w:after="40"/>
              <w:rPr>
                <w:rFonts w:cs="Times New Roman"/>
                <w:sz w:val="22"/>
                <w:szCs w:val="22"/>
              </w:rPr>
            </w:pPr>
            <w:r w:rsidRPr="00DD5377">
              <w:rPr>
                <w:rFonts w:cs="Times New Roman"/>
                <w:sz w:val="22"/>
                <w:szCs w:val="22"/>
              </w:rPr>
              <w:t>Annual precipitation</w:t>
            </w:r>
          </w:p>
        </w:tc>
        <w:tc>
          <w:tcPr>
            <w:tcW w:w="3339" w:type="dxa"/>
            <w:tcBorders>
              <w:top w:val="nil"/>
              <w:left w:val="nil"/>
              <w:bottom w:val="nil"/>
              <w:right w:val="nil"/>
            </w:tcBorders>
          </w:tcPr>
          <w:p w14:paraId="28A4D824" w14:textId="77777777" w:rsidR="0086771B" w:rsidRPr="00DD5377" w:rsidRDefault="0086771B" w:rsidP="003F53EA">
            <w:pPr>
              <w:spacing w:after="40"/>
              <w:rPr>
                <w:rFonts w:cs="Times New Roman"/>
                <w:sz w:val="22"/>
                <w:szCs w:val="22"/>
              </w:rPr>
            </w:pPr>
            <w:r w:rsidRPr="00DD5377">
              <w:rPr>
                <w:rFonts w:cs="Times New Roman"/>
                <w:sz w:val="22"/>
                <w:szCs w:val="22"/>
              </w:rPr>
              <w:t>Proxy for total water input into a region and general plant moisture requirements</w:t>
            </w:r>
          </w:p>
        </w:tc>
      </w:tr>
      <w:tr w:rsidR="0086771B" w:rsidRPr="00DD5377" w14:paraId="34D96D55" w14:textId="77777777" w:rsidTr="003F53EA">
        <w:trPr>
          <w:trHeight w:val="115"/>
          <w:jc w:val="center"/>
        </w:trPr>
        <w:tc>
          <w:tcPr>
            <w:tcW w:w="2189" w:type="dxa"/>
            <w:tcBorders>
              <w:top w:val="nil"/>
              <w:left w:val="nil"/>
              <w:bottom w:val="nil"/>
              <w:right w:val="nil"/>
            </w:tcBorders>
          </w:tcPr>
          <w:p w14:paraId="6B0CA57D" w14:textId="77777777" w:rsidR="0086771B" w:rsidRPr="00DD5377" w:rsidRDefault="0086771B" w:rsidP="003F53EA">
            <w:pPr>
              <w:spacing w:after="40"/>
              <w:rPr>
                <w:rFonts w:cs="Times New Roman"/>
                <w:sz w:val="22"/>
                <w:szCs w:val="22"/>
              </w:rPr>
            </w:pPr>
          </w:p>
        </w:tc>
        <w:tc>
          <w:tcPr>
            <w:tcW w:w="1341" w:type="dxa"/>
            <w:tcBorders>
              <w:top w:val="nil"/>
              <w:left w:val="nil"/>
              <w:bottom w:val="nil"/>
              <w:right w:val="nil"/>
            </w:tcBorders>
          </w:tcPr>
          <w:p w14:paraId="5F35A112" w14:textId="77777777" w:rsidR="0086771B" w:rsidRPr="00DD5377" w:rsidRDefault="0086771B" w:rsidP="003F53EA">
            <w:pPr>
              <w:spacing w:after="40"/>
              <w:rPr>
                <w:rFonts w:cs="Times New Roman"/>
                <w:sz w:val="22"/>
                <w:szCs w:val="22"/>
              </w:rPr>
            </w:pPr>
            <w:r w:rsidRPr="00DD5377">
              <w:rPr>
                <w:rFonts w:cs="Times New Roman"/>
                <w:sz w:val="22"/>
                <w:szCs w:val="22"/>
              </w:rPr>
              <w:t>BIO15</w:t>
            </w:r>
          </w:p>
        </w:tc>
        <w:tc>
          <w:tcPr>
            <w:tcW w:w="2645" w:type="dxa"/>
            <w:tcBorders>
              <w:top w:val="nil"/>
              <w:left w:val="nil"/>
              <w:bottom w:val="nil"/>
              <w:right w:val="nil"/>
            </w:tcBorders>
          </w:tcPr>
          <w:p w14:paraId="277128B3" w14:textId="77777777" w:rsidR="0086771B" w:rsidRPr="00DD5377" w:rsidRDefault="0086771B" w:rsidP="003F53EA">
            <w:pPr>
              <w:spacing w:after="40"/>
              <w:rPr>
                <w:rFonts w:cs="Times New Roman"/>
                <w:sz w:val="22"/>
                <w:szCs w:val="22"/>
              </w:rPr>
            </w:pPr>
            <w:r w:rsidRPr="00DD5377">
              <w:rPr>
                <w:rFonts w:cs="Times New Roman"/>
                <w:sz w:val="22"/>
                <w:szCs w:val="22"/>
              </w:rPr>
              <w:t>Precipitation seasonality</w:t>
            </w:r>
          </w:p>
        </w:tc>
        <w:tc>
          <w:tcPr>
            <w:tcW w:w="3339" w:type="dxa"/>
            <w:tcBorders>
              <w:top w:val="nil"/>
              <w:left w:val="nil"/>
              <w:bottom w:val="nil"/>
              <w:right w:val="nil"/>
            </w:tcBorders>
          </w:tcPr>
          <w:p w14:paraId="3B3329DA" w14:textId="77777777" w:rsidR="0086771B" w:rsidRPr="00DD5377" w:rsidRDefault="0086771B" w:rsidP="003F53EA">
            <w:pPr>
              <w:spacing w:after="40"/>
              <w:rPr>
                <w:rFonts w:cs="Times New Roman"/>
                <w:sz w:val="22"/>
                <w:szCs w:val="22"/>
              </w:rPr>
            </w:pPr>
            <w:r w:rsidRPr="00DD5377">
              <w:rPr>
                <w:rFonts w:cs="Times New Roman"/>
                <w:sz w:val="22"/>
                <w:szCs w:val="22"/>
              </w:rPr>
              <w:t>Indicative of evenness of rainfall throughout the year</w:t>
            </w:r>
          </w:p>
        </w:tc>
      </w:tr>
      <w:tr w:rsidR="0086771B" w:rsidRPr="00DD5377" w14:paraId="41333B38" w14:textId="77777777" w:rsidTr="003F53EA">
        <w:trPr>
          <w:trHeight w:val="115"/>
          <w:jc w:val="center"/>
        </w:trPr>
        <w:tc>
          <w:tcPr>
            <w:tcW w:w="2189" w:type="dxa"/>
            <w:tcBorders>
              <w:top w:val="nil"/>
              <w:left w:val="nil"/>
              <w:bottom w:val="nil"/>
              <w:right w:val="nil"/>
            </w:tcBorders>
          </w:tcPr>
          <w:p w14:paraId="14442741" w14:textId="77777777" w:rsidR="0086771B" w:rsidRPr="00DD5377" w:rsidRDefault="0086771B" w:rsidP="003F53EA">
            <w:pPr>
              <w:spacing w:after="40"/>
              <w:rPr>
                <w:rFonts w:cs="Times New Roman"/>
                <w:sz w:val="22"/>
                <w:szCs w:val="22"/>
              </w:rPr>
            </w:pPr>
          </w:p>
        </w:tc>
        <w:tc>
          <w:tcPr>
            <w:tcW w:w="1341" w:type="dxa"/>
            <w:tcBorders>
              <w:top w:val="nil"/>
              <w:left w:val="nil"/>
              <w:bottom w:val="nil"/>
              <w:right w:val="nil"/>
            </w:tcBorders>
          </w:tcPr>
          <w:p w14:paraId="15A2A622" w14:textId="77777777" w:rsidR="0086771B" w:rsidRPr="00DD5377" w:rsidRDefault="0086771B" w:rsidP="003F53EA">
            <w:pPr>
              <w:spacing w:after="40"/>
              <w:rPr>
                <w:rFonts w:cs="Times New Roman"/>
                <w:sz w:val="22"/>
                <w:szCs w:val="22"/>
              </w:rPr>
            </w:pPr>
            <w:r w:rsidRPr="00DD5377">
              <w:rPr>
                <w:rFonts w:cs="Times New Roman"/>
                <w:sz w:val="22"/>
                <w:szCs w:val="22"/>
              </w:rPr>
              <w:t>BIO18</w:t>
            </w:r>
          </w:p>
        </w:tc>
        <w:tc>
          <w:tcPr>
            <w:tcW w:w="2645" w:type="dxa"/>
            <w:tcBorders>
              <w:top w:val="nil"/>
              <w:left w:val="nil"/>
              <w:bottom w:val="nil"/>
              <w:right w:val="nil"/>
            </w:tcBorders>
          </w:tcPr>
          <w:p w14:paraId="1BCC1EB3" w14:textId="77777777" w:rsidR="0086771B" w:rsidRPr="00DD5377" w:rsidRDefault="0086771B" w:rsidP="003F53EA">
            <w:pPr>
              <w:spacing w:after="40"/>
              <w:rPr>
                <w:rFonts w:cs="Times New Roman"/>
                <w:sz w:val="22"/>
                <w:szCs w:val="22"/>
              </w:rPr>
            </w:pPr>
            <w:r w:rsidRPr="00DD5377">
              <w:rPr>
                <w:rFonts w:cs="Times New Roman"/>
                <w:sz w:val="22"/>
                <w:szCs w:val="22"/>
              </w:rPr>
              <w:t>Precipitation of the warmest quarter</w:t>
            </w:r>
          </w:p>
        </w:tc>
        <w:tc>
          <w:tcPr>
            <w:tcW w:w="3339" w:type="dxa"/>
            <w:tcBorders>
              <w:top w:val="nil"/>
              <w:left w:val="nil"/>
              <w:bottom w:val="nil"/>
              <w:right w:val="nil"/>
            </w:tcBorders>
          </w:tcPr>
          <w:p w14:paraId="00C28349" w14:textId="77777777" w:rsidR="0086771B" w:rsidRPr="00DD5377" w:rsidRDefault="0086771B" w:rsidP="003F53EA">
            <w:pPr>
              <w:spacing w:after="40"/>
              <w:rPr>
                <w:rFonts w:cs="Times New Roman"/>
                <w:sz w:val="22"/>
                <w:szCs w:val="22"/>
              </w:rPr>
            </w:pPr>
            <w:r w:rsidRPr="00DD5377">
              <w:rPr>
                <w:rFonts w:cs="Times New Roman"/>
                <w:sz w:val="22"/>
                <w:szCs w:val="22"/>
              </w:rPr>
              <w:t>Indicative of plant drought tolerance</w:t>
            </w:r>
          </w:p>
        </w:tc>
      </w:tr>
      <w:tr w:rsidR="0086771B" w:rsidRPr="00DD5377" w14:paraId="033D8ED3" w14:textId="77777777" w:rsidTr="003F53EA">
        <w:trPr>
          <w:trHeight w:val="115"/>
          <w:jc w:val="center"/>
        </w:trPr>
        <w:tc>
          <w:tcPr>
            <w:tcW w:w="2189" w:type="dxa"/>
            <w:tcBorders>
              <w:top w:val="nil"/>
              <w:left w:val="nil"/>
              <w:bottom w:val="nil"/>
              <w:right w:val="nil"/>
            </w:tcBorders>
          </w:tcPr>
          <w:p w14:paraId="6573B9EB" w14:textId="77777777" w:rsidR="0086771B" w:rsidRPr="00DD5377" w:rsidRDefault="0086771B" w:rsidP="003F53EA">
            <w:pPr>
              <w:spacing w:after="40"/>
              <w:rPr>
                <w:rFonts w:cs="Times New Roman"/>
                <w:sz w:val="22"/>
                <w:szCs w:val="22"/>
              </w:rPr>
            </w:pPr>
          </w:p>
        </w:tc>
        <w:tc>
          <w:tcPr>
            <w:tcW w:w="1341" w:type="dxa"/>
            <w:tcBorders>
              <w:top w:val="nil"/>
              <w:left w:val="nil"/>
              <w:bottom w:val="nil"/>
              <w:right w:val="nil"/>
            </w:tcBorders>
          </w:tcPr>
          <w:p w14:paraId="23B06B3A" w14:textId="77777777" w:rsidR="0086771B" w:rsidRPr="00DD5377" w:rsidRDefault="0086771B" w:rsidP="003F53EA">
            <w:pPr>
              <w:spacing w:after="40"/>
              <w:rPr>
                <w:rFonts w:cs="Times New Roman"/>
                <w:sz w:val="22"/>
                <w:szCs w:val="22"/>
              </w:rPr>
            </w:pPr>
            <w:r w:rsidRPr="00DD5377">
              <w:rPr>
                <w:rFonts w:cs="Times New Roman"/>
                <w:sz w:val="22"/>
                <w:szCs w:val="22"/>
              </w:rPr>
              <w:t>BIO19</w:t>
            </w:r>
          </w:p>
        </w:tc>
        <w:tc>
          <w:tcPr>
            <w:tcW w:w="2645" w:type="dxa"/>
            <w:tcBorders>
              <w:top w:val="nil"/>
              <w:left w:val="nil"/>
              <w:bottom w:val="nil"/>
              <w:right w:val="nil"/>
            </w:tcBorders>
          </w:tcPr>
          <w:p w14:paraId="420E5767" w14:textId="77777777" w:rsidR="0086771B" w:rsidRPr="00DD5377" w:rsidRDefault="0086771B" w:rsidP="003F53EA">
            <w:pPr>
              <w:spacing w:after="40"/>
              <w:rPr>
                <w:rFonts w:cs="Times New Roman"/>
                <w:sz w:val="22"/>
                <w:szCs w:val="22"/>
              </w:rPr>
            </w:pPr>
            <w:r w:rsidRPr="00DD5377">
              <w:rPr>
                <w:rFonts w:cs="Times New Roman"/>
                <w:sz w:val="22"/>
                <w:szCs w:val="22"/>
              </w:rPr>
              <w:t>Precipitation of the coldest quarter</w:t>
            </w:r>
          </w:p>
        </w:tc>
        <w:tc>
          <w:tcPr>
            <w:tcW w:w="3339" w:type="dxa"/>
            <w:tcBorders>
              <w:top w:val="nil"/>
              <w:left w:val="nil"/>
              <w:bottom w:val="nil"/>
              <w:right w:val="nil"/>
            </w:tcBorders>
          </w:tcPr>
          <w:p w14:paraId="3B3BE143" w14:textId="77777777" w:rsidR="0086771B" w:rsidRPr="00DD5377" w:rsidRDefault="0086771B" w:rsidP="003F53EA">
            <w:pPr>
              <w:spacing w:after="40"/>
              <w:rPr>
                <w:rFonts w:cs="Times New Roman"/>
                <w:sz w:val="22"/>
                <w:szCs w:val="22"/>
              </w:rPr>
            </w:pPr>
            <w:r w:rsidRPr="00DD5377">
              <w:rPr>
                <w:rFonts w:cs="Times New Roman"/>
                <w:sz w:val="22"/>
                <w:szCs w:val="22"/>
              </w:rPr>
              <w:t xml:space="preserve">Proxy for effects of snow pack, potentially important of </w:t>
            </w:r>
            <w:r w:rsidRPr="00DD5377">
              <w:rPr>
                <w:rFonts w:cs="Times New Roman"/>
                <w:i/>
                <w:sz w:val="22"/>
                <w:szCs w:val="22"/>
              </w:rPr>
              <w:t xml:space="preserve">F. </w:t>
            </w:r>
            <w:proofErr w:type="spellStart"/>
            <w:r w:rsidRPr="00DD5377">
              <w:rPr>
                <w:rFonts w:cs="Times New Roman"/>
                <w:i/>
                <w:sz w:val="22"/>
                <w:szCs w:val="22"/>
              </w:rPr>
              <w:t>alnus</w:t>
            </w:r>
            <w:proofErr w:type="spellEnd"/>
            <w:r w:rsidRPr="00DD5377">
              <w:rPr>
                <w:rFonts w:cs="Times New Roman"/>
                <w:sz w:val="22"/>
                <w:szCs w:val="22"/>
              </w:rPr>
              <w:t xml:space="preserve"> growth at northern edge of species range</w:t>
            </w:r>
          </w:p>
        </w:tc>
      </w:tr>
      <w:tr w:rsidR="0086771B" w:rsidRPr="00DD5377" w14:paraId="3DE832B5" w14:textId="77777777" w:rsidTr="003F53EA">
        <w:trPr>
          <w:trHeight w:val="115"/>
          <w:jc w:val="center"/>
        </w:trPr>
        <w:tc>
          <w:tcPr>
            <w:tcW w:w="2189" w:type="dxa"/>
            <w:tcBorders>
              <w:top w:val="nil"/>
              <w:left w:val="nil"/>
              <w:bottom w:val="nil"/>
              <w:right w:val="nil"/>
            </w:tcBorders>
          </w:tcPr>
          <w:p w14:paraId="6B9CF311" w14:textId="77777777" w:rsidR="0086771B" w:rsidRPr="00DD5377" w:rsidRDefault="0086771B" w:rsidP="003F53EA">
            <w:pPr>
              <w:spacing w:after="40"/>
              <w:rPr>
                <w:rFonts w:cs="Times New Roman"/>
                <w:sz w:val="22"/>
                <w:szCs w:val="22"/>
              </w:rPr>
            </w:pPr>
          </w:p>
        </w:tc>
        <w:tc>
          <w:tcPr>
            <w:tcW w:w="1341" w:type="dxa"/>
            <w:tcBorders>
              <w:top w:val="nil"/>
              <w:left w:val="nil"/>
              <w:bottom w:val="nil"/>
              <w:right w:val="nil"/>
            </w:tcBorders>
          </w:tcPr>
          <w:p w14:paraId="7F25B8C7" w14:textId="77777777" w:rsidR="0086771B" w:rsidRPr="00DD5377" w:rsidRDefault="0086771B" w:rsidP="003F53EA">
            <w:pPr>
              <w:spacing w:after="40"/>
              <w:rPr>
                <w:rFonts w:cs="Times New Roman"/>
                <w:sz w:val="22"/>
                <w:szCs w:val="22"/>
              </w:rPr>
            </w:pPr>
            <w:r w:rsidRPr="00DD5377">
              <w:rPr>
                <w:rFonts w:cs="Times New Roman"/>
                <w:sz w:val="22"/>
                <w:szCs w:val="22"/>
              </w:rPr>
              <w:t>SG 2</w:t>
            </w:r>
          </w:p>
        </w:tc>
        <w:tc>
          <w:tcPr>
            <w:tcW w:w="2645" w:type="dxa"/>
            <w:tcBorders>
              <w:top w:val="nil"/>
              <w:left w:val="nil"/>
              <w:bottom w:val="nil"/>
              <w:right w:val="nil"/>
            </w:tcBorders>
          </w:tcPr>
          <w:p w14:paraId="652EA6E6" w14:textId="77777777" w:rsidR="0086771B" w:rsidRPr="00DD5377" w:rsidRDefault="0086771B" w:rsidP="003F53EA">
            <w:pPr>
              <w:spacing w:after="40"/>
              <w:rPr>
                <w:rFonts w:cs="Times New Roman"/>
                <w:sz w:val="22"/>
                <w:szCs w:val="22"/>
              </w:rPr>
            </w:pPr>
            <w:bookmarkStart w:id="7" w:name="OLE_LINK7"/>
            <w:bookmarkStart w:id="8" w:name="OLE_LINK8"/>
            <w:r w:rsidRPr="00DD5377">
              <w:rPr>
                <w:rFonts w:cs="Times New Roman"/>
                <w:sz w:val="22"/>
                <w:szCs w:val="22"/>
              </w:rPr>
              <w:t>Julian day number at start of growing season</w:t>
            </w:r>
            <w:bookmarkEnd w:id="7"/>
            <w:bookmarkEnd w:id="8"/>
          </w:p>
        </w:tc>
        <w:tc>
          <w:tcPr>
            <w:tcW w:w="3339" w:type="dxa"/>
            <w:tcBorders>
              <w:top w:val="nil"/>
              <w:left w:val="nil"/>
              <w:bottom w:val="nil"/>
              <w:right w:val="nil"/>
            </w:tcBorders>
          </w:tcPr>
          <w:p w14:paraId="49C5A217" w14:textId="77777777" w:rsidR="0086771B" w:rsidRPr="00DD5377" w:rsidRDefault="0086771B" w:rsidP="003F53EA">
            <w:pPr>
              <w:spacing w:after="40"/>
              <w:rPr>
                <w:rFonts w:cs="Times New Roman"/>
                <w:sz w:val="22"/>
                <w:szCs w:val="22"/>
              </w:rPr>
            </w:pPr>
          </w:p>
        </w:tc>
      </w:tr>
      <w:tr w:rsidR="0086771B" w:rsidRPr="00DD5377" w14:paraId="0C05AEAC" w14:textId="77777777" w:rsidTr="003F53EA">
        <w:trPr>
          <w:trHeight w:val="115"/>
          <w:jc w:val="center"/>
        </w:trPr>
        <w:tc>
          <w:tcPr>
            <w:tcW w:w="2189" w:type="dxa"/>
            <w:tcBorders>
              <w:top w:val="nil"/>
              <w:left w:val="nil"/>
              <w:bottom w:val="nil"/>
              <w:right w:val="nil"/>
            </w:tcBorders>
          </w:tcPr>
          <w:p w14:paraId="0FEE283E" w14:textId="77777777" w:rsidR="0086771B" w:rsidRPr="00DD5377" w:rsidRDefault="0086771B" w:rsidP="003F53EA">
            <w:pPr>
              <w:spacing w:after="40"/>
              <w:rPr>
                <w:rFonts w:cs="Times New Roman"/>
                <w:sz w:val="22"/>
                <w:szCs w:val="22"/>
              </w:rPr>
            </w:pPr>
          </w:p>
        </w:tc>
        <w:tc>
          <w:tcPr>
            <w:tcW w:w="1341" w:type="dxa"/>
            <w:tcBorders>
              <w:top w:val="nil"/>
              <w:left w:val="nil"/>
              <w:bottom w:val="nil"/>
              <w:right w:val="nil"/>
            </w:tcBorders>
          </w:tcPr>
          <w:p w14:paraId="3E8A87DF" w14:textId="77777777" w:rsidR="0086771B" w:rsidRPr="00DD5377" w:rsidRDefault="0086771B" w:rsidP="003F53EA">
            <w:pPr>
              <w:spacing w:after="40"/>
              <w:rPr>
                <w:rFonts w:cs="Times New Roman"/>
                <w:sz w:val="22"/>
                <w:szCs w:val="22"/>
              </w:rPr>
            </w:pPr>
            <w:r w:rsidRPr="00DD5377">
              <w:rPr>
                <w:rFonts w:cs="Times New Roman"/>
                <w:sz w:val="22"/>
                <w:szCs w:val="22"/>
              </w:rPr>
              <w:t>SG 3</w:t>
            </w:r>
          </w:p>
        </w:tc>
        <w:tc>
          <w:tcPr>
            <w:tcW w:w="2645" w:type="dxa"/>
            <w:tcBorders>
              <w:top w:val="nil"/>
              <w:left w:val="nil"/>
              <w:bottom w:val="nil"/>
              <w:right w:val="nil"/>
            </w:tcBorders>
          </w:tcPr>
          <w:p w14:paraId="638B5C70" w14:textId="77777777" w:rsidR="0086771B" w:rsidRPr="00DD5377" w:rsidRDefault="0086771B" w:rsidP="003F53EA">
            <w:pPr>
              <w:spacing w:after="40"/>
              <w:rPr>
                <w:rFonts w:cs="Times New Roman"/>
                <w:sz w:val="22"/>
                <w:szCs w:val="22"/>
              </w:rPr>
            </w:pPr>
            <w:r w:rsidRPr="00DD5377">
              <w:rPr>
                <w:rFonts w:cs="Times New Roman"/>
                <w:sz w:val="22"/>
                <w:szCs w:val="22"/>
              </w:rPr>
              <w:t>Julian day number at end of growing season</w:t>
            </w:r>
          </w:p>
        </w:tc>
        <w:tc>
          <w:tcPr>
            <w:tcW w:w="3339" w:type="dxa"/>
            <w:tcBorders>
              <w:top w:val="nil"/>
              <w:left w:val="nil"/>
              <w:bottom w:val="nil"/>
              <w:right w:val="nil"/>
            </w:tcBorders>
          </w:tcPr>
          <w:p w14:paraId="74661A23" w14:textId="77777777" w:rsidR="0086771B" w:rsidRPr="00DD5377" w:rsidRDefault="0086771B" w:rsidP="003F53EA">
            <w:pPr>
              <w:spacing w:after="40"/>
              <w:rPr>
                <w:rFonts w:cs="Times New Roman"/>
                <w:sz w:val="22"/>
                <w:szCs w:val="22"/>
              </w:rPr>
            </w:pPr>
          </w:p>
        </w:tc>
      </w:tr>
      <w:tr w:rsidR="0086771B" w:rsidRPr="00DD5377" w14:paraId="21EC52BE" w14:textId="77777777" w:rsidTr="003F53EA">
        <w:trPr>
          <w:trHeight w:val="115"/>
          <w:jc w:val="center"/>
        </w:trPr>
        <w:tc>
          <w:tcPr>
            <w:tcW w:w="2189" w:type="dxa"/>
            <w:tcBorders>
              <w:top w:val="nil"/>
              <w:left w:val="nil"/>
              <w:bottom w:val="single" w:sz="4" w:space="0" w:color="auto"/>
              <w:right w:val="nil"/>
            </w:tcBorders>
          </w:tcPr>
          <w:p w14:paraId="510ABCFF" w14:textId="77777777" w:rsidR="0086771B" w:rsidRPr="00DD5377" w:rsidRDefault="0086771B" w:rsidP="003F53EA">
            <w:pPr>
              <w:spacing w:after="40"/>
              <w:rPr>
                <w:rFonts w:cs="Times New Roman"/>
                <w:sz w:val="22"/>
                <w:szCs w:val="22"/>
              </w:rPr>
            </w:pPr>
          </w:p>
        </w:tc>
        <w:tc>
          <w:tcPr>
            <w:tcW w:w="1341" w:type="dxa"/>
            <w:tcBorders>
              <w:top w:val="nil"/>
              <w:left w:val="nil"/>
              <w:bottom w:val="single" w:sz="4" w:space="0" w:color="auto"/>
              <w:right w:val="nil"/>
            </w:tcBorders>
          </w:tcPr>
          <w:p w14:paraId="24016B8A" w14:textId="77777777" w:rsidR="0086771B" w:rsidRPr="00DD5377" w:rsidRDefault="0086771B" w:rsidP="003F53EA">
            <w:pPr>
              <w:spacing w:after="40"/>
              <w:rPr>
                <w:rFonts w:cs="Times New Roman"/>
                <w:sz w:val="22"/>
                <w:szCs w:val="22"/>
              </w:rPr>
            </w:pPr>
            <w:r w:rsidRPr="00DD5377">
              <w:rPr>
                <w:rFonts w:cs="Times New Roman"/>
                <w:sz w:val="22"/>
                <w:szCs w:val="22"/>
              </w:rPr>
              <w:t>SG 10</w:t>
            </w:r>
          </w:p>
        </w:tc>
        <w:tc>
          <w:tcPr>
            <w:tcW w:w="2645" w:type="dxa"/>
            <w:tcBorders>
              <w:top w:val="nil"/>
              <w:left w:val="nil"/>
              <w:bottom w:val="single" w:sz="4" w:space="0" w:color="auto"/>
              <w:right w:val="nil"/>
            </w:tcBorders>
          </w:tcPr>
          <w:p w14:paraId="65874BFF" w14:textId="77777777" w:rsidR="0086771B" w:rsidRPr="00DD5377" w:rsidRDefault="0086771B" w:rsidP="003F53EA">
            <w:pPr>
              <w:spacing w:after="40"/>
              <w:rPr>
                <w:rFonts w:cs="Times New Roman"/>
                <w:sz w:val="22"/>
                <w:szCs w:val="22"/>
              </w:rPr>
            </w:pPr>
            <w:r w:rsidRPr="00DD5377">
              <w:rPr>
                <w:rFonts w:cs="Times New Roman"/>
                <w:sz w:val="22"/>
                <w:szCs w:val="22"/>
              </w:rPr>
              <w:t>Growing Degree Days (above 5 C°)</w:t>
            </w:r>
          </w:p>
        </w:tc>
        <w:tc>
          <w:tcPr>
            <w:tcW w:w="3339" w:type="dxa"/>
            <w:tcBorders>
              <w:top w:val="nil"/>
              <w:left w:val="nil"/>
              <w:bottom w:val="single" w:sz="4" w:space="0" w:color="auto"/>
              <w:right w:val="nil"/>
            </w:tcBorders>
          </w:tcPr>
          <w:p w14:paraId="127B5EB0" w14:textId="77777777" w:rsidR="0086771B" w:rsidRPr="00DD5377" w:rsidRDefault="0086771B" w:rsidP="003F53EA">
            <w:pPr>
              <w:spacing w:after="40"/>
              <w:rPr>
                <w:rFonts w:cs="Times New Roman"/>
                <w:sz w:val="22"/>
                <w:szCs w:val="22"/>
              </w:rPr>
            </w:pPr>
            <w:r w:rsidRPr="00DD5377">
              <w:rPr>
                <w:rFonts w:cs="Times New Roman"/>
                <w:sz w:val="22"/>
                <w:szCs w:val="22"/>
              </w:rPr>
              <w:t>A measure of total growing time</w:t>
            </w:r>
          </w:p>
        </w:tc>
      </w:tr>
      <w:tr w:rsidR="0086771B" w:rsidRPr="00DD5377" w14:paraId="49B9C2D0" w14:textId="77777777" w:rsidTr="003F53EA">
        <w:trPr>
          <w:trHeight w:val="115"/>
          <w:jc w:val="center"/>
        </w:trPr>
        <w:tc>
          <w:tcPr>
            <w:tcW w:w="2189" w:type="dxa"/>
            <w:tcBorders>
              <w:top w:val="single" w:sz="4" w:space="0" w:color="auto"/>
              <w:left w:val="nil"/>
              <w:bottom w:val="nil"/>
              <w:right w:val="nil"/>
            </w:tcBorders>
          </w:tcPr>
          <w:p w14:paraId="022EFD79" w14:textId="77777777" w:rsidR="0086771B" w:rsidRPr="00DD5377" w:rsidRDefault="0086771B" w:rsidP="003F53EA">
            <w:pPr>
              <w:spacing w:after="40"/>
              <w:rPr>
                <w:rFonts w:cs="Times New Roman"/>
                <w:sz w:val="22"/>
                <w:szCs w:val="22"/>
              </w:rPr>
            </w:pPr>
            <w:r w:rsidRPr="00DD5377">
              <w:rPr>
                <w:rFonts w:cs="Times New Roman"/>
                <w:sz w:val="22"/>
                <w:szCs w:val="22"/>
              </w:rPr>
              <w:t xml:space="preserve">Historic Land Use </w:t>
            </w:r>
            <w:r w:rsidRPr="00910A69">
              <w:rPr>
                <w:rFonts w:cs="Times New Roman"/>
                <w:noProof/>
                <w:sz w:val="22"/>
                <w:szCs w:val="22"/>
              </w:rPr>
              <w:t>(Klein Goldewijk et al. 2010)</w:t>
            </w:r>
          </w:p>
        </w:tc>
        <w:tc>
          <w:tcPr>
            <w:tcW w:w="1341" w:type="dxa"/>
            <w:tcBorders>
              <w:top w:val="single" w:sz="4" w:space="0" w:color="auto"/>
              <w:left w:val="nil"/>
              <w:bottom w:val="nil"/>
              <w:right w:val="nil"/>
            </w:tcBorders>
          </w:tcPr>
          <w:p w14:paraId="5FBEB225" w14:textId="77777777" w:rsidR="0086771B" w:rsidRPr="00DD5377" w:rsidRDefault="0086771B" w:rsidP="003F53EA">
            <w:pPr>
              <w:spacing w:after="40"/>
              <w:rPr>
                <w:rFonts w:cs="Times New Roman"/>
                <w:sz w:val="22"/>
                <w:szCs w:val="22"/>
              </w:rPr>
            </w:pPr>
            <w:r w:rsidRPr="00DD5377">
              <w:rPr>
                <w:rFonts w:cs="Times New Roman"/>
                <w:sz w:val="22"/>
                <w:szCs w:val="22"/>
              </w:rPr>
              <w:t>Crop</w:t>
            </w:r>
          </w:p>
        </w:tc>
        <w:tc>
          <w:tcPr>
            <w:tcW w:w="2645" w:type="dxa"/>
            <w:tcBorders>
              <w:top w:val="single" w:sz="4" w:space="0" w:color="auto"/>
              <w:left w:val="nil"/>
              <w:bottom w:val="nil"/>
              <w:right w:val="nil"/>
            </w:tcBorders>
          </w:tcPr>
          <w:p w14:paraId="31C50F36" w14:textId="77777777" w:rsidR="0086771B" w:rsidRPr="00DD5377" w:rsidRDefault="0086771B" w:rsidP="003F53EA">
            <w:pPr>
              <w:spacing w:after="40"/>
              <w:rPr>
                <w:rFonts w:cs="Times New Roman"/>
                <w:sz w:val="22"/>
                <w:szCs w:val="22"/>
              </w:rPr>
            </w:pPr>
            <w:r w:rsidRPr="00DD5377">
              <w:rPr>
                <w:rFonts w:cs="Times New Roman"/>
                <w:sz w:val="22"/>
                <w:szCs w:val="22"/>
              </w:rPr>
              <w:t>Percent crop cover</w:t>
            </w:r>
          </w:p>
        </w:tc>
        <w:tc>
          <w:tcPr>
            <w:tcW w:w="3339" w:type="dxa"/>
            <w:tcBorders>
              <w:top w:val="single" w:sz="4" w:space="0" w:color="auto"/>
              <w:left w:val="nil"/>
              <w:bottom w:val="nil"/>
              <w:right w:val="nil"/>
            </w:tcBorders>
          </w:tcPr>
          <w:p w14:paraId="6FE545F5" w14:textId="77777777" w:rsidR="0086771B" w:rsidRPr="00DD5377" w:rsidRDefault="0086771B" w:rsidP="003F53EA">
            <w:pPr>
              <w:spacing w:after="40"/>
              <w:rPr>
                <w:rFonts w:cs="Times New Roman"/>
                <w:sz w:val="22"/>
                <w:szCs w:val="22"/>
              </w:rPr>
            </w:pPr>
            <w:r w:rsidRPr="00DD5377">
              <w:rPr>
                <w:rFonts w:cs="Times New Roman"/>
                <w:sz w:val="22"/>
                <w:szCs w:val="22"/>
              </w:rPr>
              <w:t xml:space="preserve">Proxies for land use and land disturbance </w:t>
            </w:r>
          </w:p>
        </w:tc>
      </w:tr>
      <w:tr w:rsidR="0086771B" w:rsidRPr="00DD5377" w14:paraId="1CD2141C" w14:textId="77777777" w:rsidTr="003F53EA">
        <w:trPr>
          <w:trHeight w:val="115"/>
          <w:jc w:val="center"/>
        </w:trPr>
        <w:tc>
          <w:tcPr>
            <w:tcW w:w="2189" w:type="dxa"/>
            <w:tcBorders>
              <w:top w:val="nil"/>
              <w:left w:val="nil"/>
              <w:bottom w:val="single" w:sz="4" w:space="0" w:color="auto"/>
              <w:right w:val="nil"/>
            </w:tcBorders>
          </w:tcPr>
          <w:p w14:paraId="7673744F" w14:textId="77777777" w:rsidR="0086771B" w:rsidRPr="00DD5377" w:rsidRDefault="0086771B" w:rsidP="003F53EA">
            <w:pPr>
              <w:spacing w:after="40"/>
              <w:rPr>
                <w:rFonts w:cs="Times New Roman"/>
                <w:sz w:val="22"/>
                <w:szCs w:val="22"/>
              </w:rPr>
            </w:pPr>
          </w:p>
        </w:tc>
        <w:tc>
          <w:tcPr>
            <w:tcW w:w="1341" w:type="dxa"/>
            <w:tcBorders>
              <w:top w:val="nil"/>
              <w:left w:val="nil"/>
              <w:bottom w:val="single" w:sz="4" w:space="0" w:color="auto"/>
              <w:right w:val="nil"/>
            </w:tcBorders>
          </w:tcPr>
          <w:p w14:paraId="4641F73B" w14:textId="77777777" w:rsidR="0086771B" w:rsidRPr="00DD5377" w:rsidRDefault="0086771B" w:rsidP="003F53EA">
            <w:pPr>
              <w:spacing w:after="40"/>
              <w:rPr>
                <w:rFonts w:cs="Times New Roman"/>
                <w:sz w:val="22"/>
                <w:szCs w:val="22"/>
              </w:rPr>
            </w:pPr>
            <w:r w:rsidRPr="00DD5377">
              <w:rPr>
                <w:rFonts w:cs="Times New Roman"/>
                <w:sz w:val="22"/>
                <w:szCs w:val="22"/>
              </w:rPr>
              <w:t>Gras</w:t>
            </w:r>
            <w:r>
              <w:rPr>
                <w:rFonts w:cs="Times New Roman"/>
                <w:sz w:val="22"/>
                <w:szCs w:val="22"/>
              </w:rPr>
              <w:t>s</w:t>
            </w:r>
          </w:p>
        </w:tc>
        <w:tc>
          <w:tcPr>
            <w:tcW w:w="2645" w:type="dxa"/>
            <w:tcBorders>
              <w:top w:val="nil"/>
              <w:left w:val="nil"/>
              <w:bottom w:val="single" w:sz="4" w:space="0" w:color="auto"/>
              <w:right w:val="nil"/>
            </w:tcBorders>
          </w:tcPr>
          <w:p w14:paraId="6BB66813" w14:textId="77777777" w:rsidR="0086771B" w:rsidRPr="00DD5377" w:rsidRDefault="0086771B" w:rsidP="003F53EA">
            <w:pPr>
              <w:spacing w:after="40"/>
              <w:rPr>
                <w:rFonts w:cs="Times New Roman"/>
                <w:sz w:val="22"/>
                <w:szCs w:val="22"/>
              </w:rPr>
            </w:pPr>
            <w:r w:rsidRPr="00DD5377">
              <w:rPr>
                <w:rFonts w:cs="Times New Roman"/>
                <w:sz w:val="22"/>
                <w:szCs w:val="22"/>
              </w:rPr>
              <w:t>Percent pasture cover</w:t>
            </w:r>
          </w:p>
        </w:tc>
        <w:tc>
          <w:tcPr>
            <w:tcW w:w="3339" w:type="dxa"/>
            <w:tcBorders>
              <w:top w:val="nil"/>
              <w:left w:val="nil"/>
              <w:bottom w:val="single" w:sz="4" w:space="0" w:color="auto"/>
              <w:right w:val="nil"/>
            </w:tcBorders>
          </w:tcPr>
          <w:p w14:paraId="4FC39258" w14:textId="77777777" w:rsidR="0086771B" w:rsidRPr="00DD5377" w:rsidRDefault="0086771B" w:rsidP="003F53EA">
            <w:pPr>
              <w:spacing w:after="40"/>
              <w:rPr>
                <w:rFonts w:cs="Times New Roman"/>
                <w:sz w:val="22"/>
                <w:szCs w:val="22"/>
              </w:rPr>
            </w:pPr>
          </w:p>
        </w:tc>
      </w:tr>
      <w:tr w:rsidR="0086771B" w:rsidRPr="00DD5377" w14:paraId="79AF5B44" w14:textId="77777777" w:rsidTr="003F53EA">
        <w:trPr>
          <w:trHeight w:val="115"/>
          <w:jc w:val="center"/>
        </w:trPr>
        <w:tc>
          <w:tcPr>
            <w:tcW w:w="2189" w:type="dxa"/>
            <w:tcBorders>
              <w:top w:val="single" w:sz="4" w:space="0" w:color="auto"/>
              <w:left w:val="nil"/>
              <w:bottom w:val="single" w:sz="4" w:space="0" w:color="auto"/>
              <w:right w:val="nil"/>
            </w:tcBorders>
          </w:tcPr>
          <w:p w14:paraId="425A3D5B" w14:textId="77777777" w:rsidR="0086771B" w:rsidRPr="00DD5377" w:rsidRDefault="0086771B" w:rsidP="003F53EA">
            <w:pPr>
              <w:spacing w:after="40"/>
              <w:rPr>
                <w:rFonts w:cs="Times New Roman"/>
                <w:sz w:val="22"/>
                <w:szCs w:val="22"/>
              </w:rPr>
            </w:pPr>
            <w:r w:rsidRPr="00DD5377">
              <w:rPr>
                <w:rFonts w:cs="Times New Roman"/>
                <w:sz w:val="22"/>
                <w:szCs w:val="22"/>
              </w:rPr>
              <w:t>Hydro1K North America</w:t>
            </w:r>
          </w:p>
        </w:tc>
        <w:tc>
          <w:tcPr>
            <w:tcW w:w="1341" w:type="dxa"/>
            <w:tcBorders>
              <w:top w:val="single" w:sz="4" w:space="0" w:color="auto"/>
              <w:left w:val="nil"/>
              <w:bottom w:val="single" w:sz="4" w:space="0" w:color="auto"/>
              <w:right w:val="nil"/>
            </w:tcBorders>
          </w:tcPr>
          <w:p w14:paraId="1AF094F7" w14:textId="77777777" w:rsidR="0086771B" w:rsidRPr="00DD5377" w:rsidRDefault="0086771B" w:rsidP="003F53EA">
            <w:pPr>
              <w:spacing w:after="40"/>
              <w:rPr>
                <w:rFonts w:cs="Times New Roman"/>
                <w:sz w:val="22"/>
                <w:szCs w:val="22"/>
              </w:rPr>
            </w:pPr>
            <w:r w:rsidRPr="00DD5377">
              <w:rPr>
                <w:rFonts w:cs="Times New Roman"/>
                <w:sz w:val="22"/>
                <w:szCs w:val="22"/>
              </w:rPr>
              <w:t>CTI</w:t>
            </w:r>
          </w:p>
        </w:tc>
        <w:tc>
          <w:tcPr>
            <w:tcW w:w="2645" w:type="dxa"/>
            <w:tcBorders>
              <w:top w:val="single" w:sz="4" w:space="0" w:color="auto"/>
              <w:left w:val="nil"/>
              <w:bottom w:val="single" w:sz="4" w:space="0" w:color="auto"/>
              <w:right w:val="nil"/>
            </w:tcBorders>
          </w:tcPr>
          <w:p w14:paraId="1A8F9775" w14:textId="77777777" w:rsidR="0086771B" w:rsidRPr="00DD5377" w:rsidRDefault="0086771B" w:rsidP="003F53EA">
            <w:pPr>
              <w:spacing w:after="40"/>
              <w:rPr>
                <w:rFonts w:cs="Times New Roman"/>
                <w:sz w:val="22"/>
                <w:szCs w:val="22"/>
              </w:rPr>
            </w:pPr>
            <w:r w:rsidRPr="00DD5377">
              <w:rPr>
                <w:rFonts w:cs="Times New Roman"/>
                <w:sz w:val="22"/>
                <w:szCs w:val="22"/>
              </w:rPr>
              <w:t>Compound Topographic Index – General wetness index</w:t>
            </w:r>
          </w:p>
        </w:tc>
        <w:tc>
          <w:tcPr>
            <w:tcW w:w="3339" w:type="dxa"/>
            <w:tcBorders>
              <w:top w:val="single" w:sz="4" w:space="0" w:color="auto"/>
              <w:left w:val="nil"/>
              <w:bottom w:val="single" w:sz="4" w:space="0" w:color="auto"/>
              <w:right w:val="nil"/>
            </w:tcBorders>
          </w:tcPr>
          <w:p w14:paraId="11B2212C" w14:textId="77777777" w:rsidR="0086771B" w:rsidRPr="00DD5377" w:rsidRDefault="0086771B" w:rsidP="003F53EA">
            <w:pPr>
              <w:spacing w:after="40"/>
              <w:rPr>
                <w:rFonts w:cs="Times New Roman"/>
                <w:sz w:val="22"/>
                <w:szCs w:val="22"/>
              </w:rPr>
            </w:pPr>
            <w:r w:rsidRPr="00DD5377">
              <w:rPr>
                <w:rFonts w:cs="Times New Roman"/>
                <w:i/>
                <w:sz w:val="22"/>
                <w:szCs w:val="22"/>
              </w:rPr>
              <w:t xml:space="preserve">F. </w:t>
            </w:r>
            <w:proofErr w:type="spellStart"/>
            <w:r w:rsidRPr="00DD5377">
              <w:rPr>
                <w:rFonts w:cs="Times New Roman"/>
                <w:i/>
                <w:sz w:val="22"/>
                <w:szCs w:val="22"/>
              </w:rPr>
              <w:t>alnus</w:t>
            </w:r>
            <w:proofErr w:type="spellEnd"/>
            <w:r w:rsidRPr="00DD5377">
              <w:rPr>
                <w:rFonts w:cs="Times New Roman"/>
                <w:sz w:val="22"/>
                <w:szCs w:val="22"/>
              </w:rPr>
              <w:t xml:space="preserve"> has been reported to invade areas with moist soils (e.g., wetlands)</w:t>
            </w:r>
          </w:p>
        </w:tc>
      </w:tr>
      <w:tr w:rsidR="0086771B" w:rsidRPr="00DD5377" w14:paraId="739C9BF7" w14:textId="77777777" w:rsidTr="003F53EA">
        <w:trPr>
          <w:trHeight w:val="115"/>
          <w:jc w:val="center"/>
        </w:trPr>
        <w:tc>
          <w:tcPr>
            <w:tcW w:w="2189" w:type="dxa"/>
            <w:tcBorders>
              <w:top w:val="single" w:sz="4" w:space="0" w:color="auto"/>
              <w:left w:val="nil"/>
              <w:bottom w:val="single" w:sz="4" w:space="0" w:color="auto"/>
              <w:right w:val="nil"/>
            </w:tcBorders>
          </w:tcPr>
          <w:p w14:paraId="574D2814" w14:textId="77777777" w:rsidR="0086771B" w:rsidRPr="00DD5377" w:rsidRDefault="0086771B" w:rsidP="003F53EA">
            <w:pPr>
              <w:spacing w:after="40"/>
              <w:rPr>
                <w:rFonts w:cs="Times New Roman"/>
                <w:sz w:val="22"/>
                <w:szCs w:val="22"/>
              </w:rPr>
            </w:pPr>
            <w:r w:rsidRPr="00DD5377">
              <w:rPr>
                <w:rFonts w:cs="Times New Roman"/>
                <w:sz w:val="22"/>
                <w:szCs w:val="22"/>
              </w:rPr>
              <w:t xml:space="preserve">Potential Vegetation (REF </w:t>
            </w:r>
            <w:proofErr w:type="spellStart"/>
            <w:r w:rsidRPr="00DD5377">
              <w:rPr>
                <w:rFonts w:cs="Times New Roman"/>
                <w:sz w:val="22"/>
                <w:szCs w:val="22"/>
              </w:rPr>
              <w:t>Ramunkuty</w:t>
            </w:r>
            <w:proofErr w:type="spellEnd"/>
            <w:r w:rsidRPr="00DD5377">
              <w:rPr>
                <w:rFonts w:cs="Times New Roman"/>
                <w:sz w:val="22"/>
                <w:szCs w:val="22"/>
              </w:rPr>
              <w:t>)</w:t>
            </w:r>
          </w:p>
        </w:tc>
        <w:tc>
          <w:tcPr>
            <w:tcW w:w="1341" w:type="dxa"/>
            <w:tcBorders>
              <w:top w:val="single" w:sz="4" w:space="0" w:color="auto"/>
              <w:left w:val="nil"/>
              <w:bottom w:val="single" w:sz="4" w:space="0" w:color="auto"/>
              <w:right w:val="nil"/>
            </w:tcBorders>
          </w:tcPr>
          <w:p w14:paraId="46076227" w14:textId="77777777" w:rsidR="0086771B" w:rsidRPr="00DD5377" w:rsidRDefault="0086771B" w:rsidP="003F53EA">
            <w:pPr>
              <w:spacing w:after="40"/>
              <w:rPr>
                <w:rFonts w:cs="Times New Roman"/>
                <w:sz w:val="22"/>
                <w:szCs w:val="22"/>
              </w:rPr>
            </w:pPr>
            <w:r w:rsidRPr="00DD5377">
              <w:rPr>
                <w:rFonts w:cs="Times New Roman"/>
                <w:sz w:val="22"/>
                <w:szCs w:val="22"/>
              </w:rPr>
              <w:t>Potential Veg</w:t>
            </w:r>
          </w:p>
        </w:tc>
        <w:tc>
          <w:tcPr>
            <w:tcW w:w="2645" w:type="dxa"/>
            <w:tcBorders>
              <w:top w:val="single" w:sz="4" w:space="0" w:color="auto"/>
              <w:left w:val="nil"/>
              <w:bottom w:val="single" w:sz="4" w:space="0" w:color="auto"/>
              <w:right w:val="nil"/>
            </w:tcBorders>
          </w:tcPr>
          <w:p w14:paraId="244D58AC" w14:textId="77777777" w:rsidR="0086771B" w:rsidRPr="00DD5377" w:rsidRDefault="0086771B" w:rsidP="003F53EA">
            <w:pPr>
              <w:spacing w:after="40"/>
              <w:rPr>
                <w:rFonts w:cs="Times New Roman"/>
                <w:sz w:val="22"/>
                <w:szCs w:val="22"/>
              </w:rPr>
            </w:pPr>
            <w:r w:rsidRPr="00DD5377">
              <w:rPr>
                <w:rFonts w:cs="Times New Roman"/>
                <w:sz w:val="22"/>
                <w:szCs w:val="22"/>
              </w:rPr>
              <w:t>Potential Vegetation</w:t>
            </w:r>
          </w:p>
        </w:tc>
        <w:tc>
          <w:tcPr>
            <w:tcW w:w="3339" w:type="dxa"/>
            <w:tcBorders>
              <w:top w:val="single" w:sz="4" w:space="0" w:color="auto"/>
              <w:left w:val="nil"/>
              <w:bottom w:val="single" w:sz="4" w:space="0" w:color="auto"/>
              <w:right w:val="nil"/>
            </w:tcBorders>
          </w:tcPr>
          <w:p w14:paraId="464F848B" w14:textId="77777777" w:rsidR="0086771B" w:rsidRPr="00DD5377" w:rsidRDefault="0086771B" w:rsidP="003F53EA">
            <w:pPr>
              <w:spacing w:after="40"/>
              <w:rPr>
                <w:rFonts w:cs="Times New Roman"/>
                <w:sz w:val="22"/>
                <w:szCs w:val="22"/>
              </w:rPr>
            </w:pPr>
            <w:r w:rsidRPr="00DD5377">
              <w:rPr>
                <w:rFonts w:cs="Times New Roman"/>
                <w:sz w:val="22"/>
                <w:szCs w:val="22"/>
              </w:rPr>
              <w:t>A measure of suitability in specific vegetation communities</w:t>
            </w:r>
          </w:p>
        </w:tc>
      </w:tr>
      <w:tr w:rsidR="0086771B" w:rsidRPr="00DD5377" w14:paraId="12617FC8" w14:textId="77777777" w:rsidTr="003F53EA">
        <w:trPr>
          <w:trHeight w:val="115"/>
          <w:jc w:val="center"/>
        </w:trPr>
        <w:tc>
          <w:tcPr>
            <w:tcW w:w="2189" w:type="dxa"/>
            <w:tcBorders>
              <w:top w:val="single" w:sz="4" w:space="0" w:color="auto"/>
              <w:left w:val="nil"/>
              <w:bottom w:val="nil"/>
              <w:right w:val="nil"/>
            </w:tcBorders>
          </w:tcPr>
          <w:p w14:paraId="5A1839E8" w14:textId="77777777" w:rsidR="0086771B" w:rsidRPr="00DD5377" w:rsidRDefault="0086771B" w:rsidP="003F53EA">
            <w:pPr>
              <w:spacing w:after="40"/>
              <w:rPr>
                <w:rFonts w:cs="Times New Roman"/>
                <w:sz w:val="22"/>
                <w:szCs w:val="22"/>
              </w:rPr>
            </w:pPr>
            <w:r w:rsidRPr="00DD5377">
              <w:rPr>
                <w:rFonts w:cs="Times New Roman"/>
                <w:sz w:val="22"/>
                <w:szCs w:val="22"/>
              </w:rPr>
              <w:t>FAO-UN Soil (REF)</w:t>
            </w:r>
          </w:p>
        </w:tc>
        <w:tc>
          <w:tcPr>
            <w:tcW w:w="1341" w:type="dxa"/>
            <w:tcBorders>
              <w:top w:val="single" w:sz="4" w:space="0" w:color="auto"/>
              <w:left w:val="nil"/>
              <w:bottom w:val="nil"/>
              <w:right w:val="nil"/>
            </w:tcBorders>
          </w:tcPr>
          <w:p w14:paraId="6E7257C3" w14:textId="77777777" w:rsidR="0086771B" w:rsidRPr="00DD5377" w:rsidRDefault="0086771B" w:rsidP="003F53EA">
            <w:pPr>
              <w:spacing w:after="40"/>
              <w:rPr>
                <w:rFonts w:cs="Times New Roman"/>
                <w:sz w:val="22"/>
                <w:szCs w:val="22"/>
              </w:rPr>
            </w:pPr>
            <w:r w:rsidRPr="00DD5377">
              <w:rPr>
                <w:rFonts w:cs="Times New Roman"/>
                <w:sz w:val="22"/>
                <w:szCs w:val="22"/>
              </w:rPr>
              <w:t>pH Top</w:t>
            </w:r>
          </w:p>
        </w:tc>
        <w:tc>
          <w:tcPr>
            <w:tcW w:w="2645" w:type="dxa"/>
            <w:tcBorders>
              <w:top w:val="single" w:sz="4" w:space="0" w:color="auto"/>
              <w:left w:val="nil"/>
              <w:bottom w:val="nil"/>
              <w:right w:val="nil"/>
            </w:tcBorders>
          </w:tcPr>
          <w:p w14:paraId="339DD5EB" w14:textId="77777777" w:rsidR="0086771B" w:rsidRPr="00DD5377" w:rsidRDefault="0086771B" w:rsidP="003F53EA">
            <w:pPr>
              <w:spacing w:after="40"/>
              <w:rPr>
                <w:rFonts w:cs="Times New Roman"/>
                <w:sz w:val="22"/>
                <w:szCs w:val="22"/>
              </w:rPr>
            </w:pPr>
            <w:r w:rsidRPr="00DD5377">
              <w:rPr>
                <w:rFonts w:cs="Times New Roman"/>
                <w:sz w:val="22"/>
                <w:szCs w:val="22"/>
              </w:rPr>
              <w:t>Soil pH of top soil</w:t>
            </w:r>
          </w:p>
        </w:tc>
        <w:tc>
          <w:tcPr>
            <w:tcW w:w="3339" w:type="dxa"/>
            <w:tcBorders>
              <w:top w:val="single" w:sz="4" w:space="0" w:color="auto"/>
              <w:left w:val="nil"/>
              <w:bottom w:val="nil"/>
              <w:right w:val="nil"/>
            </w:tcBorders>
          </w:tcPr>
          <w:p w14:paraId="4924586F" w14:textId="77777777" w:rsidR="0086771B" w:rsidRPr="00DD5377" w:rsidRDefault="0086771B" w:rsidP="003F53EA">
            <w:pPr>
              <w:spacing w:after="40"/>
              <w:rPr>
                <w:rFonts w:cs="Times New Roman"/>
                <w:sz w:val="22"/>
                <w:szCs w:val="22"/>
              </w:rPr>
            </w:pPr>
            <w:r w:rsidRPr="00DD5377">
              <w:rPr>
                <w:rFonts w:cs="Times New Roman"/>
                <w:i/>
                <w:sz w:val="22"/>
                <w:szCs w:val="22"/>
              </w:rPr>
              <w:t xml:space="preserve">F. </w:t>
            </w:r>
            <w:proofErr w:type="spellStart"/>
            <w:r w:rsidRPr="00DD5377">
              <w:rPr>
                <w:rFonts w:cs="Times New Roman"/>
                <w:i/>
                <w:sz w:val="22"/>
                <w:szCs w:val="22"/>
              </w:rPr>
              <w:t>alnus</w:t>
            </w:r>
            <w:proofErr w:type="spellEnd"/>
            <w:r w:rsidRPr="00DD5377">
              <w:rPr>
                <w:rFonts w:cs="Times New Roman"/>
                <w:sz w:val="22"/>
                <w:szCs w:val="22"/>
              </w:rPr>
              <w:t xml:space="preserve"> has been reported to do well in acidic soils</w:t>
            </w:r>
          </w:p>
        </w:tc>
      </w:tr>
      <w:tr w:rsidR="0086771B" w:rsidRPr="00DD5377" w14:paraId="675CBA41" w14:textId="77777777" w:rsidTr="003F53EA">
        <w:trPr>
          <w:trHeight w:val="743"/>
          <w:jc w:val="center"/>
        </w:trPr>
        <w:tc>
          <w:tcPr>
            <w:tcW w:w="2189" w:type="dxa"/>
            <w:tcBorders>
              <w:top w:val="nil"/>
              <w:left w:val="nil"/>
              <w:bottom w:val="single" w:sz="4" w:space="0" w:color="auto"/>
              <w:right w:val="nil"/>
            </w:tcBorders>
          </w:tcPr>
          <w:p w14:paraId="416FCCE2" w14:textId="77777777" w:rsidR="0086771B" w:rsidRPr="00DD5377" w:rsidRDefault="0086771B" w:rsidP="003F53EA">
            <w:pPr>
              <w:spacing w:after="40"/>
              <w:rPr>
                <w:rFonts w:cs="Times New Roman"/>
                <w:sz w:val="22"/>
                <w:szCs w:val="22"/>
              </w:rPr>
            </w:pPr>
          </w:p>
        </w:tc>
        <w:tc>
          <w:tcPr>
            <w:tcW w:w="1341" w:type="dxa"/>
            <w:tcBorders>
              <w:top w:val="nil"/>
              <w:left w:val="nil"/>
              <w:bottom w:val="single" w:sz="4" w:space="0" w:color="auto"/>
              <w:right w:val="nil"/>
            </w:tcBorders>
          </w:tcPr>
          <w:p w14:paraId="7913E0E6" w14:textId="77777777" w:rsidR="0086771B" w:rsidRPr="00DD5377" w:rsidRDefault="0086771B" w:rsidP="003F53EA">
            <w:pPr>
              <w:spacing w:after="40"/>
              <w:rPr>
                <w:rFonts w:cs="Times New Roman"/>
                <w:sz w:val="22"/>
                <w:szCs w:val="22"/>
              </w:rPr>
            </w:pPr>
            <w:r w:rsidRPr="00DD5377">
              <w:rPr>
                <w:rFonts w:cs="Times New Roman"/>
              </w:rPr>
              <w:t>pH Sub</w:t>
            </w:r>
          </w:p>
        </w:tc>
        <w:tc>
          <w:tcPr>
            <w:tcW w:w="2645" w:type="dxa"/>
            <w:tcBorders>
              <w:top w:val="nil"/>
              <w:left w:val="nil"/>
              <w:bottom w:val="single" w:sz="4" w:space="0" w:color="auto"/>
              <w:right w:val="nil"/>
            </w:tcBorders>
          </w:tcPr>
          <w:p w14:paraId="0AA7DFDA" w14:textId="77777777" w:rsidR="0086771B" w:rsidRPr="00DD5377" w:rsidRDefault="0086771B" w:rsidP="003F53EA">
            <w:pPr>
              <w:spacing w:after="40"/>
              <w:rPr>
                <w:rFonts w:cs="Times New Roman"/>
                <w:sz w:val="22"/>
                <w:szCs w:val="22"/>
              </w:rPr>
            </w:pPr>
            <w:r w:rsidRPr="00DD5377">
              <w:rPr>
                <w:rFonts w:cs="Times New Roman"/>
              </w:rPr>
              <w:t>Soil pH below top soil layer</w:t>
            </w:r>
          </w:p>
        </w:tc>
        <w:tc>
          <w:tcPr>
            <w:tcW w:w="3339" w:type="dxa"/>
            <w:tcBorders>
              <w:top w:val="nil"/>
              <w:left w:val="nil"/>
              <w:bottom w:val="single" w:sz="4" w:space="0" w:color="auto"/>
              <w:right w:val="nil"/>
            </w:tcBorders>
          </w:tcPr>
          <w:p w14:paraId="65437141" w14:textId="77777777" w:rsidR="0086771B" w:rsidRPr="00DD5377" w:rsidRDefault="0086771B" w:rsidP="003F53EA">
            <w:pPr>
              <w:spacing w:after="40"/>
              <w:rPr>
                <w:rFonts w:cs="Times New Roman"/>
                <w:sz w:val="22"/>
                <w:szCs w:val="22"/>
              </w:rPr>
            </w:pPr>
          </w:p>
        </w:tc>
      </w:tr>
    </w:tbl>
    <w:p w14:paraId="6B62422D" w14:textId="77777777" w:rsidR="0086771B" w:rsidRDefault="0086771B" w:rsidP="0086771B">
      <w:pPr>
        <w:rPr>
          <w:b/>
        </w:rPr>
      </w:pPr>
      <w:r>
        <w:rPr>
          <w:b/>
        </w:rPr>
        <w:br w:type="page"/>
      </w:r>
    </w:p>
    <w:p w14:paraId="3391AE23" w14:textId="77777777" w:rsidR="0086771B" w:rsidRDefault="0086771B" w:rsidP="0086771B">
      <w:pPr>
        <w:rPr>
          <w:b/>
        </w:rPr>
      </w:pPr>
      <w:r>
        <w:rPr>
          <w:b/>
        </w:rPr>
        <w:lastRenderedPageBreak/>
        <w:t>Table 2.</w:t>
      </w:r>
      <w:r>
        <w:t xml:space="preserve"> The eight continuous, and one categorical, parameters that were varied in a global sensitivity analysis (GSA) of the demographic model for </w:t>
      </w:r>
      <w:r>
        <w:rPr>
          <w:rFonts w:eastAsiaTheme="minorEastAsia" w:cs="Times New Roman"/>
          <w:i/>
          <w:iCs/>
        </w:rPr>
        <w:t xml:space="preserve">F. </w:t>
      </w:r>
      <w:proofErr w:type="spellStart"/>
      <w:r>
        <w:rPr>
          <w:rFonts w:eastAsiaTheme="minorEastAsia" w:cs="Times New Roman"/>
          <w:i/>
          <w:iCs/>
        </w:rPr>
        <w:t>alnus</w:t>
      </w:r>
      <w:proofErr w:type="spellEnd"/>
      <w:r>
        <w:rPr>
          <w:rFonts w:eastAsiaTheme="minorEastAsia" w:cs="Times New Roman"/>
          <w:iCs/>
        </w:rPr>
        <w:t>. Each parameter was estimated based on field observations, information culled from literature, or estimates based on studies of similar species.</w:t>
      </w:r>
    </w:p>
    <w:tbl>
      <w:tblPr>
        <w:tblW w:w="9340" w:type="dxa"/>
        <w:tblInd w:w="93" w:type="dxa"/>
        <w:tblLook w:val="04A0" w:firstRow="1" w:lastRow="0" w:firstColumn="1" w:lastColumn="0" w:noHBand="0" w:noVBand="1"/>
      </w:tblPr>
      <w:tblGrid>
        <w:gridCol w:w="1300"/>
        <w:gridCol w:w="2340"/>
        <w:gridCol w:w="5700"/>
      </w:tblGrid>
      <w:tr w:rsidR="0086771B" w:rsidRPr="00C34BC9" w14:paraId="525D8456" w14:textId="77777777" w:rsidTr="003F53EA">
        <w:trPr>
          <w:trHeight w:val="300"/>
        </w:trPr>
        <w:tc>
          <w:tcPr>
            <w:tcW w:w="1300" w:type="dxa"/>
            <w:tcBorders>
              <w:top w:val="nil"/>
              <w:left w:val="nil"/>
              <w:bottom w:val="single" w:sz="4" w:space="0" w:color="auto"/>
              <w:right w:val="nil"/>
            </w:tcBorders>
            <w:shd w:val="clear" w:color="auto" w:fill="auto"/>
            <w:noWrap/>
            <w:hideMark/>
          </w:tcPr>
          <w:p w14:paraId="76D23CDE" w14:textId="77777777" w:rsidR="0086771B" w:rsidRPr="00C34BC9" w:rsidRDefault="0086771B" w:rsidP="003F53EA">
            <w:pPr>
              <w:spacing w:after="0"/>
              <w:rPr>
                <w:rFonts w:eastAsia="Times New Roman" w:cs="Times New Roman"/>
                <w:b/>
                <w:color w:val="000000"/>
              </w:rPr>
            </w:pPr>
          </w:p>
        </w:tc>
        <w:tc>
          <w:tcPr>
            <w:tcW w:w="2340" w:type="dxa"/>
            <w:tcBorders>
              <w:top w:val="nil"/>
              <w:left w:val="nil"/>
              <w:bottom w:val="single" w:sz="4" w:space="0" w:color="auto"/>
              <w:right w:val="nil"/>
            </w:tcBorders>
            <w:shd w:val="clear" w:color="auto" w:fill="auto"/>
            <w:hideMark/>
          </w:tcPr>
          <w:p w14:paraId="7A760DC7" w14:textId="77777777" w:rsidR="0086771B" w:rsidRPr="00C34BC9" w:rsidRDefault="0086771B" w:rsidP="003F53EA">
            <w:pPr>
              <w:spacing w:after="0"/>
              <w:rPr>
                <w:rFonts w:eastAsia="Times New Roman" w:cs="Times New Roman"/>
                <w:b/>
                <w:color w:val="000000"/>
              </w:rPr>
            </w:pPr>
            <w:r w:rsidRPr="00C34BC9">
              <w:rPr>
                <w:rFonts w:eastAsia="Times New Roman" w:cs="Times New Roman"/>
                <w:b/>
                <w:color w:val="000000"/>
              </w:rPr>
              <w:t xml:space="preserve">Parameter </w:t>
            </w:r>
          </w:p>
        </w:tc>
        <w:tc>
          <w:tcPr>
            <w:tcW w:w="5700" w:type="dxa"/>
            <w:tcBorders>
              <w:top w:val="nil"/>
              <w:left w:val="nil"/>
              <w:bottom w:val="single" w:sz="4" w:space="0" w:color="auto"/>
              <w:right w:val="nil"/>
            </w:tcBorders>
            <w:shd w:val="clear" w:color="auto" w:fill="auto"/>
            <w:hideMark/>
          </w:tcPr>
          <w:p w14:paraId="1DFB7252" w14:textId="77777777" w:rsidR="0086771B" w:rsidRPr="00C34BC9" w:rsidRDefault="0086771B" w:rsidP="003F53EA">
            <w:pPr>
              <w:spacing w:after="0"/>
              <w:rPr>
                <w:rFonts w:eastAsia="Times New Roman" w:cs="Times New Roman"/>
                <w:b/>
                <w:color w:val="000000"/>
              </w:rPr>
            </w:pPr>
            <w:r w:rsidRPr="00C34BC9">
              <w:rPr>
                <w:rFonts w:eastAsia="Times New Roman" w:cs="Times New Roman"/>
                <w:b/>
                <w:color w:val="000000"/>
              </w:rPr>
              <w:t>Estimate</w:t>
            </w:r>
            <w:r>
              <w:rPr>
                <w:rFonts w:eastAsia="Times New Roman" w:cs="Times New Roman"/>
                <w:b/>
                <w:color w:val="000000"/>
              </w:rPr>
              <w:t xml:space="preserve"> information</w:t>
            </w:r>
          </w:p>
        </w:tc>
      </w:tr>
      <w:tr w:rsidR="0086771B" w:rsidRPr="00C34BC9" w14:paraId="3762EE9A" w14:textId="77777777" w:rsidTr="003F53EA">
        <w:trPr>
          <w:trHeight w:val="300"/>
        </w:trPr>
        <w:tc>
          <w:tcPr>
            <w:tcW w:w="3640" w:type="dxa"/>
            <w:gridSpan w:val="2"/>
            <w:tcBorders>
              <w:top w:val="single" w:sz="4" w:space="0" w:color="auto"/>
              <w:left w:val="nil"/>
              <w:bottom w:val="nil"/>
              <w:right w:val="nil"/>
            </w:tcBorders>
            <w:shd w:val="clear" w:color="auto" w:fill="auto"/>
            <w:noWrap/>
            <w:hideMark/>
          </w:tcPr>
          <w:p w14:paraId="68AABB32"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Continuous parameters</w:t>
            </w:r>
          </w:p>
        </w:tc>
        <w:tc>
          <w:tcPr>
            <w:tcW w:w="5700" w:type="dxa"/>
            <w:tcBorders>
              <w:top w:val="single" w:sz="4" w:space="0" w:color="auto"/>
              <w:left w:val="nil"/>
              <w:bottom w:val="nil"/>
              <w:right w:val="nil"/>
            </w:tcBorders>
            <w:shd w:val="clear" w:color="auto" w:fill="auto"/>
            <w:hideMark/>
          </w:tcPr>
          <w:p w14:paraId="78DC52D7" w14:textId="77777777" w:rsidR="0086771B" w:rsidRPr="00C34BC9" w:rsidRDefault="0086771B" w:rsidP="003F53EA">
            <w:pPr>
              <w:spacing w:after="0"/>
              <w:rPr>
                <w:rFonts w:eastAsia="Times New Roman" w:cs="Times New Roman"/>
                <w:color w:val="000000"/>
              </w:rPr>
            </w:pPr>
          </w:p>
        </w:tc>
      </w:tr>
      <w:tr w:rsidR="0086771B" w:rsidRPr="00C34BC9" w14:paraId="3839B826" w14:textId="77777777" w:rsidTr="003F53EA">
        <w:trPr>
          <w:trHeight w:val="900"/>
        </w:trPr>
        <w:tc>
          <w:tcPr>
            <w:tcW w:w="1300" w:type="dxa"/>
            <w:tcBorders>
              <w:top w:val="nil"/>
              <w:left w:val="nil"/>
              <w:bottom w:val="nil"/>
              <w:right w:val="nil"/>
            </w:tcBorders>
            <w:shd w:val="clear" w:color="auto" w:fill="auto"/>
            <w:noWrap/>
            <w:hideMark/>
          </w:tcPr>
          <w:p w14:paraId="69686462"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64DFE6A8"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Survival-Growth</w:t>
            </w:r>
          </w:p>
        </w:tc>
        <w:tc>
          <w:tcPr>
            <w:tcW w:w="5700" w:type="dxa"/>
            <w:tcBorders>
              <w:top w:val="nil"/>
              <w:left w:val="nil"/>
              <w:bottom w:val="nil"/>
              <w:right w:val="nil"/>
            </w:tcBorders>
            <w:shd w:val="clear" w:color="auto" w:fill="auto"/>
            <w:hideMark/>
          </w:tcPr>
          <w:p w14:paraId="7CA099D0"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Field observations - Combination of logistic regression of survival on size and linear regression of growth on size; Direct observation of seedlings</w:t>
            </w:r>
          </w:p>
        </w:tc>
      </w:tr>
      <w:tr w:rsidR="0086771B" w:rsidRPr="00C34BC9" w14:paraId="2448CB48" w14:textId="77777777" w:rsidTr="003F53EA">
        <w:trPr>
          <w:trHeight w:val="900"/>
        </w:trPr>
        <w:tc>
          <w:tcPr>
            <w:tcW w:w="1300" w:type="dxa"/>
            <w:tcBorders>
              <w:top w:val="nil"/>
              <w:left w:val="nil"/>
              <w:bottom w:val="nil"/>
              <w:right w:val="nil"/>
            </w:tcBorders>
            <w:shd w:val="clear" w:color="auto" w:fill="auto"/>
            <w:noWrap/>
            <w:hideMark/>
          </w:tcPr>
          <w:p w14:paraId="195A5FC0"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3B180957"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Fecundity</w:t>
            </w:r>
          </w:p>
        </w:tc>
        <w:tc>
          <w:tcPr>
            <w:tcW w:w="5700" w:type="dxa"/>
            <w:tcBorders>
              <w:top w:val="nil"/>
              <w:left w:val="nil"/>
              <w:bottom w:val="nil"/>
              <w:right w:val="nil"/>
            </w:tcBorders>
            <w:shd w:val="clear" w:color="auto" w:fill="auto"/>
            <w:hideMark/>
          </w:tcPr>
          <w:p w14:paraId="242B181D"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 xml:space="preserve">Field observations and literature - ANCOVA of fruit per plant by size and effective plot density; Seeds per fruit and germination rates from literature </w:t>
            </w:r>
          </w:p>
        </w:tc>
      </w:tr>
      <w:tr w:rsidR="0086771B" w:rsidRPr="00C34BC9" w14:paraId="536B24F0" w14:textId="77777777" w:rsidTr="003F53EA">
        <w:trPr>
          <w:trHeight w:val="300"/>
        </w:trPr>
        <w:tc>
          <w:tcPr>
            <w:tcW w:w="1300" w:type="dxa"/>
            <w:tcBorders>
              <w:top w:val="nil"/>
              <w:left w:val="nil"/>
              <w:bottom w:val="nil"/>
              <w:right w:val="nil"/>
            </w:tcBorders>
            <w:shd w:val="clear" w:color="auto" w:fill="auto"/>
            <w:noWrap/>
            <w:hideMark/>
          </w:tcPr>
          <w:p w14:paraId="17AB4C38"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2197C9A0"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Variability in Survival</w:t>
            </w:r>
          </w:p>
        </w:tc>
        <w:tc>
          <w:tcPr>
            <w:tcW w:w="5700" w:type="dxa"/>
            <w:tcBorders>
              <w:top w:val="nil"/>
              <w:left w:val="nil"/>
              <w:bottom w:val="nil"/>
              <w:right w:val="nil"/>
            </w:tcBorders>
            <w:shd w:val="clear" w:color="auto" w:fill="auto"/>
            <w:hideMark/>
          </w:tcPr>
          <w:p w14:paraId="571ECB53"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Field observations - Inter-annual variation in growth</w:t>
            </w:r>
          </w:p>
        </w:tc>
      </w:tr>
      <w:tr w:rsidR="0086771B" w:rsidRPr="00C34BC9" w14:paraId="626EA4B3" w14:textId="77777777" w:rsidTr="003F53EA">
        <w:trPr>
          <w:trHeight w:val="600"/>
        </w:trPr>
        <w:tc>
          <w:tcPr>
            <w:tcW w:w="1300" w:type="dxa"/>
            <w:tcBorders>
              <w:top w:val="nil"/>
              <w:left w:val="nil"/>
              <w:bottom w:val="nil"/>
              <w:right w:val="nil"/>
            </w:tcBorders>
            <w:shd w:val="clear" w:color="auto" w:fill="auto"/>
            <w:noWrap/>
            <w:hideMark/>
          </w:tcPr>
          <w:p w14:paraId="5074F9B5"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329C6B86"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Variability in Fecundity</w:t>
            </w:r>
          </w:p>
        </w:tc>
        <w:tc>
          <w:tcPr>
            <w:tcW w:w="5700" w:type="dxa"/>
            <w:tcBorders>
              <w:top w:val="nil"/>
              <w:left w:val="nil"/>
              <w:bottom w:val="nil"/>
              <w:right w:val="nil"/>
            </w:tcBorders>
            <w:shd w:val="clear" w:color="auto" w:fill="auto"/>
            <w:hideMark/>
          </w:tcPr>
          <w:p w14:paraId="35D5B432"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Field observations - Coefficient of variation of number of observed fruit over three years at field sites</w:t>
            </w:r>
          </w:p>
        </w:tc>
      </w:tr>
      <w:tr w:rsidR="0086771B" w:rsidRPr="00C34BC9" w14:paraId="159A8EC2" w14:textId="77777777" w:rsidTr="003F53EA">
        <w:trPr>
          <w:trHeight w:val="1200"/>
        </w:trPr>
        <w:tc>
          <w:tcPr>
            <w:tcW w:w="1300" w:type="dxa"/>
            <w:tcBorders>
              <w:top w:val="nil"/>
              <w:left w:val="nil"/>
              <w:bottom w:val="nil"/>
              <w:right w:val="nil"/>
            </w:tcBorders>
            <w:shd w:val="clear" w:color="auto" w:fill="auto"/>
            <w:noWrap/>
            <w:hideMark/>
          </w:tcPr>
          <w:p w14:paraId="49B14C41"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31C742AA"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Dispersal</w:t>
            </w:r>
          </w:p>
        </w:tc>
        <w:tc>
          <w:tcPr>
            <w:tcW w:w="5700" w:type="dxa"/>
            <w:tcBorders>
              <w:top w:val="nil"/>
              <w:left w:val="nil"/>
              <w:bottom w:val="nil"/>
              <w:right w:val="nil"/>
            </w:tcBorders>
            <w:shd w:val="clear" w:color="auto" w:fill="auto"/>
            <w:hideMark/>
          </w:tcPr>
          <w:p w14:paraId="4455408F"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 xml:space="preserve">Literature - Modified model of dispersal of </w:t>
            </w:r>
            <w:proofErr w:type="spellStart"/>
            <w:r w:rsidRPr="00C34BC9">
              <w:rPr>
                <w:rFonts w:eastAsia="Times New Roman" w:cs="Times New Roman"/>
                <w:i/>
                <w:iCs/>
                <w:color w:val="000000"/>
              </w:rPr>
              <w:t>Celastrus</w:t>
            </w:r>
            <w:proofErr w:type="spellEnd"/>
            <w:r w:rsidRPr="00C34BC9">
              <w:rPr>
                <w:rFonts w:eastAsia="Times New Roman" w:cs="Times New Roman"/>
                <w:color w:val="000000"/>
              </w:rPr>
              <w:t xml:space="preserve"> </w:t>
            </w:r>
            <w:proofErr w:type="spellStart"/>
            <w:r w:rsidRPr="00C34BC9">
              <w:rPr>
                <w:rFonts w:eastAsia="Times New Roman" w:cs="Times New Roman"/>
                <w:i/>
                <w:iCs/>
                <w:color w:val="000000"/>
              </w:rPr>
              <w:t>orbiculatus</w:t>
            </w:r>
            <w:proofErr w:type="spellEnd"/>
            <w:r w:rsidRPr="00C34BC9">
              <w:rPr>
                <w:rFonts w:eastAsia="Times New Roman" w:cs="Times New Roman"/>
                <w:color w:val="000000"/>
              </w:rPr>
              <w:t xml:space="preserve"> (reported by </w:t>
            </w:r>
            <w:proofErr w:type="spellStart"/>
            <w:r w:rsidRPr="00C34BC9">
              <w:rPr>
                <w:rFonts w:eastAsia="Times New Roman" w:cs="Times New Roman"/>
                <w:color w:val="000000"/>
              </w:rPr>
              <w:t>Merow</w:t>
            </w:r>
            <w:proofErr w:type="spellEnd"/>
            <w:r w:rsidRPr="00C34BC9">
              <w:rPr>
                <w:rFonts w:eastAsia="Times New Roman" w:cs="Times New Roman"/>
                <w:color w:val="000000"/>
              </w:rPr>
              <w:t xml:space="preserve"> et al. 2011) to fit observed dispersal of </w:t>
            </w:r>
            <w:r w:rsidRPr="00C34BC9">
              <w:rPr>
                <w:rFonts w:eastAsia="Times New Roman" w:cs="Times New Roman"/>
                <w:i/>
                <w:iCs/>
                <w:color w:val="000000"/>
              </w:rPr>
              <w:t xml:space="preserve">F. </w:t>
            </w:r>
            <w:proofErr w:type="spellStart"/>
            <w:r w:rsidRPr="00C34BC9">
              <w:rPr>
                <w:rFonts w:eastAsia="Times New Roman" w:cs="Times New Roman"/>
                <w:i/>
                <w:iCs/>
                <w:color w:val="000000"/>
              </w:rPr>
              <w:t>alnus</w:t>
            </w:r>
            <w:proofErr w:type="spellEnd"/>
            <w:r w:rsidRPr="00C34BC9">
              <w:rPr>
                <w:rFonts w:eastAsia="Times New Roman" w:cs="Times New Roman"/>
                <w:i/>
                <w:iCs/>
                <w:color w:val="000000"/>
              </w:rPr>
              <w:t xml:space="preserve"> </w:t>
            </w:r>
            <w:r w:rsidRPr="00C34BC9">
              <w:rPr>
                <w:rFonts w:eastAsia="Times New Roman" w:cs="Times New Roman"/>
                <w:color w:val="000000"/>
              </w:rPr>
              <w:t xml:space="preserve">(as reported by </w:t>
            </w:r>
            <w:proofErr w:type="spellStart"/>
            <w:r w:rsidRPr="00C34BC9">
              <w:rPr>
                <w:rFonts w:eastAsia="Times New Roman" w:cs="Times New Roman"/>
                <w:color w:val="000000"/>
              </w:rPr>
              <w:t>Hampe</w:t>
            </w:r>
            <w:proofErr w:type="spellEnd"/>
            <w:r w:rsidRPr="00C34BC9">
              <w:rPr>
                <w:rFonts w:eastAsia="Times New Roman" w:cs="Times New Roman"/>
                <w:color w:val="000000"/>
              </w:rPr>
              <w:t xml:space="preserve"> 2004, 2008; Berg 2011)</w:t>
            </w:r>
          </w:p>
        </w:tc>
      </w:tr>
      <w:tr w:rsidR="0086771B" w:rsidRPr="00C34BC9" w14:paraId="26CDADEE" w14:textId="77777777" w:rsidTr="003F53EA">
        <w:trPr>
          <w:trHeight w:val="1500"/>
        </w:trPr>
        <w:tc>
          <w:tcPr>
            <w:tcW w:w="1300" w:type="dxa"/>
            <w:tcBorders>
              <w:top w:val="nil"/>
              <w:left w:val="nil"/>
              <w:bottom w:val="nil"/>
              <w:right w:val="nil"/>
            </w:tcBorders>
            <w:shd w:val="clear" w:color="auto" w:fill="auto"/>
            <w:noWrap/>
            <w:hideMark/>
          </w:tcPr>
          <w:p w14:paraId="65637606"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33B3C44F"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Long-distance dispersal (LDD)</w:t>
            </w:r>
          </w:p>
        </w:tc>
        <w:tc>
          <w:tcPr>
            <w:tcW w:w="5700" w:type="dxa"/>
            <w:tcBorders>
              <w:top w:val="nil"/>
              <w:left w:val="nil"/>
              <w:bottom w:val="nil"/>
              <w:right w:val="nil"/>
            </w:tcBorders>
            <w:shd w:val="clear" w:color="auto" w:fill="auto"/>
            <w:hideMark/>
          </w:tcPr>
          <w:p w14:paraId="127ED568"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 xml:space="preserve">Randomly generated - each simulation could have between 1 and 500 LDD events, corresponding to a maximum of approximately 5 per year (shown to be appropriate for spread of </w:t>
            </w:r>
            <w:proofErr w:type="spellStart"/>
            <w:r w:rsidRPr="00C34BC9">
              <w:rPr>
                <w:rFonts w:eastAsia="Times New Roman" w:cs="Times New Roman"/>
                <w:i/>
                <w:iCs/>
                <w:color w:val="000000"/>
              </w:rPr>
              <w:t>Celastrus</w:t>
            </w:r>
            <w:proofErr w:type="spellEnd"/>
            <w:r w:rsidRPr="00C34BC9">
              <w:rPr>
                <w:rFonts w:eastAsia="Times New Roman" w:cs="Times New Roman"/>
                <w:i/>
                <w:iCs/>
                <w:color w:val="000000"/>
              </w:rPr>
              <w:t xml:space="preserve"> </w:t>
            </w:r>
            <w:proofErr w:type="spellStart"/>
            <w:r w:rsidRPr="00C34BC9">
              <w:rPr>
                <w:rFonts w:eastAsia="Times New Roman" w:cs="Times New Roman"/>
                <w:i/>
                <w:iCs/>
                <w:color w:val="000000"/>
              </w:rPr>
              <w:t>orbicuatus</w:t>
            </w:r>
            <w:proofErr w:type="spellEnd"/>
            <w:r w:rsidRPr="00C34BC9">
              <w:rPr>
                <w:rFonts w:eastAsia="Times New Roman" w:cs="Times New Roman"/>
                <w:color w:val="000000"/>
              </w:rPr>
              <w:t xml:space="preserve"> by </w:t>
            </w:r>
            <w:proofErr w:type="spellStart"/>
            <w:r w:rsidRPr="00C34BC9">
              <w:rPr>
                <w:rFonts w:eastAsia="Times New Roman" w:cs="Times New Roman"/>
                <w:color w:val="000000"/>
              </w:rPr>
              <w:t>Merow</w:t>
            </w:r>
            <w:proofErr w:type="spellEnd"/>
            <w:r w:rsidRPr="00C34BC9">
              <w:rPr>
                <w:rFonts w:eastAsia="Times New Roman" w:cs="Times New Roman"/>
                <w:color w:val="000000"/>
              </w:rPr>
              <w:t xml:space="preserve"> et al. 2011)</w:t>
            </w:r>
          </w:p>
        </w:tc>
      </w:tr>
      <w:tr w:rsidR="0086771B" w:rsidRPr="00C34BC9" w14:paraId="6BC615A9" w14:textId="77777777" w:rsidTr="003F53EA">
        <w:trPr>
          <w:trHeight w:val="300"/>
        </w:trPr>
        <w:tc>
          <w:tcPr>
            <w:tcW w:w="1300" w:type="dxa"/>
            <w:tcBorders>
              <w:top w:val="nil"/>
              <w:left w:val="nil"/>
              <w:bottom w:val="nil"/>
              <w:right w:val="nil"/>
            </w:tcBorders>
            <w:shd w:val="clear" w:color="auto" w:fill="auto"/>
            <w:noWrap/>
            <w:hideMark/>
          </w:tcPr>
          <w:p w14:paraId="3B965150"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10BA3957"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Initial abundance</w:t>
            </w:r>
          </w:p>
        </w:tc>
        <w:tc>
          <w:tcPr>
            <w:tcW w:w="5700" w:type="dxa"/>
            <w:tcBorders>
              <w:top w:val="nil"/>
              <w:left w:val="nil"/>
              <w:bottom w:val="nil"/>
              <w:right w:val="nil"/>
            </w:tcBorders>
            <w:shd w:val="clear" w:color="auto" w:fill="auto"/>
            <w:hideMark/>
          </w:tcPr>
          <w:p w14:paraId="533678D3"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Varied between 1,000 and 10,000</w:t>
            </w:r>
          </w:p>
        </w:tc>
      </w:tr>
      <w:tr w:rsidR="0086771B" w:rsidRPr="00C34BC9" w14:paraId="240AEDEB" w14:textId="77777777" w:rsidTr="003F53EA">
        <w:trPr>
          <w:trHeight w:val="900"/>
        </w:trPr>
        <w:tc>
          <w:tcPr>
            <w:tcW w:w="1300" w:type="dxa"/>
            <w:tcBorders>
              <w:top w:val="nil"/>
              <w:left w:val="nil"/>
              <w:bottom w:val="nil"/>
              <w:right w:val="nil"/>
            </w:tcBorders>
            <w:shd w:val="clear" w:color="auto" w:fill="auto"/>
            <w:noWrap/>
            <w:hideMark/>
          </w:tcPr>
          <w:p w14:paraId="2939DA86"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2B811056"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Inter-population correlation</w:t>
            </w:r>
          </w:p>
        </w:tc>
        <w:tc>
          <w:tcPr>
            <w:tcW w:w="5700" w:type="dxa"/>
            <w:tcBorders>
              <w:top w:val="nil"/>
              <w:left w:val="nil"/>
              <w:bottom w:val="nil"/>
              <w:right w:val="nil"/>
            </w:tcBorders>
            <w:shd w:val="clear" w:color="auto" w:fill="auto"/>
            <w:hideMark/>
          </w:tcPr>
          <w:p w14:paraId="115C7BED"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Literature - Inter-population correlation was assumed to be similar for values reported for all of North America reported by Pearson et al. (2014)</w:t>
            </w:r>
          </w:p>
        </w:tc>
      </w:tr>
      <w:tr w:rsidR="0086771B" w:rsidRPr="00C34BC9" w14:paraId="5D7223DF" w14:textId="77777777" w:rsidTr="003F53EA">
        <w:trPr>
          <w:trHeight w:val="300"/>
        </w:trPr>
        <w:tc>
          <w:tcPr>
            <w:tcW w:w="1300" w:type="dxa"/>
            <w:tcBorders>
              <w:top w:val="nil"/>
              <w:left w:val="nil"/>
              <w:bottom w:val="nil"/>
              <w:right w:val="nil"/>
            </w:tcBorders>
            <w:shd w:val="clear" w:color="auto" w:fill="auto"/>
            <w:noWrap/>
            <w:hideMark/>
          </w:tcPr>
          <w:p w14:paraId="52561A66"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4C3FA694" w14:textId="77777777" w:rsidR="0086771B" w:rsidRPr="00C34BC9" w:rsidRDefault="0086771B" w:rsidP="003F53EA">
            <w:pPr>
              <w:spacing w:after="0"/>
              <w:rPr>
                <w:rFonts w:eastAsia="Times New Roman" w:cs="Times New Roman"/>
                <w:color w:val="000000"/>
              </w:rPr>
            </w:pPr>
          </w:p>
        </w:tc>
        <w:tc>
          <w:tcPr>
            <w:tcW w:w="5700" w:type="dxa"/>
            <w:tcBorders>
              <w:top w:val="nil"/>
              <w:left w:val="nil"/>
              <w:bottom w:val="nil"/>
              <w:right w:val="nil"/>
            </w:tcBorders>
            <w:shd w:val="clear" w:color="auto" w:fill="auto"/>
            <w:hideMark/>
          </w:tcPr>
          <w:p w14:paraId="40E64858" w14:textId="77777777" w:rsidR="0086771B" w:rsidRPr="00C34BC9" w:rsidRDefault="0086771B" w:rsidP="003F53EA">
            <w:pPr>
              <w:spacing w:after="0"/>
              <w:rPr>
                <w:rFonts w:eastAsia="Times New Roman" w:cs="Times New Roman"/>
                <w:color w:val="000000"/>
              </w:rPr>
            </w:pPr>
          </w:p>
        </w:tc>
      </w:tr>
      <w:tr w:rsidR="0086771B" w:rsidRPr="00C34BC9" w14:paraId="3C7CA701" w14:textId="77777777" w:rsidTr="003F53EA">
        <w:trPr>
          <w:trHeight w:val="300"/>
        </w:trPr>
        <w:tc>
          <w:tcPr>
            <w:tcW w:w="3640" w:type="dxa"/>
            <w:gridSpan w:val="2"/>
            <w:tcBorders>
              <w:top w:val="nil"/>
              <w:left w:val="nil"/>
              <w:bottom w:val="nil"/>
              <w:right w:val="nil"/>
            </w:tcBorders>
            <w:shd w:val="clear" w:color="auto" w:fill="auto"/>
            <w:noWrap/>
            <w:hideMark/>
          </w:tcPr>
          <w:p w14:paraId="7ED6FBEC"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Categorical parameter</w:t>
            </w:r>
          </w:p>
        </w:tc>
        <w:tc>
          <w:tcPr>
            <w:tcW w:w="5700" w:type="dxa"/>
            <w:tcBorders>
              <w:top w:val="nil"/>
              <w:left w:val="nil"/>
              <w:bottom w:val="nil"/>
              <w:right w:val="nil"/>
            </w:tcBorders>
            <w:shd w:val="clear" w:color="auto" w:fill="auto"/>
            <w:hideMark/>
          </w:tcPr>
          <w:p w14:paraId="188B8BBE" w14:textId="77777777" w:rsidR="0086771B" w:rsidRPr="00C34BC9" w:rsidRDefault="0086771B" w:rsidP="003F53EA">
            <w:pPr>
              <w:spacing w:after="0"/>
              <w:rPr>
                <w:rFonts w:eastAsia="Times New Roman" w:cs="Times New Roman"/>
                <w:color w:val="000000"/>
              </w:rPr>
            </w:pPr>
          </w:p>
        </w:tc>
      </w:tr>
      <w:tr w:rsidR="0086771B" w:rsidRPr="00C34BC9" w14:paraId="4D6A580F" w14:textId="77777777" w:rsidTr="003F53EA">
        <w:trPr>
          <w:trHeight w:val="600"/>
        </w:trPr>
        <w:tc>
          <w:tcPr>
            <w:tcW w:w="1300" w:type="dxa"/>
            <w:tcBorders>
              <w:top w:val="nil"/>
              <w:left w:val="nil"/>
              <w:bottom w:val="nil"/>
              <w:right w:val="nil"/>
            </w:tcBorders>
            <w:shd w:val="clear" w:color="auto" w:fill="auto"/>
            <w:noWrap/>
            <w:hideMark/>
          </w:tcPr>
          <w:p w14:paraId="151FA6EF" w14:textId="77777777" w:rsidR="0086771B" w:rsidRPr="00C34BC9" w:rsidRDefault="0086771B" w:rsidP="003F53EA">
            <w:pPr>
              <w:spacing w:after="0"/>
              <w:rPr>
                <w:rFonts w:eastAsia="Times New Roman" w:cs="Times New Roman"/>
                <w:color w:val="000000"/>
              </w:rPr>
            </w:pPr>
          </w:p>
        </w:tc>
        <w:tc>
          <w:tcPr>
            <w:tcW w:w="2340" w:type="dxa"/>
            <w:tcBorders>
              <w:top w:val="nil"/>
              <w:left w:val="nil"/>
              <w:bottom w:val="nil"/>
              <w:right w:val="nil"/>
            </w:tcBorders>
            <w:shd w:val="clear" w:color="auto" w:fill="auto"/>
            <w:hideMark/>
          </w:tcPr>
          <w:p w14:paraId="7A53E2EE" w14:textId="77777777" w:rsidR="0086771B" w:rsidRPr="00C34BC9" w:rsidRDefault="0086771B" w:rsidP="003F53EA">
            <w:pPr>
              <w:spacing w:after="0"/>
              <w:rPr>
                <w:rFonts w:eastAsia="Times New Roman" w:cs="Times New Roman"/>
                <w:color w:val="000000"/>
              </w:rPr>
            </w:pPr>
            <w:r w:rsidRPr="00C34BC9">
              <w:rPr>
                <w:rFonts w:eastAsia="Times New Roman" w:cs="Times New Roman"/>
                <w:color w:val="000000"/>
              </w:rPr>
              <w:t>Carrying capacity scenario</w:t>
            </w:r>
          </w:p>
        </w:tc>
        <w:tc>
          <w:tcPr>
            <w:tcW w:w="5700" w:type="dxa"/>
            <w:tcBorders>
              <w:top w:val="nil"/>
              <w:left w:val="nil"/>
              <w:bottom w:val="nil"/>
              <w:right w:val="nil"/>
            </w:tcBorders>
            <w:shd w:val="clear" w:color="auto" w:fill="auto"/>
            <w:hideMark/>
          </w:tcPr>
          <w:p w14:paraId="7F35C8EE" w14:textId="77777777" w:rsidR="0086771B" w:rsidRPr="00C34BC9" w:rsidRDefault="0086771B" w:rsidP="003F53EA">
            <w:pPr>
              <w:spacing w:after="0"/>
              <w:rPr>
                <w:rFonts w:eastAsia="Times New Roman" w:cs="Times New Roman"/>
                <w:color w:val="000000"/>
              </w:rPr>
            </w:pPr>
            <w:r>
              <w:rPr>
                <w:rFonts w:eastAsia="Times New Roman" w:cs="Times New Roman"/>
                <w:color w:val="000000"/>
              </w:rPr>
              <w:t xml:space="preserve">Three scenarios - </w:t>
            </w:r>
            <w:r w:rsidRPr="00C34BC9">
              <w:rPr>
                <w:rFonts w:eastAsia="Times New Roman" w:cs="Times New Roman"/>
                <w:color w:val="000000"/>
              </w:rPr>
              <w:t>100%, 50%, and 25% of patch (20 x 20 km) could contain 2 x 2 m plots.</w:t>
            </w:r>
          </w:p>
        </w:tc>
      </w:tr>
    </w:tbl>
    <w:p w14:paraId="03C10C32" w14:textId="77777777" w:rsidR="0086771B" w:rsidRDefault="0086771B" w:rsidP="0086771B">
      <w:pPr>
        <w:rPr>
          <w:b/>
        </w:rPr>
      </w:pPr>
      <w:r>
        <w:rPr>
          <w:b/>
        </w:rPr>
        <w:br w:type="page"/>
      </w:r>
    </w:p>
    <w:tbl>
      <w:tblPr>
        <w:tblpPr w:leftFromText="180" w:rightFromText="180" w:vertAnchor="page" w:horzAnchor="page" w:tblpX="1549" w:tblpY="2341"/>
        <w:tblW w:w="0" w:type="auto"/>
        <w:tblLook w:val="04A0" w:firstRow="1" w:lastRow="0" w:firstColumn="1" w:lastColumn="0" w:noHBand="0" w:noVBand="1"/>
      </w:tblPr>
      <w:tblGrid>
        <w:gridCol w:w="2423"/>
        <w:gridCol w:w="1196"/>
        <w:gridCol w:w="1163"/>
        <w:gridCol w:w="956"/>
        <w:gridCol w:w="1183"/>
      </w:tblGrid>
      <w:tr w:rsidR="0086771B" w:rsidRPr="00DD5377" w14:paraId="29A8CDF9" w14:textId="77777777" w:rsidTr="003F53EA">
        <w:tc>
          <w:tcPr>
            <w:tcW w:w="0" w:type="auto"/>
            <w:tcBorders>
              <w:bottom w:val="single" w:sz="0" w:space="0" w:color="auto"/>
            </w:tcBorders>
            <w:vAlign w:val="bottom"/>
          </w:tcPr>
          <w:p w14:paraId="1FFD9E5A" w14:textId="77777777" w:rsidR="0086771B" w:rsidRPr="00DD5377" w:rsidRDefault="0086771B" w:rsidP="003F53EA">
            <w:pPr>
              <w:jc w:val="center"/>
              <w:rPr>
                <w:rFonts w:cs="Times New Roman"/>
              </w:rPr>
            </w:pPr>
            <w:r w:rsidRPr="00DD5377">
              <w:rPr>
                <w:rFonts w:cs="Times New Roman"/>
              </w:rPr>
              <w:lastRenderedPageBreak/>
              <w:t>Parameter</w:t>
            </w:r>
          </w:p>
        </w:tc>
        <w:tc>
          <w:tcPr>
            <w:tcW w:w="0" w:type="auto"/>
            <w:tcBorders>
              <w:bottom w:val="single" w:sz="0" w:space="0" w:color="auto"/>
            </w:tcBorders>
            <w:vAlign w:val="bottom"/>
          </w:tcPr>
          <w:p w14:paraId="5FB0A169" w14:textId="77777777" w:rsidR="0086771B" w:rsidRPr="00DD5377" w:rsidRDefault="0086771B" w:rsidP="003F53EA">
            <w:pPr>
              <w:jc w:val="center"/>
              <w:rPr>
                <w:rFonts w:cs="Times New Roman"/>
              </w:rPr>
            </w:pPr>
            <w:r w:rsidRPr="00DD5377">
              <w:rPr>
                <w:rFonts w:cs="Times New Roman"/>
              </w:rPr>
              <w:t>Estimate</w:t>
            </w:r>
          </w:p>
        </w:tc>
        <w:tc>
          <w:tcPr>
            <w:tcW w:w="0" w:type="auto"/>
            <w:tcBorders>
              <w:bottom w:val="single" w:sz="0" w:space="0" w:color="auto"/>
            </w:tcBorders>
            <w:vAlign w:val="bottom"/>
          </w:tcPr>
          <w:p w14:paraId="162D1443" w14:textId="77777777" w:rsidR="0086771B" w:rsidRPr="00DD5377" w:rsidRDefault="0086771B" w:rsidP="003F53EA">
            <w:pPr>
              <w:jc w:val="center"/>
              <w:rPr>
                <w:rFonts w:cs="Times New Roman"/>
              </w:rPr>
            </w:pPr>
            <w:r w:rsidRPr="00DD5377">
              <w:rPr>
                <w:rFonts w:cs="Times New Roman"/>
              </w:rPr>
              <w:t>Std. Error</w:t>
            </w:r>
          </w:p>
        </w:tc>
        <w:tc>
          <w:tcPr>
            <w:tcW w:w="0" w:type="auto"/>
            <w:tcBorders>
              <w:bottom w:val="single" w:sz="0" w:space="0" w:color="auto"/>
            </w:tcBorders>
            <w:vAlign w:val="bottom"/>
          </w:tcPr>
          <w:p w14:paraId="5A6EFD05" w14:textId="77777777" w:rsidR="0086771B" w:rsidRPr="00DD5377" w:rsidRDefault="0086771B" w:rsidP="003F53EA">
            <w:pPr>
              <w:jc w:val="center"/>
              <w:rPr>
                <w:rFonts w:cs="Times New Roman"/>
              </w:rPr>
            </w:pPr>
            <w:r w:rsidRPr="00DD5377">
              <w:rPr>
                <w:rFonts w:cs="Times New Roman"/>
              </w:rPr>
              <w:t>t value</w:t>
            </w:r>
          </w:p>
        </w:tc>
        <w:tc>
          <w:tcPr>
            <w:tcW w:w="0" w:type="auto"/>
            <w:tcBorders>
              <w:bottom w:val="single" w:sz="0" w:space="0" w:color="auto"/>
            </w:tcBorders>
            <w:vAlign w:val="bottom"/>
          </w:tcPr>
          <w:p w14:paraId="6EED88DF" w14:textId="77777777" w:rsidR="0086771B" w:rsidRPr="00DD5377" w:rsidRDefault="0086771B" w:rsidP="003F53EA">
            <w:pPr>
              <w:jc w:val="center"/>
              <w:rPr>
                <w:rFonts w:cs="Times New Roman"/>
              </w:rPr>
            </w:pPr>
            <w:r w:rsidRPr="00DD5377">
              <w:rPr>
                <w:rFonts w:cs="Times New Roman"/>
              </w:rPr>
              <w:t>P</w:t>
            </w:r>
          </w:p>
        </w:tc>
      </w:tr>
      <w:tr w:rsidR="0086771B" w:rsidRPr="00DD5377" w14:paraId="193910CA" w14:textId="77777777" w:rsidTr="003F53EA">
        <w:tc>
          <w:tcPr>
            <w:tcW w:w="0" w:type="auto"/>
          </w:tcPr>
          <w:p w14:paraId="4BF27FC8" w14:textId="77777777" w:rsidR="0086771B" w:rsidRPr="00DD5377" w:rsidRDefault="0086771B" w:rsidP="003F53EA">
            <w:pPr>
              <w:jc w:val="center"/>
              <w:rPr>
                <w:rFonts w:cs="Times New Roman"/>
              </w:rPr>
            </w:pPr>
            <w:r w:rsidRPr="00DD5377">
              <w:rPr>
                <w:rFonts w:cs="Times New Roman"/>
              </w:rPr>
              <w:t>Size Class B: Intercept</w:t>
            </w:r>
          </w:p>
        </w:tc>
        <w:tc>
          <w:tcPr>
            <w:tcW w:w="0" w:type="auto"/>
          </w:tcPr>
          <w:p w14:paraId="311CE995" w14:textId="77777777" w:rsidR="0086771B" w:rsidRPr="00DD5377" w:rsidRDefault="0086771B" w:rsidP="003F53EA">
            <w:pPr>
              <w:jc w:val="center"/>
              <w:rPr>
                <w:rFonts w:cs="Times New Roman"/>
              </w:rPr>
            </w:pPr>
            <w:r w:rsidRPr="00DD5377">
              <w:rPr>
                <w:rFonts w:cs="Times New Roman"/>
              </w:rPr>
              <w:t>-1.702</w:t>
            </w:r>
          </w:p>
        </w:tc>
        <w:tc>
          <w:tcPr>
            <w:tcW w:w="0" w:type="auto"/>
          </w:tcPr>
          <w:p w14:paraId="3D39CF5F" w14:textId="77777777" w:rsidR="0086771B" w:rsidRPr="00DD5377" w:rsidRDefault="0086771B" w:rsidP="003F53EA">
            <w:pPr>
              <w:jc w:val="center"/>
              <w:rPr>
                <w:rFonts w:cs="Times New Roman"/>
              </w:rPr>
            </w:pPr>
            <w:r w:rsidRPr="00DD5377">
              <w:rPr>
                <w:rFonts w:cs="Times New Roman"/>
              </w:rPr>
              <w:t>0.09842</w:t>
            </w:r>
          </w:p>
        </w:tc>
        <w:tc>
          <w:tcPr>
            <w:tcW w:w="0" w:type="auto"/>
          </w:tcPr>
          <w:p w14:paraId="6DD54BF9" w14:textId="77777777" w:rsidR="0086771B" w:rsidRPr="00DD5377" w:rsidRDefault="0086771B" w:rsidP="003F53EA">
            <w:pPr>
              <w:jc w:val="center"/>
              <w:rPr>
                <w:rFonts w:cs="Times New Roman"/>
              </w:rPr>
            </w:pPr>
            <w:r w:rsidRPr="00DD5377">
              <w:rPr>
                <w:rFonts w:cs="Times New Roman"/>
              </w:rPr>
              <w:t>-17.29</w:t>
            </w:r>
          </w:p>
        </w:tc>
        <w:tc>
          <w:tcPr>
            <w:tcW w:w="0" w:type="auto"/>
          </w:tcPr>
          <w:p w14:paraId="2AD06ED8" w14:textId="77777777" w:rsidR="0086771B" w:rsidRPr="00DD5377" w:rsidRDefault="0086771B" w:rsidP="003F53EA">
            <w:pPr>
              <w:jc w:val="center"/>
              <w:rPr>
                <w:rFonts w:cs="Times New Roman"/>
              </w:rPr>
            </w:pPr>
            <w:r w:rsidRPr="00DD5377">
              <w:rPr>
                <w:rFonts w:cs="Times New Roman"/>
              </w:rPr>
              <w:t>1.375e-57</w:t>
            </w:r>
          </w:p>
        </w:tc>
      </w:tr>
      <w:tr w:rsidR="0086771B" w:rsidRPr="00DD5377" w14:paraId="2D24011B" w14:textId="77777777" w:rsidTr="003F53EA">
        <w:tc>
          <w:tcPr>
            <w:tcW w:w="0" w:type="auto"/>
          </w:tcPr>
          <w:p w14:paraId="3D45D153" w14:textId="77777777" w:rsidR="0086771B" w:rsidRPr="00DD5377" w:rsidRDefault="0086771B" w:rsidP="003F53EA">
            <w:pPr>
              <w:jc w:val="center"/>
              <w:rPr>
                <w:rFonts w:cs="Times New Roman"/>
              </w:rPr>
            </w:pPr>
            <w:r w:rsidRPr="00DD5377">
              <w:rPr>
                <w:rFonts w:cs="Times New Roman"/>
              </w:rPr>
              <w:t>Size Class C: Intercept</w:t>
            </w:r>
          </w:p>
        </w:tc>
        <w:tc>
          <w:tcPr>
            <w:tcW w:w="0" w:type="auto"/>
          </w:tcPr>
          <w:p w14:paraId="3A7C42FB" w14:textId="77777777" w:rsidR="0086771B" w:rsidRPr="00DD5377" w:rsidRDefault="0086771B" w:rsidP="003F53EA">
            <w:pPr>
              <w:jc w:val="center"/>
              <w:rPr>
                <w:rFonts w:cs="Times New Roman"/>
              </w:rPr>
            </w:pPr>
            <w:r w:rsidRPr="00DD5377">
              <w:rPr>
                <w:rFonts w:cs="Times New Roman"/>
              </w:rPr>
              <w:t>0.901</w:t>
            </w:r>
          </w:p>
        </w:tc>
        <w:tc>
          <w:tcPr>
            <w:tcW w:w="0" w:type="auto"/>
          </w:tcPr>
          <w:p w14:paraId="4C226B41" w14:textId="77777777" w:rsidR="0086771B" w:rsidRPr="00DD5377" w:rsidRDefault="0086771B" w:rsidP="003F53EA">
            <w:pPr>
              <w:jc w:val="center"/>
              <w:rPr>
                <w:rFonts w:cs="Times New Roman"/>
              </w:rPr>
            </w:pPr>
            <w:r w:rsidRPr="00DD5377">
              <w:rPr>
                <w:rFonts w:cs="Times New Roman"/>
              </w:rPr>
              <w:t>0.2328</w:t>
            </w:r>
          </w:p>
        </w:tc>
        <w:tc>
          <w:tcPr>
            <w:tcW w:w="0" w:type="auto"/>
          </w:tcPr>
          <w:p w14:paraId="5F796ECF" w14:textId="77777777" w:rsidR="0086771B" w:rsidRPr="00DD5377" w:rsidRDefault="0086771B" w:rsidP="003F53EA">
            <w:pPr>
              <w:jc w:val="center"/>
              <w:rPr>
                <w:rFonts w:cs="Times New Roman"/>
              </w:rPr>
            </w:pPr>
            <w:r w:rsidRPr="00DD5377">
              <w:rPr>
                <w:rFonts w:cs="Times New Roman"/>
              </w:rPr>
              <w:t>11.18</w:t>
            </w:r>
          </w:p>
        </w:tc>
        <w:tc>
          <w:tcPr>
            <w:tcW w:w="0" w:type="auto"/>
          </w:tcPr>
          <w:p w14:paraId="509CDF01" w14:textId="77777777" w:rsidR="0086771B" w:rsidRPr="00DD5377" w:rsidRDefault="0086771B" w:rsidP="003F53EA">
            <w:pPr>
              <w:jc w:val="center"/>
              <w:rPr>
                <w:rFonts w:cs="Times New Roman"/>
              </w:rPr>
            </w:pPr>
            <w:r w:rsidRPr="00DD5377">
              <w:rPr>
                <w:rFonts w:cs="Times New Roman"/>
              </w:rPr>
              <w:t>3.705e-27</w:t>
            </w:r>
          </w:p>
        </w:tc>
      </w:tr>
      <w:tr w:rsidR="0086771B" w:rsidRPr="00DD5377" w14:paraId="7AB093FF" w14:textId="77777777" w:rsidTr="003F53EA">
        <w:tc>
          <w:tcPr>
            <w:tcW w:w="0" w:type="auto"/>
          </w:tcPr>
          <w:p w14:paraId="594B372F" w14:textId="77777777" w:rsidR="0086771B" w:rsidRPr="00DD5377" w:rsidRDefault="0086771B" w:rsidP="003F53EA">
            <w:pPr>
              <w:jc w:val="center"/>
              <w:rPr>
                <w:rFonts w:cs="Times New Roman"/>
              </w:rPr>
            </w:pPr>
            <w:r w:rsidRPr="00DD5377">
              <w:rPr>
                <w:rFonts w:cs="Times New Roman"/>
              </w:rPr>
              <w:t>Size Class D: Intercept</w:t>
            </w:r>
          </w:p>
        </w:tc>
        <w:tc>
          <w:tcPr>
            <w:tcW w:w="0" w:type="auto"/>
          </w:tcPr>
          <w:p w14:paraId="3590DFC4" w14:textId="77777777" w:rsidR="0086771B" w:rsidRPr="00DD5377" w:rsidRDefault="0086771B" w:rsidP="003F53EA">
            <w:pPr>
              <w:jc w:val="center"/>
              <w:rPr>
                <w:rFonts w:cs="Times New Roman"/>
              </w:rPr>
            </w:pPr>
            <w:r w:rsidRPr="00DD5377">
              <w:rPr>
                <w:rFonts w:cs="Times New Roman"/>
              </w:rPr>
              <w:t>1.632</w:t>
            </w:r>
          </w:p>
        </w:tc>
        <w:tc>
          <w:tcPr>
            <w:tcW w:w="0" w:type="auto"/>
          </w:tcPr>
          <w:p w14:paraId="11E525F1" w14:textId="77777777" w:rsidR="0086771B" w:rsidRPr="00DD5377" w:rsidRDefault="0086771B" w:rsidP="003F53EA">
            <w:pPr>
              <w:jc w:val="center"/>
              <w:rPr>
                <w:rFonts w:cs="Times New Roman"/>
              </w:rPr>
            </w:pPr>
            <w:r w:rsidRPr="00DD5377">
              <w:rPr>
                <w:rFonts w:cs="Times New Roman"/>
              </w:rPr>
              <w:t>0.3478</w:t>
            </w:r>
          </w:p>
        </w:tc>
        <w:tc>
          <w:tcPr>
            <w:tcW w:w="0" w:type="auto"/>
          </w:tcPr>
          <w:p w14:paraId="1EED49D2" w14:textId="77777777" w:rsidR="0086771B" w:rsidRPr="00DD5377" w:rsidRDefault="0086771B" w:rsidP="003F53EA">
            <w:pPr>
              <w:jc w:val="center"/>
              <w:rPr>
                <w:rFonts w:cs="Times New Roman"/>
              </w:rPr>
            </w:pPr>
            <w:r w:rsidRPr="00DD5377">
              <w:rPr>
                <w:rFonts w:cs="Times New Roman"/>
              </w:rPr>
              <w:t>9.586</w:t>
            </w:r>
          </w:p>
        </w:tc>
        <w:tc>
          <w:tcPr>
            <w:tcW w:w="0" w:type="auto"/>
          </w:tcPr>
          <w:p w14:paraId="1035CAC5" w14:textId="77777777" w:rsidR="0086771B" w:rsidRPr="00DD5377" w:rsidRDefault="0086771B" w:rsidP="003F53EA">
            <w:pPr>
              <w:jc w:val="center"/>
              <w:rPr>
                <w:rFonts w:cs="Times New Roman"/>
              </w:rPr>
            </w:pPr>
            <w:r w:rsidRPr="00DD5377">
              <w:rPr>
                <w:rFonts w:cs="Times New Roman"/>
              </w:rPr>
              <w:t>9.946e-21</w:t>
            </w:r>
          </w:p>
        </w:tc>
      </w:tr>
      <w:tr w:rsidR="0086771B" w:rsidRPr="00DD5377" w14:paraId="20B06196" w14:textId="77777777" w:rsidTr="003F53EA">
        <w:tc>
          <w:tcPr>
            <w:tcW w:w="0" w:type="auto"/>
          </w:tcPr>
          <w:p w14:paraId="632A92D3" w14:textId="77777777" w:rsidR="0086771B" w:rsidRPr="00DD5377" w:rsidRDefault="0086771B" w:rsidP="003F53EA">
            <w:pPr>
              <w:jc w:val="center"/>
              <w:rPr>
                <w:rFonts w:cs="Times New Roman"/>
              </w:rPr>
            </w:pPr>
            <w:r w:rsidRPr="00DD5377">
              <w:rPr>
                <w:rFonts w:cs="Times New Roman"/>
              </w:rPr>
              <w:t>Size Class B: Slope</w:t>
            </w:r>
          </w:p>
        </w:tc>
        <w:tc>
          <w:tcPr>
            <w:tcW w:w="0" w:type="auto"/>
          </w:tcPr>
          <w:p w14:paraId="734F85C9" w14:textId="77777777" w:rsidR="0086771B" w:rsidRPr="00DD5377" w:rsidRDefault="0086771B" w:rsidP="003F53EA">
            <w:pPr>
              <w:jc w:val="center"/>
              <w:rPr>
                <w:rFonts w:cs="Times New Roman"/>
              </w:rPr>
            </w:pPr>
            <w:r w:rsidRPr="00DD5377">
              <w:rPr>
                <w:rFonts w:cs="Times New Roman"/>
              </w:rPr>
              <w:t>-0.005839</w:t>
            </w:r>
          </w:p>
        </w:tc>
        <w:tc>
          <w:tcPr>
            <w:tcW w:w="0" w:type="auto"/>
          </w:tcPr>
          <w:p w14:paraId="4CCC67C1" w14:textId="77777777" w:rsidR="0086771B" w:rsidRPr="00DD5377" w:rsidRDefault="0086771B" w:rsidP="003F53EA">
            <w:pPr>
              <w:jc w:val="center"/>
              <w:rPr>
                <w:rFonts w:cs="Times New Roman"/>
              </w:rPr>
            </w:pPr>
            <w:r w:rsidRPr="00DD5377">
              <w:rPr>
                <w:rFonts w:cs="Times New Roman"/>
              </w:rPr>
              <w:t>0.007915</w:t>
            </w:r>
          </w:p>
        </w:tc>
        <w:tc>
          <w:tcPr>
            <w:tcW w:w="0" w:type="auto"/>
          </w:tcPr>
          <w:p w14:paraId="58B53B24" w14:textId="77777777" w:rsidR="0086771B" w:rsidRPr="00DD5377" w:rsidRDefault="0086771B" w:rsidP="003F53EA">
            <w:pPr>
              <w:jc w:val="center"/>
              <w:rPr>
                <w:rFonts w:cs="Times New Roman"/>
              </w:rPr>
            </w:pPr>
            <w:r w:rsidRPr="00DD5377">
              <w:rPr>
                <w:rFonts w:cs="Times New Roman"/>
              </w:rPr>
              <w:t>-0.7377</w:t>
            </w:r>
          </w:p>
        </w:tc>
        <w:tc>
          <w:tcPr>
            <w:tcW w:w="0" w:type="auto"/>
          </w:tcPr>
          <w:p w14:paraId="3BAAC0BA" w14:textId="77777777" w:rsidR="0086771B" w:rsidRPr="00DD5377" w:rsidRDefault="0086771B" w:rsidP="003F53EA">
            <w:pPr>
              <w:jc w:val="center"/>
              <w:rPr>
                <w:rFonts w:cs="Times New Roman"/>
              </w:rPr>
            </w:pPr>
            <w:r w:rsidRPr="00DD5377">
              <w:rPr>
                <w:rFonts w:cs="Times New Roman"/>
              </w:rPr>
              <w:t>0.4609</w:t>
            </w:r>
          </w:p>
        </w:tc>
      </w:tr>
      <w:tr w:rsidR="0086771B" w:rsidRPr="00DD5377" w14:paraId="78075629" w14:textId="77777777" w:rsidTr="003F53EA">
        <w:tc>
          <w:tcPr>
            <w:tcW w:w="0" w:type="auto"/>
          </w:tcPr>
          <w:p w14:paraId="299C6BF2" w14:textId="77777777" w:rsidR="0086771B" w:rsidRPr="00DD5377" w:rsidRDefault="0086771B" w:rsidP="003F53EA">
            <w:pPr>
              <w:jc w:val="center"/>
              <w:rPr>
                <w:rFonts w:cs="Times New Roman"/>
              </w:rPr>
            </w:pPr>
            <w:r w:rsidRPr="00DD5377">
              <w:rPr>
                <w:rFonts w:cs="Times New Roman"/>
              </w:rPr>
              <w:t>Size Class C: Slope</w:t>
            </w:r>
          </w:p>
        </w:tc>
        <w:tc>
          <w:tcPr>
            <w:tcW w:w="0" w:type="auto"/>
          </w:tcPr>
          <w:p w14:paraId="70E5DC15" w14:textId="77777777" w:rsidR="0086771B" w:rsidRPr="00DD5377" w:rsidRDefault="0086771B" w:rsidP="003F53EA">
            <w:pPr>
              <w:jc w:val="center"/>
              <w:rPr>
                <w:rFonts w:cs="Times New Roman"/>
              </w:rPr>
            </w:pPr>
            <w:r w:rsidRPr="00DD5377">
              <w:rPr>
                <w:rFonts w:cs="Times New Roman"/>
              </w:rPr>
              <w:t>-0.07356</w:t>
            </w:r>
          </w:p>
        </w:tc>
        <w:tc>
          <w:tcPr>
            <w:tcW w:w="0" w:type="auto"/>
          </w:tcPr>
          <w:p w14:paraId="3D39022C" w14:textId="77777777" w:rsidR="0086771B" w:rsidRPr="00DD5377" w:rsidRDefault="0086771B" w:rsidP="003F53EA">
            <w:pPr>
              <w:jc w:val="center"/>
              <w:rPr>
                <w:rFonts w:cs="Times New Roman"/>
              </w:rPr>
            </w:pPr>
            <w:r w:rsidRPr="00DD5377">
              <w:rPr>
                <w:rFonts w:cs="Times New Roman"/>
              </w:rPr>
              <w:t>0.03281</w:t>
            </w:r>
          </w:p>
        </w:tc>
        <w:tc>
          <w:tcPr>
            <w:tcW w:w="0" w:type="auto"/>
          </w:tcPr>
          <w:p w14:paraId="4F15253B" w14:textId="77777777" w:rsidR="0086771B" w:rsidRPr="00DD5377" w:rsidRDefault="0086771B" w:rsidP="003F53EA">
            <w:pPr>
              <w:jc w:val="center"/>
              <w:rPr>
                <w:rFonts w:cs="Times New Roman"/>
              </w:rPr>
            </w:pPr>
            <w:r w:rsidRPr="00DD5377">
              <w:rPr>
                <w:rFonts w:cs="Times New Roman"/>
              </w:rPr>
              <w:t>-2.242</w:t>
            </w:r>
          </w:p>
        </w:tc>
        <w:tc>
          <w:tcPr>
            <w:tcW w:w="0" w:type="auto"/>
          </w:tcPr>
          <w:p w14:paraId="79421AB4" w14:textId="77777777" w:rsidR="0086771B" w:rsidRPr="00DD5377" w:rsidRDefault="0086771B" w:rsidP="003F53EA">
            <w:pPr>
              <w:jc w:val="center"/>
              <w:rPr>
                <w:rFonts w:cs="Times New Roman"/>
              </w:rPr>
            </w:pPr>
            <w:r w:rsidRPr="00DD5377">
              <w:rPr>
                <w:rFonts w:cs="Times New Roman"/>
              </w:rPr>
              <w:t>0.02524</w:t>
            </w:r>
          </w:p>
        </w:tc>
      </w:tr>
      <w:tr w:rsidR="0086771B" w:rsidRPr="00DD5377" w14:paraId="3FC87831" w14:textId="77777777" w:rsidTr="003F53EA">
        <w:tc>
          <w:tcPr>
            <w:tcW w:w="0" w:type="auto"/>
          </w:tcPr>
          <w:p w14:paraId="4C815CF4" w14:textId="77777777" w:rsidR="0086771B" w:rsidRPr="00DD5377" w:rsidRDefault="0086771B" w:rsidP="003F53EA">
            <w:pPr>
              <w:jc w:val="center"/>
              <w:rPr>
                <w:rFonts w:cs="Times New Roman"/>
              </w:rPr>
            </w:pPr>
            <w:r w:rsidRPr="00DD5377">
              <w:rPr>
                <w:rFonts w:cs="Times New Roman"/>
              </w:rPr>
              <w:t>Size Class D: Slope</w:t>
            </w:r>
          </w:p>
        </w:tc>
        <w:tc>
          <w:tcPr>
            <w:tcW w:w="0" w:type="auto"/>
          </w:tcPr>
          <w:p w14:paraId="19D7D270" w14:textId="77777777" w:rsidR="0086771B" w:rsidRPr="00DD5377" w:rsidRDefault="0086771B" w:rsidP="003F53EA">
            <w:pPr>
              <w:jc w:val="center"/>
              <w:rPr>
                <w:rFonts w:cs="Times New Roman"/>
              </w:rPr>
            </w:pPr>
            <w:r w:rsidRPr="00DD5377">
              <w:rPr>
                <w:rFonts w:cs="Times New Roman"/>
              </w:rPr>
              <w:t>-0.3441</w:t>
            </w:r>
          </w:p>
        </w:tc>
        <w:tc>
          <w:tcPr>
            <w:tcW w:w="0" w:type="auto"/>
          </w:tcPr>
          <w:p w14:paraId="07B0C558" w14:textId="77777777" w:rsidR="0086771B" w:rsidRPr="00DD5377" w:rsidRDefault="0086771B" w:rsidP="003F53EA">
            <w:pPr>
              <w:jc w:val="center"/>
              <w:rPr>
                <w:rFonts w:cs="Times New Roman"/>
              </w:rPr>
            </w:pPr>
            <w:r w:rsidRPr="00DD5377">
              <w:rPr>
                <w:rFonts w:cs="Times New Roman"/>
              </w:rPr>
              <w:t>0.2031</w:t>
            </w:r>
          </w:p>
        </w:tc>
        <w:tc>
          <w:tcPr>
            <w:tcW w:w="0" w:type="auto"/>
          </w:tcPr>
          <w:p w14:paraId="238F6C5B" w14:textId="77777777" w:rsidR="0086771B" w:rsidRPr="00DD5377" w:rsidRDefault="0086771B" w:rsidP="003F53EA">
            <w:pPr>
              <w:jc w:val="center"/>
              <w:rPr>
                <w:rFonts w:cs="Times New Roman"/>
              </w:rPr>
            </w:pPr>
            <w:r w:rsidRPr="00DD5377">
              <w:rPr>
                <w:rFonts w:cs="Times New Roman"/>
              </w:rPr>
              <w:t>-1.694</w:t>
            </w:r>
          </w:p>
        </w:tc>
        <w:tc>
          <w:tcPr>
            <w:tcW w:w="0" w:type="auto"/>
          </w:tcPr>
          <w:p w14:paraId="503C990D" w14:textId="77777777" w:rsidR="0086771B" w:rsidRPr="00DD5377" w:rsidRDefault="0086771B" w:rsidP="003F53EA">
            <w:pPr>
              <w:jc w:val="center"/>
              <w:rPr>
                <w:rFonts w:cs="Times New Roman"/>
              </w:rPr>
            </w:pPr>
            <w:r w:rsidRPr="00DD5377">
              <w:rPr>
                <w:rFonts w:cs="Times New Roman"/>
              </w:rPr>
              <w:t>0.09064</w:t>
            </w:r>
          </w:p>
        </w:tc>
      </w:tr>
    </w:tbl>
    <w:p w14:paraId="08B7BBEE" w14:textId="77777777" w:rsidR="0086771B" w:rsidRPr="00B376D2" w:rsidRDefault="0086771B" w:rsidP="0086771B">
      <w:pPr>
        <w:rPr>
          <w:rFonts w:cs="Times New Roman"/>
        </w:rPr>
      </w:pPr>
      <w:r w:rsidRPr="00F759C2">
        <w:rPr>
          <w:rFonts w:cs="Times New Roman"/>
          <w:b/>
        </w:rPr>
        <w:t>Table 3.</w:t>
      </w:r>
      <w:r w:rsidRPr="00DD5377">
        <w:rPr>
          <w:rFonts w:cs="Times New Roman"/>
        </w:rPr>
        <w:t xml:space="preserve"> Intercept and slope parameter estimates resulting from ANCOVA;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DD5377">
        <w:rPr>
          <w:rFonts w:cs="Times New Roman"/>
        </w:rPr>
        <w:t xml:space="preserve"> = 0.2826, </w:t>
      </w:r>
      <m:oMath>
        <m:r>
          <w:rPr>
            <w:rFonts w:ascii="Cambria Math" w:hAnsi="Cambria Math" w:cs="Times New Roman"/>
          </w:rPr>
          <m:t>F</m:t>
        </m:r>
      </m:oMath>
      <w:r w:rsidRPr="00DD5377">
        <w:rPr>
          <w:rFonts w:cs="Times New Roman"/>
        </w:rPr>
        <w:t xml:space="preserve"> = 66.51, </w:t>
      </w:r>
      <w:r w:rsidRPr="00DD5377">
        <w:rPr>
          <w:rFonts w:cs="Times New Roman"/>
          <w:i/>
        </w:rPr>
        <w:t>df</w:t>
      </w:r>
      <w:r w:rsidRPr="00DD5377">
        <w:rPr>
          <w:rFonts w:cs="Times New Roman"/>
        </w:rPr>
        <w:t xml:space="preserve"> = 5 and 844, p &lt; 0.001.</w:t>
      </w:r>
      <w:r>
        <w:rPr>
          <w:b/>
        </w:rPr>
        <w:br w:type="page"/>
      </w:r>
    </w:p>
    <w:p w14:paraId="0BB161EC" w14:textId="3F696B74" w:rsidR="0086771B" w:rsidRDefault="0086771B" w:rsidP="00AF5DC6">
      <w:pPr>
        <w:spacing w:after="0"/>
      </w:pPr>
      <w:r>
        <w:rPr>
          <w:b/>
        </w:rPr>
        <w:lastRenderedPageBreak/>
        <w:t>Figure 1.</w:t>
      </w:r>
      <w:r>
        <w:t xml:space="preserve"> Component regression models (</w:t>
      </w:r>
      <w:r w:rsidRPr="009348BE">
        <w:t>A-C</w:t>
      </w:r>
      <w:r>
        <w:t>) combined to parameterize the IPM kernel (</w:t>
      </w:r>
      <w:r w:rsidRPr="009348BE">
        <w:t>D</w:t>
      </w:r>
      <w:r>
        <w:t xml:space="preserve">). The IPM kernel is a function of survival, growth, and fecundity. (A) Survival probability was fit as a logistic regression model, with plant size at time </w:t>
      </w:r>
      <w:r>
        <w:rPr>
          <w:i/>
        </w:rPr>
        <w:t>t</w:t>
      </w:r>
      <w:r>
        <w:t xml:space="preserve"> as a predictor variable of survival to time </w:t>
      </w:r>
      <w:r>
        <w:rPr>
          <w:i/>
        </w:rPr>
        <w:t>t+1</w:t>
      </w:r>
      <w:r>
        <w:t xml:space="preserve">. (B) Growth was fit as a linear regression, treating size at time </w:t>
      </w:r>
      <w:r>
        <w:rPr>
          <w:i/>
        </w:rPr>
        <w:t>t</w:t>
      </w:r>
      <w:r>
        <w:t xml:space="preserve"> as the predictor of size at time </w:t>
      </w:r>
      <w:r>
        <w:rPr>
          <w:i/>
        </w:rPr>
        <w:t>t+1</w:t>
      </w:r>
      <w:r>
        <w:t xml:space="preserve">. (C) Number of fruit per individual was fit using an ANCOVA model, allowing for unequal slope and intercept values. Plants were assigned into categorical sizes and plot effective density was treated as a continuous predictor variable, with log(Fruit count) as the response variable. (D) A full IPM kernel function was parameterized using results from these regressions and other parameters estimated from literature (see </w:t>
      </w:r>
      <w:r w:rsidRPr="003B1761">
        <w:t>equation (</w:t>
      </w:r>
      <w:r>
        <w:t>3</w:t>
      </w:r>
      <w:r w:rsidRPr="003B1761">
        <w:t>)</w:t>
      </w:r>
      <w:r>
        <w:t>). This kernel was discretized yielding a 50 x 50 matrix analogous to a 50-stage transition matrix.</w:t>
      </w:r>
    </w:p>
    <w:p w14:paraId="4A4C1134" w14:textId="77777777" w:rsidR="00AF5DC6" w:rsidRPr="00E47662" w:rsidRDefault="00AF5DC6" w:rsidP="00AF5DC6">
      <w:pPr>
        <w:spacing w:after="0"/>
      </w:pPr>
    </w:p>
    <w:p w14:paraId="4739AA0B" w14:textId="016B5B60" w:rsidR="00AF5DC6" w:rsidRDefault="00AF5DC6" w:rsidP="00AF5DC6">
      <w:pPr>
        <w:spacing w:after="0"/>
        <w:rPr>
          <w:rFonts w:cs="Times New Roman"/>
          <w:iCs/>
        </w:rPr>
      </w:pPr>
      <w:r>
        <w:rPr>
          <w:b/>
        </w:rPr>
        <w:t>Figure 2.</w:t>
      </w:r>
      <w:r>
        <w:t xml:space="preserve"> Habitat suitability (HS) through time. (A) Study region (red square) with respect to northeast and middle North America, and all occurrence records. (B) HS for six representative time points. Black dots are </w:t>
      </w:r>
      <w:r>
        <w:rPr>
          <w:rFonts w:cs="Times New Roman"/>
          <w:i/>
          <w:iCs/>
        </w:rPr>
        <w:t xml:space="preserve">F. </w:t>
      </w:r>
      <w:proofErr w:type="spellStart"/>
      <w:r>
        <w:rPr>
          <w:rFonts w:cs="Times New Roman"/>
          <w:i/>
          <w:iCs/>
        </w:rPr>
        <w:t>alnus</w:t>
      </w:r>
      <w:proofErr w:type="spellEnd"/>
      <w:r>
        <w:rPr>
          <w:rFonts w:cs="Times New Roman"/>
          <w:i/>
          <w:iCs/>
        </w:rPr>
        <w:t xml:space="preserve"> </w:t>
      </w:r>
      <w:r>
        <w:rPr>
          <w:rFonts w:cs="Times New Roman"/>
          <w:iCs/>
        </w:rPr>
        <w:t>occurrence records up to, and including, the HS layer year. (C) Change in total metapopulation carrying capacity through time under high, medium, and low scenarios.</w:t>
      </w:r>
    </w:p>
    <w:p w14:paraId="0E9D30E5" w14:textId="77777777" w:rsidR="00AF5DC6" w:rsidRDefault="00AF5DC6" w:rsidP="00AF5DC6">
      <w:pPr>
        <w:spacing w:after="0"/>
        <w:rPr>
          <w:rFonts w:cs="Times New Roman"/>
          <w:iCs/>
        </w:rPr>
      </w:pPr>
    </w:p>
    <w:p w14:paraId="0A3D4223" w14:textId="0351C8F4" w:rsidR="00AF5DC6" w:rsidRDefault="00AF5DC6" w:rsidP="00AF5DC6">
      <w:pPr>
        <w:spacing w:after="0"/>
      </w:pPr>
      <w:r w:rsidRPr="00642FC2">
        <w:rPr>
          <w:b/>
        </w:rPr>
        <w:t xml:space="preserve">Figure </w:t>
      </w:r>
      <w:r>
        <w:rPr>
          <w:b/>
        </w:rPr>
        <w:t>3.</w:t>
      </w:r>
      <w:r>
        <w:t xml:space="preserve"> Sensitivity of simulation models through time. </w:t>
      </w:r>
      <w:bookmarkStart w:id="9" w:name="OLE_LINK3"/>
      <w:bookmarkStart w:id="10" w:name="OLE_LINK4"/>
      <w:r>
        <w:t xml:space="preserve">Simulations plotted here were those using plot effective density dependence, land-use change, and long-distance dispersal weighted by human population density. </w:t>
      </w:r>
      <w:bookmarkEnd w:id="9"/>
      <w:bookmarkEnd w:id="10"/>
      <w:r>
        <w:t xml:space="preserve">The sensitivity of each model with respect to historical occurrence records was calculated for each year of the simulation (1911 to 2010). A sensitivity value of 1 indicates that the simulation predicted occurrences in all populations where </w:t>
      </w:r>
      <w:r>
        <w:rPr>
          <w:rFonts w:cs="Times New Roman"/>
          <w:i/>
          <w:iCs/>
        </w:rPr>
        <w:t xml:space="preserve">F. </w:t>
      </w:r>
      <w:proofErr w:type="spellStart"/>
      <w:r>
        <w:rPr>
          <w:rFonts w:cs="Times New Roman"/>
          <w:i/>
          <w:iCs/>
        </w:rPr>
        <w:t>alnus</w:t>
      </w:r>
      <w:proofErr w:type="spellEnd"/>
      <w:r>
        <w:rPr>
          <w:rFonts w:cs="Times New Roman"/>
          <w:iCs/>
        </w:rPr>
        <w:t xml:space="preserve"> was observed in that year or prior. </w:t>
      </w:r>
      <w:r>
        <w:t xml:space="preserve">Results from the three different occupancy thresholds are represented by three different colors. </w:t>
      </w:r>
    </w:p>
    <w:p w14:paraId="7396F614" w14:textId="77777777" w:rsidR="00AF5DC6" w:rsidRPr="00174688" w:rsidRDefault="00AF5DC6" w:rsidP="00AF5DC6">
      <w:pPr>
        <w:spacing w:after="0"/>
      </w:pPr>
    </w:p>
    <w:p w14:paraId="5681FEC1" w14:textId="42800DFF" w:rsidR="0086771B" w:rsidRDefault="0086771B" w:rsidP="00AF5DC6">
      <w:pPr>
        <w:spacing w:after="0"/>
      </w:pPr>
      <w:r>
        <w:rPr>
          <w:b/>
        </w:rPr>
        <w:t xml:space="preserve">Figure 4. </w:t>
      </w:r>
      <w:r>
        <w:t xml:space="preserve">Cumulative occupied area (measured as the number of 20 x 20 km patches classified as occupied) curves for all simulation models. Simulations presented here are those using plot effective density dependence, land-use change, and long-distance dispersal weighted by human population density. The black line represents cumulative occupied area for </w:t>
      </w:r>
      <w:r>
        <w:rPr>
          <w:rFonts w:eastAsiaTheme="minorEastAsia" w:cs="Times New Roman"/>
          <w:i/>
          <w:iCs/>
        </w:rPr>
        <w:t xml:space="preserve">F. </w:t>
      </w:r>
      <w:proofErr w:type="spellStart"/>
      <w:r>
        <w:rPr>
          <w:rFonts w:eastAsiaTheme="minorEastAsia" w:cs="Times New Roman"/>
          <w:i/>
          <w:iCs/>
        </w:rPr>
        <w:t>alnus</w:t>
      </w:r>
      <w:proofErr w:type="spellEnd"/>
      <w:r>
        <w:t xml:space="preserve"> based on historical occurrence records. Results from three different occupancy thresholds are represented by three different colors. The red line represents the square-root of the maximum number of patches occupied, based on the historical observations.</w:t>
      </w:r>
    </w:p>
    <w:p w14:paraId="45A5C3B5" w14:textId="77777777" w:rsidR="00AF5DC6" w:rsidRDefault="00AF5DC6" w:rsidP="00AF5DC6">
      <w:pPr>
        <w:spacing w:after="0"/>
      </w:pPr>
    </w:p>
    <w:p w14:paraId="7538B2DF" w14:textId="3D61F5AB" w:rsidR="0086771B" w:rsidRPr="00AF5DC6" w:rsidRDefault="0086771B" w:rsidP="00AF5DC6">
      <w:pPr>
        <w:spacing w:after="0"/>
        <w:rPr>
          <w:b/>
        </w:rPr>
      </w:pPr>
      <w:r>
        <w:rPr>
          <w:b/>
        </w:rPr>
        <w:t xml:space="preserve">Figure 5. </w:t>
      </w:r>
      <w:r>
        <w:t>Sensitivity versus positive predictive power for simulations using plot effective density dependence, land-use change, and long-distance dispersal weighted by human population density. Model fit measures were calculated based on an occupancy threshold of 1000 individuals. Simulations classified as having a combined sensitivity and positive predictive power metric value of 1 (90 of 500 simulations) are black, all others are grey.</w:t>
      </w:r>
    </w:p>
    <w:p w14:paraId="73A6DFDE" w14:textId="77777777" w:rsidR="00AF5DC6" w:rsidRDefault="00AF5DC6" w:rsidP="00AF5DC6">
      <w:pPr>
        <w:spacing w:after="0"/>
        <w:rPr>
          <w:b/>
        </w:rPr>
      </w:pPr>
    </w:p>
    <w:p w14:paraId="0A22AFFC" w14:textId="7C2A08F7" w:rsidR="0086771B" w:rsidRPr="000D138D" w:rsidRDefault="0086771B" w:rsidP="00AF5DC6">
      <w:pPr>
        <w:spacing w:after="0"/>
        <w:rPr>
          <w:b/>
        </w:rPr>
      </w:pPr>
      <w:r>
        <w:rPr>
          <w:b/>
        </w:rPr>
        <w:t xml:space="preserve">Figure 6. </w:t>
      </w:r>
      <w:r>
        <w:t>Response curves of predictor variables versus combined sensitivity and positive predictive power metric from BRT analysis. Each parameters relative influence value is in parentheses after the parameter name. Higher logit(p) values indicate better fit.</w:t>
      </w:r>
    </w:p>
    <w:p w14:paraId="4D60A6C5" w14:textId="77777777" w:rsidR="00AF5DC6" w:rsidRDefault="00AF5DC6" w:rsidP="00AF5DC6">
      <w:pPr>
        <w:spacing w:after="0"/>
      </w:pPr>
    </w:p>
    <w:p w14:paraId="364CCF1E" w14:textId="7969C4BD" w:rsidR="00AF5DC6" w:rsidRDefault="0086771B" w:rsidP="00AF5DC6">
      <w:pPr>
        <w:spacing w:after="0"/>
      </w:pPr>
      <w:r>
        <w:rPr>
          <w:b/>
        </w:rPr>
        <w:t>Figure 7.</w:t>
      </w:r>
      <w:r>
        <w:t xml:space="preserve"> Input parameter density plots with dark grey densities representing all 500 randomly generated parameter sets and light gray densities representing parameter sets with combined </w:t>
      </w:r>
      <w:r>
        <w:lastRenderedPageBreak/>
        <w:t xml:space="preserve">sensitivity and positive predictive power metric equal to 1. Occupancy threshold was set as 1000 individuals in a patch. </w:t>
      </w:r>
    </w:p>
    <w:p w14:paraId="69AD9027" w14:textId="77777777" w:rsidR="00AF5DC6" w:rsidRDefault="00AF5DC6" w:rsidP="00AF5DC6">
      <w:pPr>
        <w:spacing w:after="0"/>
        <w:rPr>
          <w:b/>
        </w:rPr>
      </w:pPr>
    </w:p>
    <w:p w14:paraId="3CC908FD" w14:textId="486A6FB8" w:rsidR="0086771B" w:rsidRPr="00AF5DC6" w:rsidRDefault="0086771B" w:rsidP="00AF5DC6">
      <w:pPr>
        <w:spacing w:after="0"/>
        <w:rPr>
          <w:b/>
        </w:rPr>
      </w:pPr>
      <w:r>
        <w:rPr>
          <w:b/>
        </w:rPr>
        <w:t xml:space="preserve">Figure 8. </w:t>
      </w:r>
      <w:r>
        <w:t>Four most important interactions among input parameters, as determined by BRT analysis. Higher logit (p) values indicate better fit.</w:t>
      </w:r>
    </w:p>
    <w:p w14:paraId="076AB56B" w14:textId="4D03EF76" w:rsidR="0086771B" w:rsidRPr="002C4F63" w:rsidRDefault="0086771B" w:rsidP="0086771B">
      <w:pPr>
        <w:rPr>
          <w:rFonts w:ascii="Times" w:eastAsiaTheme="minorEastAsia" w:hAnsi="Times" w:cs="Times New Roman"/>
        </w:rPr>
      </w:pPr>
      <w:r>
        <w:t xml:space="preserve"> </w:t>
      </w:r>
    </w:p>
    <w:p w14:paraId="6E99864D" w14:textId="4690E53E" w:rsidR="00A5249C" w:rsidRPr="00585348" w:rsidRDefault="00A5249C" w:rsidP="00585348">
      <w:pPr>
        <w:spacing w:after="0"/>
        <w:rPr>
          <w:rFonts w:cs="Times New Roman"/>
          <w:noProof/>
        </w:rPr>
      </w:pPr>
    </w:p>
    <w:sectPr w:rsidR="00A5249C" w:rsidRPr="00585348" w:rsidSect="00F248AF">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EFA74" w14:textId="77777777" w:rsidR="00030813" w:rsidRDefault="00030813" w:rsidP="009B5309">
      <w:pPr>
        <w:spacing w:after="0"/>
      </w:pPr>
      <w:r>
        <w:separator/>
      </w:r>
    </w:p>
  </w:endnote>
  <w:endnote w:type="continuationSeparator" w:id="0">
    <w:p w14:paraId="304C3ECA" w14:textId="77777777" w:rsidR="00030813" w:rsidRDefault="00030813" w:rsidP="009B53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455A9" w14:textId="77777777" w:rsidR="00B35E9A" w:rsidRDefault="00B35E9A" w:rsidP="007E6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E1765" w14:textId="77777777" w:rsidR="00B35E9A" w:rsidRDefault="00B35E9A" w:rsidP="009B53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95C30" w14:textId="77777777" w:rsidR="00B35E9A" w:rsidRDefault="00B35E9A" w:rsidP="007E6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5F45763" w14:textId="77777777" w:rsidR="00B35E9A" w:rsidRDefault="00B35E9A" w:rsidP="009B53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7DBF0" w14:textId="77777777" w:rsidR="00030813" w:rsidRDefault="00030813" w:rsidP="009B5309">
      <w:pPr>
        <w:spacing w:after="0"/>
      </w:pPr>
      <w:r>
        <w:separator/>
      </w:r>
    </w:p>
  </w:footnote>
  <w:footnote w:type="continuationSeparator" w:id="0">
    <w:p w14:paraId="5058177E" w14:textId="77777777" w:rsidR="00030813" w:rsidRDefault="00030813" w:rsidP="009B53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D2C88B5"/>
    <w:multiLevelType w:val="multilevel"/>
    <w:tmpl w:val="DDBAD1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FA2315"/>
    <w:multiLevelType w:val="multilevel"/>
    <w:tmpl w:val="0CA46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FA3409A"/>
    <w:multiLevelType w:val="hybridMultilevel"/>
    <w:tmpl w:val="0FE6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36093"/>
    <w:multiLevelType w:val="hybridMultilevel"/>
    <w:tmpl w:val="40A0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F183B"/>
    <w:multiLevelType w:val="hybridMultilevel"/>
    <w:tmpl w:val="8EF4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24C7"/>
    <w:rsid w:val="000025AC"/>
    <w:rsid w:val="00013CF5"/>
    <w:rsid w:val="00016FC2"/>
    <w:rsid w:val="00020D3D"/>
    <w:rsid w:val="000221A7"/>
    <w:rsid w:val="0002288A"/>
    <w:rsid w:val="00030813"/>
    <w:rsid w:val="000319B8"/>
    <w:rsid w:val="00032429"/>
    <w:rsid w:val="00033485"/>
    <w:rsid w:val="00033550"/>
    <w:rsid w:val="00041B32"/>
    <w:rsid w:val="00041BCD"/>
    <w:rsid w:val="000435C7"/>
    <w:rsid w:val="00044D47"/>
    <w:rsid w:val="00060412"/>
    <w:rsid w:val="00063458"/>
    <w:rsid w:val="000655B2"/>
    <w:rsid w:val="00066A19"/>
    <w:rsid w:val="00072866"/>
    <w:rsid w:val="0007654D"/>
    <w:rsid w:val="00081983"/>
    <w:rsid w:val="00093FAC"/>
    <w:rsid w:val="00094D33"/>
    <w:rsid w:val="00095C5C"/>
    <w:rsid w:val="00096DB3"/>
    <w:rsid w:val="000974EC"/>
    <w:rsid w:val="000A083F"/>
    <w:rsid w:val="000A22B2"/>
    <w:rsid w:val="000A48D1"/>
    <w:rsid w:val="000A7A24"/>
    <w:rsid w:val="000B1DDE"/>
    <w:rsid w:val="000B1EF0"/>
    <w:rsid w:val="000B3E73"/>
    <w:rsid w:val="000B5C64"/>
    <w:rsid w:val="000C167C"/>
    <w:rsid w:val="000C2E2A"/>
    <w:rsid w:val="000C3E2F"/>
    <w:rsid w:val="000D138D"/>
    <w:rsid w:val="000D2B5E"/>
    <w:rsid w:val="000D6063"/>
    <w:rsid w:val="000E0B57"/>
    <w:rsid w:val="000E4C18"/>
    <w:rsid w:val="000E5404"/>
    <w:rsid w:val="000F20BC"/>
    <w:rsid w:val="000F318E"/>
    <w:rsid w:val="000F3C7F"/>
    <w:rsid w:val="000F403F"/>
    <w:rsid w:val="00100848"/>
    <w:rsid w:val="001014C1"/>
    <w:rsid w:val="0010180E"/>
    <w:rsid w:val="00101BBA"/>
    <w:rsid w:val="001033EC"/>
    <w:rsid w:val="00103578"/>
    <w:rsid w:val="00103CED"/>
    <w:rsid w:val="0010591B"/>
    <w:rsid w:val="00111CAC"/>
    <w:rsid w:val="00112BFA"/>
    <w:rsid w:val="0011442D"/>
    <w:rsid w:val="00120EEE"/>
    <w:rsid w:val="00136C76"/>
    <w:rsid w:val="00143488"/>
    <w:rsid w:val="001434E7"/>
    <w:rsid w:val="00146A4E"/>
    <w:rsid w:val="00146B20"/>
    <w:rsid w:val="00146F8D"/>
    <w:rsid w:val="001546D8"/>
    <w:rsid w:val="0016100B"/>
    <w:rsid w:val="00163590"/>
    <w:rsid w:val="00163C0A"/>
    <w:rsid w:val="00171A0C"/>
    <w:rsid w:val="001826DE"/>
    <w:rsid w:val="00183A4A"/>
    <w:rsid w:val="00184461"/>
    <w:rsid w:val="00185024"/>
    <w:rsid w:val="00187E6B"/>
    <w:rsid w:val="001A45A4"/>
    <w:rsid w:val="001A6035"/>
    <w:rsid w:val="001B0D02"/>
    <w:rsid w:val="001B1BB2"/>
    <w:rsid w:val="001B38BB"/>
    <w:rsid w:val="001B7D80"/>
    <w:rsid w:val="001C10A5"/>
    <w:rsid w:val="001C1947"/>
    <w:rsid w:val="001C28A5"/>
    <w:rsid w:val="001C54A5"/>
    <w:rsid w:val="001C73B7"/>
    <w:rsid w:val="001D21F3"/>
    <w:rsid w:val="001D4179"/>
    <w:rsid w:val="001D4AA3"/>
    <w:rsid w:val="001D5054"/>
    <w:rsid w:val="001D6609"/>
    <w:rsid w:val="001E3B84"/>
    <w:rsid w:val="001E79FC"/>
    <w:rsid w:val="001F20DD"/>
    <w:rsid w:val="00200D62"/>
    <w:rsid w:val="00205410"/>
    <w:rsid w:val="002128E3"/>
    <w:rsid w:val="002131FB"/>
    <w:rsid w:val="00216FE6"/>
    <w:rsid w:val="002221EC"/>
    <w:rsid w:val="00224AC9"/>
    <w:rsid w:val="002256D3"/>
    <w:rsid w:val="00227A8D"/>
    <w:rsid w:val="00227BE1"/>
    <w:rsid w:val="00231831"/>
    <w:rsid w:val="00231C35"/>
    <w:rsid w:val="002349B1"/>
    <w:rsid w:val="00234BD0"/>
    <w:rsid w:val="002366A2"/>
    <w:rsid w:val="00236A90"/>
    <w:rsid w:val="00240344"/>
    <w:rsid w:val="0025074E"/>
    <w:rsid w:val="00251499"/>
    <w:rsid w:val="00255708"/>
    <w:rsid w:val="00256E04"/>
    <w:rsid w:val="00262A8C"/>
    <w:rsid w:val="00263874"/>
    <w:rsid w:val="0026696D"/>
    <w:rsid w:val="00274152"/>
    <w:rsid w:val="00277CD1"/>
    <w:rsid w:val="00281577"/>
    <w:rsid w:val="002904B0"/>
    <w:rsid w:val="00291606"/>
    <w:rsid w:val="00294492"/>
    <w:rsid w:val="00296588"/>
    <w:rsid w:val="002A1500"/>
    <w:rsid w:val="002A4818"/>
    <w:rsid w:val="002A4FC1"/>
    <w:rsid w:val="002A5F68"/>
    <w:rsid w:val="002A6760"/>
    <w:rsid w:val="002B2C69"/>
    <w:rsid w:val="002C0650"/>
    <w:rsid w:val="002C1390"/>
    <w:rsid w:val="002C1C31"/>
    <w:rsid w:val="002C4D8D"/>
    <w:rsid w:val="002C53DC"/>
    <w:rsid w:val="002C6315"/>
    <w:rsid w:val="002C7340"/>
    <w:rsid w:val="002D097D"/>
    <w:rsid w:val="002D67DB"/>
    <w:rsid w:val="002E059D"/>
    <w:rsid w:val="002E5E43"/>
    <w:rsid w:val="002F1DA1"/>
    <w:rsid w:val="002F35C2"/>
    <w:rsid w:val="002F5D6C"/>
    <w:rsid w:val="00310A8E"/>
    <w:rsid w:val="00310F2B"/>
    <w:rsid w:val="00313EB6"/>
    <w:rsid w:val="00316F25"/>
    <w:rsid w:val="003170A7"/>
    <w:rsid w:val="0032577E"/>
    <w:rsid w:val="003347E0"/>
    <w:rsid w:val="00335464"/>
    <w:rsid w:val="00335CDB"/>
    <w:rsid w:val="003361F5"/>
    <w:rsid w:val="00336C73"/>
    <w:rsid w:val="00337F67"/>
    <w:rsid w:val="00340215"/>
    <w:rsid w:val="003430F8"/>
    <w:rsid w:val="00343259"/>
    <w:rsid w:val="00345732"/>
    <w:rsid w:val="0034661B"/>
    <w:rsid w:val="00346C27"/>
    <w:rsid w:val="00347FBE"/>
    <w:rsid w:val="00352380"/>
    <w:rsid w:val="00352B69"/>
    <w:rsid w:val="0035597F"/>
    <w:rsid w:val="00356392"/>
    <w:rsid w:val="003615AD"/>
    <w:rsid w:val="00361EC1"/>
    <w:rsid w:val="00361F91"/>
    <w:rsid w:val="003679E2"/>
    <w:rsid w:val="00367DC6"/>
    <w:rsid w:val="003728AA"/>
    <w:rsid w:val="00375D20"/>
    <w:rsid w:val="0037719E"/>
    <w:rsid w:val="003778D9"/>
    <w:rsid w:val="00391A66"/>
    <w:rsid w:val="003963B4"/>
    <w:rsid w:val="003A15C2"/>
    <w:rsid w:val="003A1D75"/>
    <w:rsid w:val="003A473D"/>
    <w:rsid w:val="003B1761"/>
    <w:rsid w:val="003B3C3E"/>
    <w:rsid w:val="003B6AD1"/>
    <w:rsid w:val="003B7258"/>
    <w:rsid w:val="003C04CD"/>
    <w:rsid w:val="003C2558"/>
    <w:rsid w:val="003D5E29"/>
    <w:rsid w:val="003E05CF"/>
    <w:rsid w:val="003E095B"/>
    <w:rsid w:val="003E0FC2"/>
    <w:rsid w:val="003E1CE3"/>
    <w:rsid w:val="003E5F76"/>
    <w:rsid w:val="003E6557"/>
    <w:rsid w:val="003E6660"/>
    <w:rsid w:val="003F27B3"/>
    <w:rsid w:val="00403D24"/>
    <w:rsid w:val="00403E2C"/>
    <w:rsid w:val="00404DA2"/>
    <w:rsid w:val="004155B9"/>
    <w:rsid w:val="0042035B"/>
    <w:rsid w:val="00427958"/>
    <w:rsid w:val="00442A82"/>
    <w:rsid w:val="0044478D"/>
    <w:rsid w:val="00446246"/>
    <w:rsid w:val="004475C3"/>
    <w:rsid w:val="00451A7F"/>
    <w:rsid w:val="00452FFA"/>
    <w:rsid w:val="004608EA"/>
    <w:rsid w:val="00460B3A"/>
    <w:rsid w:val="00460CD6"/>
    <w:rsid w:val="004639BE"/>
    <w:rsid w:val="00463CEA"/>
    <w:rsid w:val="00466D1E"/>
    <w:rsid w:val="004675B6"/>
    <w:rsid w:val="00473128"/>
    <w:rsid w:val="00483D64"/>
    <w:rsid w:val="0049075C"/>
    <w:rsid w:val="004A0408"/>
    <w:rsid w:val="004A75BE"/>
    <w:rsid w:val="004B08A2"/>
    <w:rsid w:val="004B385C"/>
    <w:rsid w:val="004B5CE8"/>
    <w:rsid w:val="004B739F"/>
    <w:rsid w:val="004B7DE4"/>
    <w:rsid w:val="004B7E65"/>
    <w:rsid w:val="004C241B"/>
    <w:rsid w:val="004C250D"/>
    <w:rsid w:val="004C3842"/>
    <w:rsid w:val="004C6AC9"/>
    <w:rsid w:val="004D3C83"/>
    <w:rsid w:val="004D7550"/>
    <w:rsid w:val="004E10B9"/>
    <w:rsid w:val="004E16AB"/>
    <w:rsid w:val="004E5F17"/>
    <w:rsid w:val="004F1A91"/>
    <w:rsid w:val="00504B0B"/>
    <w:rsid w:val="005055DA"/>
    <w:rsid w:val="005064B8"/>
    <w:rsid w:val="005142E9"/>
    <w:rsid w:val="005143FE"/>
    <w:rsid w:val="00515162"/>
    <w:rsid w:val="00517F9A"/>
    <w:rsid w:val="00524267"/>
    <w:rsid w:val="005250B5"/>
    <w:rsid w:val="0052606C"/>
    <w:rsid w:val="0052608D"/>
    <w:rsid w:val="00527BFD"/>
    <w:rsid w:val="00530D11"/>
    <w:rsid w:val="00534F05"/>
    <w:rsid w:val="00540002"/>
    <w:rsid w:val="00542040"/>
    <w:rsid w:val="00545D7D"/>
    <w:rsid w:val="005533EE"/>
    <w:rsid w:val="0055552A"/>
    <w:rsid w:val="005561E6"/>
    <w:rsid w:val="00557691"/>
    <w:rsid w:val="005606E1"/>
    <w:rsid w:val="00565266"/>
    <w:rsid w:val="00567FAF"/>
    <w:rsid w:val="00574CE4"/>
    <w:rsid w:val="00575D59"/>
    <w:rsid w:val="0057620D"/>
    <w:rsid w:val="005826E8"/>
    <w:rsid w:val="005846B3"/>
    <w:rsid w:val="00584E00"/>
    <w:rsid w:val="00585348"/>
    <w:rsid w:val="005876EF"/>
    <w:rsid w:val="00590BDB"/>
    <w:rsid w:val="0059229F"/>
    <w:rsid w:val="005923D8"/>
    <w:rsid w:val="005A0452"/>
    <w:rsid w:val="005A65F3"/>
    <w:rsid w:val="005A6FC6"/>
    <w:rsid w:val="005B08EA"/>
    <w:rsid w:val="005B391B"/>
    <w:rsid w:val="005B7820"/>
    <w:rsid w:val="005C19D0"/>
    <w:rsid w:val="005C71E0"/>
    <w:rsid w:val="005D24B8"/>
    <w:rsid w:val="005E0AEA"/>
    <w:rsid w:val="005E2BFA"/>
    <w:rsid w:val="005E4781"/>
    <w:rsid w:val="00607634"/>
    <w:rsid w:val="0061252D"/>
    <w:rsid w:val="00612CFB"/>
    <w:rsid w:val="006238E8"/>
    <w:rsid w:val="00626139"/>
    <w:rsid w:val="006263B6"/>
    <w:rsid w:val="00635AA4"/>
    <w:rsid w:val="00645244"/>
    <w:rsid w:val="00647265"/>
    <w:rsid w:val="006475D3"/>
    <w:rsid w:val="00654721"/>
    <w:rsid w:val="006568AD"/>
    <w:rsid w:val="00657514"/>
    <w:rsid w:val="00657DA7"/>
    <w:rsid w:val="006643DF"/>
    <w:rsid w:val="006653CD"/>
    <w:rsid w:val="00683170"/>
    <w:rsid w:val="00686143"/>
    <w:rsid w:val="00693805"/>
    <w:rsid w:val="00697B2E"/>
    <w:rsid w:val="006A1E96"/>
    <w:rsid w:val="006A2E17"/>
    <w:rsid w:val="006A3E38"/>
    <w:rsid w:val="006A51F4"/>
    <w:rsid w:val="006B18B4"/>
    <w:rsid w:val="006B2BEE"/>
    <w:rsid w:val="006B2CC4"/>
    <w:rsid w:val="006B306D"/>
    <w:rsid w:val="006B5678"/>
    <w:rsid w:val="006B5843"/>
    <w:rsid w:val="006C0A27"/>
    <w:rsid w:val="006C2AB8"/>
    <w:rsid w:val="006C642D"/>
    <w:rsid w:val="006C7749"/>
    <w:rsid w:val="006D52C8"/>
    <w:rsid w:val="006E6178"/>
    <w:rsid w:val="006F48A0"/>
    <w:rsid w:val="006F52B5"/>
    <w:rsid w:val="00700B84"/>
    <w:rsid w:val="00701253"/>
    <w:rsid w:val="00702308"/>
    <w:rsid w:val="0070642F"/>
    <w:rsid w:val="00707134"/>
    <w:rsid w:val="0070716F"/>
    <w:rsid w:val="00707E7B"/>
    <w:rsid w:val="00716036"/>
    <w:rsid w:val="00720151"/>
    <w:rsid w:val="00732F2F"/>
    <w:rsid w:val="00734A80"/>
    <w:rsid w:val="007435B8"/>
    <w:rsid w:val="007441EF"/>
    <w:rsid w:val="00744B34"/>
    <w:rsid w:val="00745087"/>
    <w:rsid w:val="0074575A"/>
    <w:rsid w:val="00746F30"/>
    <w:rsid w:val="00753B48"/>
    <w:rsid w:val="00754D6B"/>
    <w:rsid w:val="0075724C"/>
    <w:rsid w:val="007641B7"/>
    <w:rsid w:val="00770BF9"/>
    <w:rsid w:val="00772767"/>
    <w:rsid w:val="00772BFC"/>
    <w:rsid w:val="00773DE8"/>
    <w:rsid w:val="007763B5"/>
    <w:rsid w:val="00777A5B"/>
    <w:rsid w:val="00782B14"/>
    <w:rsid w:val="0079674D"/>
    <w:rsid w:val="007A476C"/>
    <w:rsid w:val="007B0F06"/>
    <w:rsid w:val="007B3CE8"/>
    <w:rsid w:val="007B421E"/>
    <w:rsid w:val="007B5EA1"/>
    <w:rsid w:val="007C4062"/>
    <w:rsid w:val="007C748C"/>
    <w:rsid w:val="007D00B6"/>
    <w:rsid w:val="007E3F8E"/>
    <w:rsid w:val="007E6D45"/>
    <w:rsid w:val="007E769A"/>
    <w:rsid w:val="007F767B"/>
    <w:rsid w:val="00802F35"/>
    <w:rsid w:val="00807F73"/>
    <w:rsid w:val="0081104A"/>
    <w:rsid w:val="00815F8B"/>
    <w:rsid w:val="008207BE"/>
    <w:rsid w:val="0082124E"/>
    <w:rsid w:val="00824736"/>
    <w:rsid w:val="00825F96"/>
    <w:rsid w:val="00827232"/>
    <w:rsid w:val="008308D0"/>
    <w:rsid w:val="008376E3"/>
    <w:rsid w:val="00842ABC"/>
    <w:rsid w:val="0084418E"/>
    <w:rsid w:val="00847A88"/>
    <w:rsid w:val="00857380"/>
    <w:rsid w:val="0085757B"/>
    <w:rsid w:val="008579EE"/>
    <w:rsid w:val="00860972"/>
    <w:rsid w:val="0086771B"/>
    <w:rsid w:val="0086774F"/>
    <w:rsid w:val="00881CF0"/>
    <w:rsid w:val="00891AA3"/>
    <w:rsid w:val="00893875"/>
    <w:rsid w:val="00897B4B"/>
    <w:rsid w:val="008B0AB0"/>
    <w:rsid w:val="008B0C2B"/>
    <w:rsid w:val="008B3C7C"/>
    <w:rsid w:val="008C0BB7"/>
    <w:rsid w:val="008C70DB"/>
    <w:rsid w:val="008D05EE"/>
    <w:rsid w:val="008D0EE8"/>
    <w:rsid w:val="008D2709"/>
    <w:rsid w:val="008D3571"/>
    <w:rsid w:val="008D4B86"/>
    <w:rsid w:val="008D68B5"/>
    <w:rsid w:val="008D7EE0"/>
    <w:rsid w:val="008E6AEE"/>
    <w:rsid w:val="008F3216"/>
    <w:rsid w:val="008F4CF7"/>
    <w:rsid w:val="0090062C"/>
    <w:rsid w:val="0090635D"/>
    <w:rsid w:val="00910A69"/>
    <w:rsid w:val="009145AA"/>
    <w:rsid w:val="009163CC"/>
    <w:rsid w:val="00921DA1"/>
    <w:rsid w:val="0092264B"/>
    <w:rsid w:val="0092681C"/>
    <w:rsid w:val="00930A53"/>
    <w:rsid w:val="00930C91"/>
    <w:rsid w:val="009348BE"/>
    <w:rsid w:val="009368C0"/>
    <w:rsid w:val="00941DD1"/>
    <w:rsid w:val="00942DC8"/>
    <w:rsid w:val="00946CCB"/>
    <w:rsid w:val="00947355"/>
    <w:rsid w:val="00956E61"/>
    <w:rsid w:val="0095780C"/>
    <w:rsid w:val="00962BE0"/>
    <w:rsid w:val="0096577B"/>
    <w:rsid w:val="009724BF"/>
    <w:rsid w:val="009724CE"/>
    <w:rsid w:val="009737A6"/>
    <w:rsid w:val="009748DD"/>
    <w:rsid w:val="00975813"/>
    <w:rsid w:val="009763EC"/>
    <w:rsid w:val="009871BA"/>
    <w:rsid w:val="00993EA0"/>
    <w:rsid w:val="00997435"/>
    <w:rsid w:val="009A1318"/>
    <w:rsid w:val="009A22B7"/>
    <w:rsid w:val="009A3162"/>
    <w:rsid w:val="009A3F84"/>
    <w:rsid w:val="009A424B"/>
    <w:rsid w:val="009A55DF"/>
    <w:rsid w:val="009B000A"/>
    <w:rsid w:val="009B03F2"/>
    <w:rsid w:val="009B5309"/>
    <w:rsid w:val="009B5DE0"/>
    <w:rsid w:val="009B5F6D"/>
    <w:rsid w:val="009B7D2D"/>
    <w:rsid w:val="009D2ED8"/>
    <w:rsid w:val="009D4EF8"/>
    <w:rsid w:val="009E10E3"/>
    <w:rsid w:val="009E1AFD"/>
    <w:rsid w:val="009E3FEF"/>
    <w:rsid w:val="009E61B8"/>
    <w:rsid w:val="009E77A9"/>
    <w:rsid w:val="009F1C12"/>
    <w:rsid w:val="009F33B7"/>
    <w:rsid w:val="009F4148"/>
    <w:rsid w:val="00A062F4"/>
    <w:rsid w:val="00A10444"/>
    <w:rsid w:val="00A17516"/>
    <w:rsid w:val="00A31AD8"/>
    <w:rsid w:val="00A33DC3"/>
    <w:rsid w:val="00A37CD2"/>
    <w:rsid w:val="00A44643"/>
    <w:rsid w:val="00A5249C"/>
    <w:rsid w:val="00A53F59"/>
    <w:rsid w:val="00A579B3"/>
    <w:rsid w:val="00A71D98"/>
    <w:rsid w:val="00A75693"/>
    <w:rsid w:val="00A7740D"/>
    <w:rsid w:val="00A87297"/>
    <w:rsid w:val="00A87887"/>
    <w:rsid w:val="00A90AD9"/>
    <w:rsid w:val="00A9356D"/>
    <w:rsid w:val="00AB246E"/>
    <w:rsid w:val="00AB4F51"/>
    <w:rsid w:val="00AC6CA5"/>
    <w:rsid w:val="00AD0E46"/>
    <w:rsid w:val="00AD7781"/>
    <w:rsid w:val="00AF23BE"/>
    <w:rsid w:val="00AF4609"/>
    <w:rsid w:val="00AF4977"/>
    <w:rsid w:val="00AF5DC6"/>
    <w:rsid w:val="00B0372F"/>
    <w:rsid w:val="00B04956"/>
    <w:rsid w:val="00B064ED"/>
    <w:rsid w:val="00B10B30"/>
    <w:rsid w:val="00B132D5"/>
    <w:rsid w:val="00B1455F"/>
    <w:rsid w:val="00B14AB9"/>
    <w:rsid w:val="00B160FD"/>
    <w:rsid w:val="00B176A4"/>
    <w:rsid w:val="00B217FB"/>
    <w:rsid w:val="00B25D2F"/>
    <w:rsid w:val="00B3260D"/>
    <w:rsid w:val="00B35E9A"/>
    <w:rsid w:val="00B37A71"/>
    <w:rsid w:val="00B45D81"/>
    <w:rsid w:val="00B5210E"/>
    <w:rsid w:val="00B5338D"/>
    <w:rsid w:val="00B55DE5"/>
    <w:rsid w:val="00B6579F"/>
    <w:rsid w:val="00B74D66"/>
    <w:rsid w:val="00B77B62"/>
    <w:rsid w:val="00BA57DB"/>
    <w:rsid w:val="00BB23C0"/>
    <w:rsid w:val="00BB37C0"/>
    <w:rsid w:val="00BB4F29"/>
    <w:rsid w:val="00BB6607"/>
    <w:rsid w:val="00BB7687"/>
    <w:rsid w:val="00BC2D5C"/>
    <w:rsid w:val="00BC5214"/>
    <w:rsid w:val="00BC5580"/>
    <w:rsid w:val="00BD0517"/>
    <w:rsid w:val="00BD4C44"/>
    <w:rsid w:val="00BD72B9"/>
    <w:rsid w:val="00BE1E3D"/>
    <w:rsid w:val="00BE2614"/>
    <w:rsid w:val="00BE3B3C"/>
    <w:rsid w:val="00BF0EB1"/>
    <w:rsid w:val="00BF0F94"/>
    <w:rsid w:val="00BF78A2"/>
    <w:rsid w:val="00C01D68"/>
    <w:rsid w:val="00C02059"/>
    <w:rsid w:val="00C04B27"/>
    <w:rsid w:val="00C058AB"/>
    <w:rsid w:val="00C06750"/>
    <w:rsid w:val="00C0799A"/>
    <w:rsid w:val="00C108A3"/>
    <w:rsid w:val="00C12ADB"/>
    <w:rsid w:val="00C13985"/>
    <w:rsid w:val="00C16D64"/>
    <w:rsid w:val="00C20F22"/>
    <w:rsid w:val="00C241D6"/>
    <w:rsid w:val="00C247D7"/>
    <w:rsid w:val="00C256EF"/>
    <w:rsid w:val="00C26E79"/>
    <w:rsid w:val="00C315F9"/>
    <w:rsid w:val="00C32E8B"/>
    <w:rsid w:val="00C336B8"/>
    <w:rsid w:val="00C3388F"/>
    <w:rsid w:val="00C34AAC"/>
    <w:rsid w:val="00C34BC9"/>
    <w:rsid w:val="00C36DF4"/>
    <w:rsid w:val="00C401A6"/>
    <w:rsid w:val="00C42127"/>
    <w:rsid w:val="00C46293"/>
    <w:rsid w:val="00C52892"/>
    <w:rsid w:val="00C528F4"/>
    <w:rsid w:val="00C57F4F"/>
    <w:rsid w:val="00C672EF"/>
    <w:rsid w:val="00C7116A"/>
    <w:rsid w:val="00C72BED"/>
    <w:rsid w:val="00C76DB2"/>
    <w:rsid w:val="00C7726C"/>
    <w:rsid w:val="00C81643"/>
    <w:rsid w:val="00C86B7D"/>
    <w:rsid w:val="00C87F16"/>
    <w:rsid w:val="00C9081A"/>
    <w:rsid w:val="00C91EDA"/>
    <w:rsid w:val="00C92580"/>
    <w:rsid w:val="00C94D8F"/>
    <w:rsid w:val="00CA28FA"/>
    <w:rsid w:val="00CA2C55"/>
    <w:rsid w:val="00CA383E"/>
    <w:rsid w:val="00CA5B08"/>
    <w:rsid w:val="00CA793A"/>
    <w:rsid w:val="00CB59E4"/>
    <w:rsid w:val="00CB7959"/>
    <w:rsid w:val="00CC322D"/>
    <w:rsid w:val="00CC4301"/>
    <w:rsid w:val="00CD1240"/>
    <w:rsid w:val="00CF11FF"/>
    <w:rsid w:val="00D01097"/>
    <w:rsid w:val="00D0677E"/>
    <w:rsid w:val="00D0747E"/>
    <w:rsid w:val="00D11A38"/>
    <w:rsid w:val="00D16105"/>
    <w:rsid w:val="00D21EA2"/>
    <w:rsid w:val="00D222EB"/>
    <w:rsid w:val="00D24402"/>
    <w:rsid w:val="00D25379"/>
    <w:rsid w:val="00D254CA"/>
    <w:rsid w:val="00D43BC0"/>
    <w:rsid w:val="00D43EDD"/>
    <w:rsid w:val="00D564B9"/>
    <w:rsid w:val="00D61753"/>
    <w:rsid w:val="00D62DB2"/>
    <w:rsid w:val="00D63B86"/>
    <w:rsid w:val="00D649E6"/>
    <w:rsid w:val="00D713F6"/>
    <w:rsid w:val="00D71F27"/>
    <w:rsid w:val="00D73785"/>
    <w:rsid w:val="00D74C5F"/>
    <w:rsid w:val="00D85B25"/>
    <w:rsid w:val="00D919F2"/>
    <w:rsid w:val="00D91A12"/>
    <w:rsid w:val="00D934ED"/>
    <w:rsid w:val="00DA1F15"/>
    <w:rsid w:val="00DA3092"/>
    <w:rsid w:val="00DB05DF"/>
    <w:rsid w:val="00DB095A"/>
    <w:rsid w:val="00DB25D9"/>
    <w:rsid w:val="00DB78FB"/>
    <w:rsid w:val="00DB7FB8"/>
    <w:rsid w:val="00DC04F4"/>
    <w:rsid w:val="00DC07B0"/>
    <w:rsid w:val="00DD0C98"/>
    <w:rsid w:val="00DD1816"/>
    <w:rsid w:val="00DD5BDB"/>
    <w:rsid w:val="00DD71BE"/>
    <w:rsid w:val="00DD738A"/>
    <w:rsid w:val="00DE7602"/>
    <w:rsid w:val="00DF0135"/>
    <w:rsid w:val="00DF082E"/>
    <w:rsid w:val="00DF194A"/>
    <w:rsid w:val="00DF4389"/>
    <w:rsid w:val="00DF68B6"/>
    <w:rsid w:val="00E06989"/>
    <w:rsid w:val="00E14F0F"/>
    <w:rsid w:val="00E154F8"/>
    <w:rsid w:val="00E218B9"/>
    <w:rsid w:val="00E2291B"/>
    <w:rsid w:val="00E25BAA"/>
    <w:rsid w:val="00E367D4"/>
    <w:rsid w:val="00E40BF8"/>
    <w:rsid w:val="00E41E10"/>
    <w:rsid w:val="00E4282F"/>
    <w:rsid w:val="00E50071"/>
    <w:rsid w:val="00E53AC3"/>
    <w:rsid w:val="00E54143"/>
    <w:rsid w:val="00E555EE"/>
    <w:rsid w:val="00E600F1"/>
    <w:rsid w:val="00E602A5"/>
    <w:rsid w:val="00E61C32"/>
    <w:rsid w:val="00E6254A"/>
    <w:rsid w:val="00E62AC1"/>
    <w:rsid w:val="00E62EA3"/>
    <w:rsid w:val="00E63F6A"/>
    <w:rsid w:val="00E662E8"/>
    <w:rsid w:val="00E66AA6"/>
    <w:rsid w:val="00E678F9"/>
    <w:rsid w:val="00E70C9A"/>
    <w:rsid w:val="00E71032"/>
    <w:rsid w:val="00E72EF2"/>
    <w:rsid w:val="00E81286"/>
    <w:rsid w:val="00E853F1"/>
    <w:rsid w:val="00E856E0"/>
    <w:rsid w:val="00E85B67"/>
    <w:rsid w:val="00E929D1"/>
    <w:rsid w:val="00E978C5"/>
    <w:rsid w:val="00E97900"/>
    <w:rsid w:val="00EB4173"/>
    <w:rsid w:val="00EB63B6"/>
    <w:rsid w:val="00EB69B0"/>
    <w:rsid w:val="00EB6B40"/>
    <w:rsid w:val="00EC0A3F"/>
    <w:rsid w:val="00ED0ECB"/>
    <w:rsid w:val="00ED2041"/>
    <w:rsid w:val="00ED3955"/>
    <w:rsid w:val="00ED7651"/>
    <w:rsid w:val="00EE0C50"/>
    <w:rsid w:val="00EE16B0"/>
    <w:rsid w:val="00EE3362"/>
    <w:rsid w:val="00EF11DC"/>
    <w:rsid w:val="00EF395B"/>
    <w:rsid w:val="00EF3EF4"/>
    <w:rsid w:val="00EF6CD3"/>
    <w:rsid w:val="00F01287"/>
    <w:rsid w:val="00F109B5"/>
    <w:rsid w:val="00F110BE"/>
    <w:rsid w:val="00F153A6"/>
    <w:rsid w:val="00F16CA9"/>
    <w:rsid w:val="00F171E6"/>
    <w:rsid w:val="00F24712"/>
    <w:rsid w:val="00F248AF"/>
    <w:rsid w:val="00F26FAB"/>
    <w:rsid w:val="00F3089D"/>
    <w:rsid w:val="00F32B63"/>
    <w:rsid w:val="00F332AF"/>
    <w:rsid w:val="00F36722"/>
    <w:rsid w:val="00F436B6"/>
    <w:rsid w:val="00F46BFE"/>
    <w:rsid w:val="00F47EF9"/>
    <w:rsid w:val="00F53B48"/>
    <w:rsid w:val="00F557C1"/>
    <w:rsid w:val="00F56DFA"/>
    <w:rsid w:val="00F65E6B"/>
    <w:rsid w:val="00F7099B"/>
    <w:rsid w:val="00F9669E"/>
    <w:rsid w:val="00FA1EA9"/>
    <w:rsid w:val="00FA5A52"/>
    <w:rsid w:val="00FB05FB"/>
    <w:rsid w:val="00FB3F43"/>
    <w:rsid w:val="00FB6669"/>
    <w:rsid w:val="00FC15F8"/>
    <w:rsid w:val="00FC75F9"/>
    <w:rsid w:val="00FD0238"/>
    <w:rsid w:val="00FD098E"/>
    <w:rsid w:val="00FD1308"/>
    <w:rsid w:val="00FD1DD6"/>
    <w:rsid w:val="00FD5C86"/>
    <w:rsid w:val="00FE75E1"/>
    <w:rsid w:val="00FF24C7"/>
    <w:rsid w:val="00FF6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F7087"/>
  <w14:defaultImageDpi w14:val="300"/>
  <w15:docId w15:val="{41AD42D1-3EEF-3C45-80F3-B2DB5BE1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C7"/>
    <w:pPr>
      <w:spacing w:after="200"/>
    </w:pPr>
    <w:rPr>
      <w:rFonts w:ascii="Times New Roman" w:eastAsiaTheme="minorHAnsi" w:hAnsi="Times New Roman"/>
    </w:rPr>
  </w:style>
  <w:style w:type="paragraph" w:styleId="Heading1">
    <w:name w:val="heading 1"/>
    <w:basedOn w:val="Normal"/>
    <w:next w:val="Normal"/>
    <w:link w:val="Heading1Char"/>
    <w:uiPriority w:val="9"/>
    <w:qFormat/>
    <w:rsid w:val="00FF24C7"/>
    <w:pPr>
      <w:keepNext/>
      <w:keepLines/>
      <w:spacing w:before="480" w:after="0"/>
      <w:outlineLvl w:val="0"/>
    </w:pPr>
    <w:rPr>
      <w:rFonts w:eastAsiaTheme="majorEastAsia" w:cstheme="majorBidi"/>
      <w:b/>
      <w:bCs/>
      <w:color w:val="345A8A" w:themeColor="accent1" w:themeShade="B5"/>
      <w:sz w:val="28"/>
      <w:szCs w:val="36"/>
    </w:rPr>
  </w:style>
  <w:style w:type="paragraph" w:styleId="Heading2">
    <w:name w:val="heading 2"/>
    <w:basedOn w:val="Normal"/>
    <w:next w:val="Normal"/>
    <w:link w:val="Heading2Char"/>
    <w:uiPriority w:val="9"/>
    <w:unhideWhenUsed/>
    <w:qFormat/>
    <w:rsid w:val="00FF24C7"/>
    <w:pPr>
      <w:keepNext/>
      <w:keepLines/>
      <w:spacing w:before="200" w:after="0"/>
      <w:outlineLvl w:val="1"/>
    </w:pPr>
    <w:rPr>
      <w:rFonts w:eastAsiaTheme="majorEastAsia" w:cstheme="majorBidi"/>
      <w:b/>
      <w:bCs/>
      <w:color w:val="4F81BD" w:themeColor="accent1"/>
      <w:szCs w:val="32"/>
    </w:rPr>
  </w:style>
  <w:style w:type="paragraph" w:styleId="Heading3">
    <w:name w:val="heading 3"/>
    <w:basedOn w:val="Normal"/>
    <w:next w:val="Normal"/>
    <w:link w:val="Heading3Char"/>
    <w:uiPriority w:val="9"/>
    <w:unhideWhenUsed/>
    <w:qFormat/>
    <w:rsid w:val="00FF24C7"/>
    <w:pPr>
      <w:keepNext/>
      <w:keepLines/>
      <w:spacing w:before="200" w:after="0"/>
      <w:outlineLvl w:val="2"/>
    </w:pPr>
    <w:rPr>
      <w:rFonts w:eastAsiaTheme="majorEastAsia" w:cstheme="majorBidi"/>
      <w:b/>
      <w:bCs/>
      <w:color w:val="4F81BD" w:themeColor="accent1"/>
      <w:szCs w:val="28"/>
    </w:rPr>
  </w:style>
  <w:style w:type="paragraph" w:styleId="Heading4">
    <w:name w:val="heading 4"/>
    <w:basedOn w:val="Normal"/>
    <w:next w:val="Normal"/>
    <w:link w:val="Heading4Char"/>
    <w:uiPriority w:val="9"/>
    <w:unhideWhenUsed/>
    <w:qFormat/>
    <w:rsid w:val="00FF24C7"/>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link w:val="Heading5Char"/>
    <w:uiPriority w:val="9"/>
    <w:unhideWhenUsed/>
    <w:qFormat/>
    <w:rsid w:val="00FF24C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C7"/>
    <w:rPr>
      <w:rFonts w:ascii="Times New Roman" w:eastAsiaTheme="majorEastAsia" w:hAnsi="Times New Roman" w:cstheme="majorBidi"/>
      <w:b/>
      <w:bCs/>
      <w:color w:val="345A8A" w:themeColor="accent1" w:themeShade="B5"/>
      <w:sz w:val="28"/>
      <w:szCs w:val="36"/>
    </w:rPr>
  </w:style>
  <w:style w:type="character" w:customStyle="1" w:styleId="Heading2Char">
    <w:name w:val="Heading 2 Char"/>
    <w:basedOn w:val="DefaultParagraphFont"/>
    <w:link w:val="Heading2"/>
    <w:uiPriority w:val="9"/>
    <w:rsid w:val="00FF24C7"/>
    <w:rPr>
      <w:rFonts w:ascii="Times New Roman" w:eastAsiaTheme="majorEastAsia" w:hAnsi="Times New Roman" w:cstheme="majorBidi"/>
      <w:b/>
      <w:bCs/>
      <w:color w:val="4F81BD" w:themeColor="accent1"/>
      <w:szCs w:val="32"/>
    </w:rPr>
  </w:style>
  <w:style w:type="character" w:customStyle="1" w:styleId="Heading3Char">
    <w:name w:val="Heading 3 Char"/>
    <w:basedOn w:val="DefaultParagraphFont"/>
    <w:link w:val="Heading3"/>
    <w:uiPriority w:val="9"/>
    <w:rsid w:val="00FF24C7"/>
    <w:rPr>
      <w:rFonts w:ascii="Times New Roman" w:eastAsiaTheme="majorEastAsia" w:hAnsi="Times New Roman" w:cstheme="majorBidi"/>
      <w:b/>
      <w:bCs/>
      <w:color w:val="4F81BD" w:themeColor="accent1"/>
      <w:szCs w:val="28"/>
    </w:rPr>
  </w:style>
  <w:style w:type="character" w:customStyle="1" w:styleId="Heading4Char">
    <w:name w:val="Heading 4 Char"/>
    <w:basedOn w:val="DefaultParagraphFont"/>
    <w:link w:val="Heading4"/>
    <w:uiPriority w:val="9"/>
    <w:rsid w:val="00FF24C7"/>
    <w:rPr>
      <w:rFonts w:ascii="Times New Roman" w:eastAsiaTheme="majorEastAsia" w:hAnsi="Times New Roman" w:cstheme="majorBidi"/>
      <w:b/>
      <w:bCs/>
      <w:color w:val="4F81BD" w:themeColor="accent1"/>
    </w:rPr>
  </w:style>
  <w:style w:type="character" w:customStyle="1" w:styleId="Heading5Char">
    <w:name w:val="Heading 5 Char"/>
    <w:basedOn w:val="DefaultParagraphFont"/>
    <w:link w:val="Heading5"/>
    <w:uiPriority w:val="9"/>
    <w:rsid w:val="00FF24C7"/>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F24C7"/>
    <w:pPr>
      <w:keepNext/>
      <w:keepLines/>
      <w:spacing w:before="480" w:after="240"/>
      <w:jc w:val="center"/>
    </w:pPr>
    <w:rPr>
      <w:rFonts w:eastAsiaTheme="majorEastAsia" w:cstheme="majorBidi"/>
      <w:b/>
      <w:bCs/>
      <w:color w:val="345A8A" w:themeColor="accent1" w:themeShade="B5"/>
      <w:sz w:val="36"/>
      <w:szCs w:val="36"/>
    </w:rPr>
  </w:style>
  <w:style w:type="character" w:customStyle="1" w:styleId="TitleChar">
    <w:name w:val="Title Char"/>
    <w:basedOn w:val="DefaultParagraphFont"/>
    <w:link w:val="Title"/>
    <w:rsid w:val="00FF24C7"/>
    <w:rPr>
      <w:rFonts w:ascii="Times New Roman" w:eastAsiaTheme="majorEastAsia" w:hAnsi="Times New Roman" w:cstheme="majorBidi"/>
      <w:b/>
      <w:bCs/>
      <w:color w:val="345A8A" w:themeColor="accent1" w:themeShade="B5"/>
      <w:sz w:val="36"/>
      <w:szCs w:val="36"/>
    </w:rPr>
  </w:style>
  <w:style w:type="paragraph" w:customStyle="1" w:styleId="Authors">
    <w:name w:val="Authors"/>
    <w:next w:val="Normal"/>
    <w:qFormat/>
    <w:rsid w:val="00FF24C7"/>
    <w:pPr>
      <w:keepNext/>
      <w:keepLines/>
      <w:spacing w:after="200"/>
      <w:jc w:val="center"/>
    </w:pPr>
    <w:rPr>
      <w:rFonts w:eastAsiaTheme="minorHAnsi"/>
    </w:rPr>
  </w:style>
  <w:style w:type="paragraph" w:styleId="Date">
    <w:name w:val="Date"/>
    <w:next w:val="Normal"/>
    <w:link w:val="DateChar"/>
    <w:qFormat/>
    <w:rsid w:val="00FF24C7"/>
    <w:pPr>
      <w:keepNext/>
      <w:keepLines/>
      <w:spacing w:after="200"/>
      <w:jc w:val="center"/>
    </w:pPr>
    <w:rPr>
      <w:rFonts w:eastAsiaTheme="minorHAnsi"/>
    </w:rPr>
  </w:style>
  <w:style w:type="character" w:customStyle="1" w:styleId="DateChar">
    <w:name w:val="Date Char"/>
    <w:basedOn w:val="DefaultParagraphFont"/>
    <w:link w:val="Date"/>
    <w:rsid w:val="00FF24C7"/>
    <w:rPr>
      <w:rFonts w:eastAsiaTheme="minorHAnsi"/>
    </w:rPr>
  </w:style>
  <w:style w:type="paragraph" w:customStyle="1" w:styleId="BlockQuote">
    <w:name w:val="Block Quote"/>
    <w:basedOn w:val="Normal"/>
    <w:next w:val="Normal"/>
    <w:uiPriority w:val="9"/>
    <w:unhideWhenUsed/>
    <w:qFormat/>
    <w:rsid w:val="00FF24C7"/>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F24C7"/>
    <w:pPr>
      <w:keepNext/>
      <w:keepLines/>
      <w:spacing w:after="0"/>
    </w:pPr>
    <w:rPr>
      <w:b/>
    </w:rPr>
  </w:style>
  <w:style w:type="paragraph" w:customStyle="1" w:styleId="Definition">
    <w:name w:val="Definition"/>
    <w:basedOn w:val="Normal"/>
    <w:rsid w:val="00FF24C7"/>
  </w:style>
  <w:style w:type="paragraph" w:styleId="BodyText">
    <w:name w:val="Body Text"/>
    <w:basedOn w:val="Normal"/>
    <w:link w:val="BodyTextChar"/>
    <w:rsid w:val="00FF24C7"/>
    <w:pPr>
      <w:spacing w:after="120"/>
    </w:pPr>
  </w:style>
  <w:style w:type="character" w:customStyle="1" w:styleId="BodyTextChar">
    <w:name w:val="Body Text Char"/>
    <w:basedOn w:val="DefaultParagraphFont"/>
    <w:link w:val="BodyText"/>
    <w:rsid w:val="00FF24C7"/>
    <w:rPr>
      <w:rFonts w:ascii="Times New Roman" w:eastAsiaTheme="minorHAnsi" w:hAnsi="Times New Roman"/>
    </w:rPr>
  </w:style>
  <w:style w:type="paragraph" w:customStyle="1" w:styleId="TableCaption">
    <w:name w:val="Table Caption"/>
    <w:basedOn w:val="Normal"/>
    <w:rsid w:val="00FF24C7"/>
    <w:pPr>
      <w:spacing w:after="120"/>
    </w:pPr>
    <w:rPr>
      <w:i/>
    </w:rPr>
  </w:style>
  <w:style w:type="paragraph" w:customStyle="1" w:styleId="ImageCaption">
    <w:name w:val="Image Caption"/>
    <w:basedOn w:val="Normal"/>
    <w:rsid w:val="00FF24C7"/>
    <w:pPr>
      <w:spacing w:after="120"/>
    </w:pPr>
    <w:rPr>
      <w:i/>
    </w:rPr>
  </w:style>
  <w:style w:type="character" w:customStyle="1" w:styleId="VerbatimChar">
    <w:name w:val="Verbatim Char"/>
    <w:basedOn w:val="BodyTextChar"/>
    <w:link w:val="SourceCode"/>
    <w:rsid w:val="00FF24C7"/>
    <w:rPr>
      <w:rFonts w:ascii="Consolas" w:eastAsiaTheme="minorHAnsi" w:hAnsi="Consolas"/>
      <w:sz w:val="22"/>
    </w:rPr>
  </w:style>
  <w:style w:type="character" w:customStyle="1" w:styleId="FootnoteRef">
    <w:name w:val="Footnote Ref"/>
    <w:basedOn w:val="BodyTextChar"/>
    <w:rsid w:val="00FF24C7"/>
    <w:rPr>
      <w:rFonts w:ascii="Times New Roman" w:eastAsiaTheme="minorHAnsi" w:hAnsi="Times New Roman"/>
      <w:vertAlign w:val="superscript"/>
    </w:rPr>
  </w:style>
  <w:style w:type="character" w:customStyle="1" w:styleId="Link">
    <w:name w:val="Link"/>
    <w:basedOn w:val="BodyTextChar"/>
    <w:rsid w:val="00FF24C7"/>
    <w:rPr>
      <w:rFonts w:ascii="Times New Roman" w:eastAsiaTheme="minorHAnsi" w:hAnsi="Times New Roman"/>
      <w:color w:val="4F81BD" w:themeColor="accent1"/>
    </w:rPr>
  </w:style>
  <w:style w:type="paragraph" w:customStyle="1" w:styleId="SourceCode">
    <w:name w:val="Source Code"/>
    <w:basedOn w:val="Normal"/>
    <w:link w:val="VerbatimChar"/>
    <w:rsid w:val="00FF24C7"/>
    <w:pPr>
      <w:wordWrap w:val="0"/>
    </w:pPr>
    <w:rPr>
      <w:rFonts w:ascii="Consolas" w:hAnsi="Consolas"/>
      <w:sz w:val="22"/>
    </w:rPr>
  </w:style>
  <w:style w:type="character" w:customStyle="1" w:styleId="KeywordTok">
    <w:name w:val="KeywordTok"/>
    <w:basedOn w:val="VerbatimChar"/>
    <w:rsid w:val="00FF24C7"/>
    <w:rPr>
      <w:rFonts w:ascii="Consolas" w:eastAsiaTheme="minorHAnsi" w:hAnsi="Consolas"/>
      <w:b/>
      <w:color w:val="007020"/>
      <w:sz w:val="22"/>
    </w:rPr>
  </w:style>
  <w:style w:type="character" w:customStyle="1" w:styleId="DataTypeTok">
    <w:name w:val="DataTypeTok"/>
    <w:basedOn w:val="VerbatimChar"/>
    <w:rsid w:val="00FF24C7"/>
    <w:rPr>
      <w:rFonts w:ascii="Consolas" w:eastAsiaTheme="minorHAnsi" w:hAnsi="Consolas"/>
      <w:color w:val="902000"/>
      <w:sz w:val="22"/>
    </w:rPr>
  </w:style>
  <w:style w:type="character" w:customStyle="1" w:styleId="DecValTok">
    <w:name w:val="DecValTok"/>
    <w:basedOn w:val="VerbatimChar"/>
    <w:rsid w:val="00FF24C7"/>
    <w:rPr>
      <w:rFonts w:ascii="Consolas" w:eastAsiaTheme="minorHAnsi" w:hAnsi="Consolas"/>
      <w:color w:val="40A070"/>
      <w:sz w:val="22"/>
    </w:rPr>
  </w:style>
  <w:style w:type="character" w:customStyle="1" w:styleId="BaseNTok">
    <w:name w:val="BaseNTok"/>
    <w:basedOn w:val="VerbatimChar"/>
    <w:rsid w:val="00FF24C7"/>
    <w:rPr>
      <w:rFonts w:ascii="Consolas" w:eastAsiaTheme="minorHAnsi" w:hAnsi="Consolas"/>
      <w:color w:val="40A070"/>
      <w:sz w:val="22"/>
    </w:rPr>
  </w:style>
  <w:style w:type="character" w:customStyle="1" w:styleId="FloatTok">
    <w:name w:val="FloatTok"/>
    <w:basedOn w:val="VerbatimChar"/>
    <w:rsid w:val="00FF24C7"/>
    <w:rPr>
      <w:rFonts w:ascii="Consolas" w:eastAsiaTheme="minorHAnsi" w:hAnsi="Consolas"/>
      <w:color w:val="40A070"/>
      <w:sz w:val="22"/>
    </w:rPr>
  </w:style>
  <w:style w:type="character" w:customStyle="1" w:styleId="CharTok">
    <w:name w:val="CharTok"/>
    <w:basedOn w:val="VerbatimChar"/>
    <w:rsid w:val="00FF24C7"/>
    <w:rPr>
      <w:rFonts w:ascii="Consolas" w:eastAsiaTheme="minorHAnsi" w:hAnsi="Consolas"/>
      <w:color w:val="4070A0"/>
      <w:sz w:val="22"/>
    </w:rPr>
  </w:style>
  <w:style w:type="character" w:customStyle="1" w:styleId="StringTok">
    <w:name w:val="StringTok"/>
    <w:basedOn w:val="VerbatimChar"/>
    <w:rsid w:val="00FF24C7"/>
    <w:rPr>
      <w:rFonts w:ascii="Consolas" w:eastAsiaTheme="minorHAnsi" w:hAnsi="Consolas"/>
      <w:color w:val="4070A0"/>
      <w:sz w:val="22"/>
    </w:rPr>
  </w:style>
  <w:style w:type="character" w:customStyle="1" w:styleId="CommentTok">
    <w:name w:val="CommentTok"/>
    <w:basedOn w:val="VerbatimChar"/>
    <w:rsid w:val="00FF24C7"/>
    <w:rPr>
      <w:rFonts w:ascii="Consolas" w:eastAsiaTheme="minorHAnsi" w:hAnsi="Consolas"/>
      <w:i/>
      <w:color w:val="60A0B0"/>
      <w:sz w:val="22"/>
    </w:rPr>
  </w:style>
  <w:style w:type="character" w:customStyle="1" w:styleId="OtherTok">
    <w:name w:val="OtherTok"/>
    <w:basedOn w:val="VerbatimChar"/>
    <w:rsid w:val="00FF24C7"/>
    <w:rPr>
      <w:rFonts w:ascii="Consolas" w:eastAsiaTheme="minorHAnsi" w:hAnsi="Consolas"/>
      <w:color w:val="007020"/>
      <w:sz w:val="22"/>
    </w:rPr>
  </w:style>
  <w:style w:type="character" w:customStyle="1" w:styleId="AlertTok">
    <w:name w:val="AlertTok"/>
    <w:basedOn w:val="VerbatimChar"/>
    <w:rsid w:val="00FF24C7"/>
    <w:rPr>
      <w:rFonts w:ascii="Consolas" w:eastAsiaTheme="minorHAnsi" w:hAnsi="Consolas"/>
      <w:b/>
      <w:color w:val="FF0000"/>
      <w:sz w:val="22"/>
    </w:rPr>
  </w:style>
  <w:style w:type="character" w:customStyle="1" w:styleId="FunctionTok">
    <w:name w:val="FunctionTok"/>
    <w:basedOn w:val="VerbatimChar"/>
    <w:rsid w:val="00FF24C7"/>
    <w:rPr>
      <w:rFonts w:ascii="Consolas" w:eastAsiaTheme="minorHAnsi" w:hAnsi="Consolas"/>
      <w:color w:val="06287E"/>
      <w:sz w:val="22"/>
    </w:rPr>
  </w:style>
  <w:style w:type="character" w:customStyle="1" w:styleId="RegionMarkerTok">
    <w:name w:val="RegionMarkerTok"/>
    <w:basedOn w:val="VerbatimChar"/>
    <w:rsid w:val="00FF24C7"/>
    <w:rPr>
      <w:rFonts w:ascii="Consolas" w:eastAsiaTheme="minorHAnsi" w:hAnsi="Consolas"/>
      <w:sz w:val="22"/>
    </w:rPr>
  </w:style>
  <w:style w:type="character" w:customStyle="1" w:styleId="ErrorTok">
    <w:name w:val="ErrorTok"/>
    <w:basedOn w:val="VerbatimChar"/>
    <w:rsid w:val="00FF24C7"/>
    <w:rPr>
      <w:rFonts w:ascii="Consolas" w:eastAsiaTheme="minorHAnsi" w:hAnsi="Consolas"/>
      <w:b/>
      <w:color w:val="FF0000"/>
      <w:sz w:val="22"/>
    </w:rPr>
  </w:style>
  <w:style w:type="character" w:customStyle="1" w:styleId="NormalTok">
    <w:name w:val="NormalTok"/>
    <w:basedOn w:val="VerbatimChar"/>
    <w:rsid w:val="00FF24C7"/>
    <w:rPr>
      <w:rFonts w:ascii="Consolas" w:eastAsiaTheme="minorHAnsi" w:hAnsi="Consolas"/>
      <w:sz w:val="22"/>
    </w:rPr>
  </w:style>
  <w:style w:type="paragraph" w:styleId="BalloonText">
    <w:name w:val="Balloon Text"/>
    <w:basedOn w:val="Normal"/>
    <w:link w:val="BalloonTextChar"/>
    <w:rsid w:val="00FF24C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F24C7"/>
    <w:rPr>
      <w:rFonts w:ascii="Lucida Grande" w:eastAsiaTheme="minorHAnsi" w:hAnsi="Lucida Grande" w:cs="Lucida Grande"/>
      <w:sz w:val="18"/>
      <w:szCs w:val="18"/>
    </w:rPr>
  </w:style>
  <w:style w:type="character" w:styleId="PlaceholderText">
    <w:name w:val="Placeholder Text"/>
    <w:basedOn w:val="DefaultParagraphFont"/>
    <w:rsid w:val="00FF24C7"/>
    <w:rPr>
      <w:color w:val="808080"/>
    </w:rPr>
  </w:style>
  <w:style w:type="paragraph" w:styleId="Caption">
    <w:name w:val="caption"/>
    <w:basedOn w:val="Normal"/>
    <w:next w:val="Normal"/>
    <w:rsid w:val="00FF24C7"/>
    <w:rPr>
      <w:b/>
      <w:bCs/>
      <w:color w:val="4F81BD" w:themeColor="accent1"/>
      <w:sz w:val="18"/>
      <w:szCs w:val="18"/>
    </w:rPr>
  </w:style>
  <w:style w:type="paragraph" w:styleId="Header">
    <w:name w:val="header"/>
    <w:basedOn w:val="Normal"/>
    <w:link w:val="HeaderChar"/>
    <w:rsid w:val="00FF24C7"/>
    <w:pPr>
      <w:tabs>
        <w:tab w:val="center" w:pos="4320"/>
        <w:tab w:val="right" w:pos="8640"/>
      </w:tabs>
      <w:spacing w:after="0"/>
    </w:pPr>
  </w:style>
  <w:style w:type="character" w:customStyle="1" w:styleId="HeaderChar">
    <w:name w:val="Header Char"/>
    <w:basedOn w:val="DefaultParagraphFont"/>
    <w:link w:val="Header"/>
    <w:rsid w:val="00FF24C7"/>
    <w:rPr>
      <w:rFonts w:ascii="Times New Roman" w:eastAsiaTheme="minorHAnsi" w:hAnsi="Times New Roman"/>
    </w:rPr>
  </w:style>
  <w:style w:type="paragraph" w:styleId="Footer">
    <w:name w:val="footer"/>
    <w:basedOn w:val="Normal"/>
    <w:link w:val="FooterChar"/>
    <w:rsid w:val="00FF24C7"/>
    <w:pPr>
      <w:tabs>
        <w:tab w:val="center" w:pos="4320"/>
        <w:tab w:val="right" w:pos="8640"/>
      </w:tabs>
      <w:spacing w:after="0"/>
    </w:pPr>
  </w:style>
  <w:style w:type="character" w:customStyle="1" w:styleId="FooterChar">
    <w:name w:val="Footer Char"/>
    <w:basedOn w:val="DefaultParagraphFont"/>
    <w:link w:val="Footer"/>
    <w:rsid w:val="00FF24C7"/>
    <w:rPr>
      <w:rFonts w:ascii="Times New Roman" w:eastAsiaTheme="minorHAnsi" w:hAnsi="Times New Roman"/>
    </w:rPr>
  </w:style>
  <w:style w:type="character" w:styleId="CommentReference">
    <w:name w:val="annotation reference"/>
    <w:basedOn w:val="DefaultParagraphFont"/>
    <w:rsid w:val="00FF24C7"/>
    <w:rPr>
      <w:sz w:val="18"/>
      <w:szCs w:val="18"/>
    </w:rPr>
  </w:style>
  <w:style w:type="paragraph" w:styleId="CommentText">
    <w:name w:val="annotation text"/>
    <w:basedOn w:val="Normal"/>
    <w:link w:val="CommentTextChar"/>
    <w:rsid w:val="00FF24C7"/>
  </w:style>
  <w:style w:type="character" w:customStyle="1" w:styleId="CommentTextChar">
    <w:name w:val="Comment Text Char"/>
    <w:basedOn w:val="DefaultParagraphFont"/>
    <w:link w:val="CommentText"/>
    <w:rsid w:val="00FF24C7"/>
    <w:rPr>
      <w:rFonts w:ascii="Times New Roman" w:eastAsiaTheme="minorHAnsi" w:hAnsi="Times New Roman"/>
    </w:rPr>
  </w:style>
  <w:style w:type="paragraph" w:styleId="CommentSubject">
    <w:name w:val="annotation subject"/>
    <w:basedOn w:val="CommentText"/>
    <w:next w:val="CommentText"/>
    <w:link w:val="CommentSubjectChar"/>
    <w:rsid w:val="00FF24C7"/>
    <w:rPr>
      <w:b/>
      <w:bCs/>
      <w:sz w:val="20"/>
      <w:szCs w:val="20"/>
    </w:rPr>
  </w:style>
  <w:style w:type="character" w:customStyle="1" w:styleId="CommentSubjectChar">
    <w:name w:val="Comment Subject Char"/>
    <w:basedOn w:val="CommentTextChar"/>
    <w:link w:val="CommentSubject"/>
    <w:rsid w:val="00FF24C7"/>
    <w:rPr>
      <w:rFonts w:ascii="Times New Roman" w:eastAsiaTheme="minorHAnsi" w:hAnsi="Times New Roman"/>
      <w:b/>
      <w:bCs/>
      <w:sz w:val="20"/>
      <w:szCs w:val="20"/>
    </w:rPr>
  </w:style>
  <w:style w:type="paragraph" w:styleId="NormalWeb">
    <w:name w:val="Normal (Web)"/>
    <w:basedOn w:val="Normal"/>
    <w:uiPriority w:val="99"/>
    <w:unhideWhenUsed/>
    <w:rsid w:val="00FF24C7"/>
    <w:pPr>
      <w:spacing w:before="100" w:beforeAutospacing="1" w:after="100" w:afterAutospacing="1"/>
    </w:pPr>
    <w:rPr>
      <w:rFonts w:ascii="Times" w:eastAsiaTheme="minorEastAsia" w:hAnsi="Times" w:cs="Times New Roman"/>
      <w:sz w:val="20"/>
      <w:szCs w:val="20"/>
    </w:rPr>
  </w:style>
  <w:style w:type="character" w:styleId="Hyperlink">
    <w:name w:val="Hyperlink"/>
    <w:basedOn w:val="DefaultParagraphFont"/>
    <w:uiPriority w:val="99"/>
    <w:unhideWhenUsed/>
    <w:rsid w:val="00FF24C7"/>
    <w:rPr>
      <w:color w:val="0000FF" w:themeColor="hyperlink"/>
      <w:u w:val="single"/>
    </w:rPr>
  </w:style>
  <w:style w:type="table" w:styleId="TableGrid">
    <w:name w:val="Table Grid"/>
    <w:basedOn w:val="TableNormal"/>
    <w:uiPriority w:val="59"/>
    <w:rsid w:val="00FF24C7"/>
    <w:rPr>
      <w:rFonts w:eastAsiaTheme="minorHAns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FF24C7"/>
    <w:pPr>
      <w:ind w:left="720"/>
      <w:contextualSpacing/>
    </w:pPr>
  </w:style>
  <w:style w:type="paragraph" w:styleId="HTMLPreformatted">
    <w:name w:val="HTML Preformatted"/>
    <w:basedOn w:val="Normal"/>
    <w:link w:val="HTMLPreformattedChar"/>
    <w:uiPriority w:val="99"/>
    <w:unhideWhenUsed/>
    <w:rsid w:val="00FF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F24C7"/>
    <w:rPr>
      <w:rFonts w:ascii="Courier" w:eastAsiaTheme="minorHAnsi" w:hAnsi="Courier" w:cs="Courier"/>
      <w:sz w:val="20"/>
      <w:szCs w:val="20"/>
    </w:rPr>
  </w:style>
  <w:style w:type="character" w:styleId="Strong">
    <w:name w:val="Strong"/>
    <w:basedOn w:val="DefaultParagraphFont"/>
    <w:uiPriority w:val="22"/>
    <w:qFormat/>
    <w:rsid w:val="002D67DB"/>
    <w:rPr>
      <w:b/>
      <w:bCs/>
    </w:rPr>
  </w:style>
  <w:style w:type="character" w:styleId="PageNumber">
    <w:name w:val="page number"/>
    <w:basedOn w:val="DefaultParagraphFont"/>
    <w:uiPriority w:val="99"/>
    <w:semiHidden/>
    <w:unhideWhenUsed/>
    <w:rsid w:val="009B5309"/>
  </w:style>
  <w:style w:type="paragraph" w:styleId="Bibliography">
    <w:name w:val="Bibliography"/>
    <w:basedOn w:val="Normal"/>
    <w:next w:val="Normal"/>
    <w:uiPriority w:val="37"/>
    <w:unhideWhenUsed/>
    <w:rsid w:val="00B217FB"/>
    <w:pPr>
      <w:spacing w:after="240"/>
      <w:ind w:left="720" w:hanging="720"/>
    </w:pPr>
  </w:style>
  <w:style w:type="character" w:styleId="LineNumber">
    <w:name w:val="line number"/>
    <w:basedOn w:val="DefaultParagraphFont"/>
    <w:uiPriority w:val="99"/>
    <w:semiHidden/>
    <w:unhideWhenUsed/>
    <w:rsid w:val="00F2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24092">
      <w:bodyDiv w:val="1"/>
      <w:marLeft w:val="0"/>
      <w:marRight w:val="0"/>
      <w:marTop w:val="0"/>
      <w:marBottom w:val="0"/>
      <w:divBdr>
        <w:top w:val="none" w:sz="0" w:space="0" w:color="auto"/>
        <w:left w:val="none" w:sz="0" w:space="0" w:color="auto"/>
        <w:bottom w:val="none" w:sz="0" w:space="0" w:color="auto"/>
        <w:right w:val="none" w:sz="0" w:space="0" w:color="auto"/>
      </w:divBdr>
      <w:divsChild>
        <w:div w:id="1939632610">
          <w:marLeft w:val="0"/>
          <w:marRight w:val="0"/>
          <w:marTop w:val="0"/>
          <w:marBottom w:val="0"/>
          <w:divBdr>
            <w:top w:val="none" w:sz="0" w:space="0" w:color="auto"/>
            <w:left w:val="none" w:sz="0" w:space="0" w:color="auto"/>
            <w:bottom w:val="none" w:sz="0" w:space="0" w:color="auto"/>
            <w:right w:val="none" w:sz="0" w:space="0" w:color="auto"/>
          </w:divBdr>
          <w:divsChild>
            <w:div w:id="398862905">
              <w:marLeft w:val="0"/>
              <w:marRight w:val="0"/>
              <w:marTop w:val="0"/>
              <w:marBottom w:val="0"/>
              <w:divBdr>
                <w:top w:val="none" w:sz="0" w:space="0" w:color="auto"/>
                <w:left w:val="none" w:sz="0" w:space="0" w:color="auto"/>
                <w:bottom w:val="none" w:sz="0" w:space="0" w:color="auto"/>
                <w:right w:val="none" w:sz="0" w:space="0" w:color="auto"/>
              </w:divBdr>
              <w:divsChild>
                <w:div w:id="6954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51369">
      <w:bodyDiv w:val="1"/>
      <w:marLeft w:val="0"/>
      <w:marRight w:val="0"/>
      <w:marTop w:val="0"/>
      <w:marBottom w:val="0"/>
      <w:divBdr>
        <w:top w:val="none" w:sz="0" w:space="0" w:color="auto"/>
        <w:left w:val="none" w:sz="0" w:space="0" w:color="auto"/>
        <w:bottom w:val="none" w:sz="0" w:space="0" w:color="auto"/>
        <w:right w:val="none" w:sz="0" w:space="0" w:color="auto"/>
      </w:divBdr>
      <w:divsChild>
        <w:div w:id="213352084">
          <w:marLeft w:val="0"/>
          <w:marRight w:val="0"/>
          <w:marTop w:val="0"/>
          <w:marBottom w:val="0"/>
          <w:divBdr>
            <w:top w:val="none" w:sz="0" w:space="0" w:color="auto"/>
            <w:left w:val="none" w:sz="0" w:space="0" w:color="auto"/>
            <w:bottom w:val="none" w:sz="0" w:space="0" w:color="auto"/>
            <w:right w:val="none" w:sz="0" w:space="0" w:color="auto"/>
          </w:divBdr>
          <w:divsChild>
            <w:div w:id="2059277721">
              <w:marLeft w:val="0"/>
              <w:marRight w:val="0"/>
              <w:marTop w:val="0"/>
              <w:marBottom w:val="0"/>
              <w:divBdr>
                <w:top w:val="none" w:sz="0" w:space="0" w:color="auto"/>
                <w:left w:val="none" w:sz="0" w:space="0" w:color="auto"/>
                <w:bottom w:val="none" w:sz="0" w:space="0" w:color="auto"/>
                <w:right w:val="none" w:sz="0" w:space="0" w:color="auto"/>
              </w:divBdr>
              <w:divsChild>
                <w:div w:id="11992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8394">
      <w:bodyDiv w:val="1"/>
      <w:marLeft w:val="0"/>
      <w:marRight w:val="0"/>
      <w:marTop w:val="0"/>
      <w:marBottom w:val="0"/>
      <w:divBdr>
        <w:top w:val="none" w:sz="0" w:space="0" w:color="auto"/>
        <w:left w:val="none" w:sz="0" w:space="0" w:color="auto"/>
        <w:bottom w:val="none" w:sz="0" w:space="0" w:color="auto"/>
        <w:right w:val="none" w:sz="0" w:space="0" w:color="auto"/>
      </w:divBdr>
      <w:divsChild>
        <w:div w:id="498544588">
          <w:marLeft w:val="0"/>
          <w:marRight w:val="0"/>
          <w:marTop w:val="0"/>
          <w:marBottom w:val="0"/>
          <w:divBdr>
            <w:top w:val="none" w:sz="0" w:space="0" w:color="auto"/>
            <w:left w:val="none" w:sz="0" w:space="0" w:color="auto"/>
            <w:bottom w:val="none" w:sz="0" w:space="0" w:color="auto"/>
            <w:right w:val="none" w:sz="0" w:space="0" w:color="auto"/>
          </w:divBdr>
          <w:divsChild>
            <w:div w:id="459958951">
              <w:marLeft w:val="0"/>
              <w:marRight w:val="0"/>
              <w:marTop w:val="0"/>
              <w:marBottom w:val="0"/>
              <w:divBdr>
                <w:top w:val="none" w:sz="0" w:space="0" w:color="auto"/>
                <w:left w:val="none" w:sz="0" w:space="0" w:color="auto"/>
                <w:bottom w:val="none" w:sz="0" w:space="0" w:color="auto"/>
                <w:right w:val="none" w:sz="0" w:space="0" w:color="auto"/>
              </w:divBdr>
              <w:divsChild>
                <w:div w:id="9733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7229">
      <w:bodyDiv w:val="1"/>
      <w:marLeft w:val="0"/>
      <w:marRight w:val="0"/>
      <w:marTop w:val="0"/>
      <w:marBottom w:val="0"/>
      <w:divBdr>
        <w:top w:val="none" w:sz="0" w:space="0" w:color="auto"/>
        <w:left w:val="none" w:sz="0" w:space="0" w:color="auto"/>
        <w:bottom w:val="none" w:sz="0" w:space="0" w:color="auto"/>
        <w:right w:val="none" w:sz="0" w:space="0" w:color="auto"/>
      </w:divBdr>
    </w:div>
    <w:div w:id="1311448351">
      <w:bodyDiv w:val="1"/>
      <w:marLeft w:val="0"/>
      <w:marRight w:val="0"/>
      <w:marTop w:val="0"/>
      <w:marBottom w:val="0"/>
      <w:divBdr>
        <w:top w:val="none" w:sz="0" w:space="0" w:color="auto"/>
        <w:left w:val="none" w:sz="0" w:space="0" w:color="auto"/>
        <w:bottom w:val="none" w:sz="0" w:space="0" w:color="auto"/>
        <w:right w:val="none" w:sz="0" w:space="0" w:color="auto"/>
      </w:divBdr>
      <w:divsChild>
        <w:div w:id="1805613804">
          <w:marLeft w:val="0"/>
          <w:marRight w:val="0"/>
          <w:marTop w:val="0"/>
          <w:marBottom w:val="0"/>
          <w:divBdr>
            <w:top w:val="none" w:sz="0" w:space="0" w:color="auto"/>
            <w:left w:val="none" w:sz="0" w:space="0" w:color="auto"/>
            <w:bottom w:val="none" w:sz="0" w:space="0" w:color="auto"/>
            <w:right w:val="none" w:sz="0" w:space="0" w:color="auto"/>
          </w:divBdr>
          <w:divsChild>
            <w:div w:id="1830320447">
              <w:marLeft w:val="0"/>
              <w:marRight w:val="0"/>
              <w:marTop w:val="0"/>
              <w:marBottom w:val="0"/>
              <w:divBdr>
                <w:top w:val="none" w:sz="0" w:space="0" w:color="auto"/>
                <w:left w:val="none" w:sz="0" w:space="0" w:color="auto"/>
                <w:bottom w:val="none" w:sz="0" w:space="0" w:color="auto"/>
                <w:right w:val="none" w:sz="0" w:space="0" w:color="auto"/>
              </w:divBdr>
              <w:divsChild>
                <w:div w:id="1388190261">
                  <w:marLeft w:val="0"/>
                  <w:marRight w:val="0"/>
                  <w:marTop w:val="0"/>
                  <w:marBottom w:val="0"/>
                  <w:divBdr>
                    <w:top w:val="none" w:sz="0" w:space="0" w:color="auto"/>
                    <w:left w:val="none" w:sz="0" w:space="0" w:color="auto"/>
                    <w:bottom w:val="none" w:sz="0" w:space="0" w:color="auto"/>
                    <w:right w:val="none" w:sz="0" w:space="0" w:color="auto"/>
                  </w:divBdr>
                  <w:divsChild>
                    <w:div w:id="172187724">
                      <w:marLeft w:val="0"/>
                      <w:marRight w:val="0"/>
                      <w:marTop w:val="0"/>
                      <w:marBottom w:val="0"/>
                      <w:divBdr>
                        <w:top w:val="none" w:sz="0" w:space="0" w:color="auto"/>
                        <w:left w:val="none" w:sz="0" w:space="0" w:color="auto"/>
                        <w:bottom w:val="none" w:sz="0" w:space="0" w:color="auto"/>
                        <w:right w:val="none" w:sz="0" w:space="0" w:color="auto"/>
                      </w:divBdr>
                      <w:divsChild>
                        <w:div w:id="244457586">
                          <w:marLeft w:val="0"/>
                          <w:marRight w:val="0"/>
                          <w:marTop w:val="0"/>
                          <w:marBottom w:val="0"/>
                          <w:divBdr>
                            <w:top w:val="none" w:sz="0" w:space="0" w:color="auto"/>
                            <w:left w:val="none" w:sz="0" w:space="0" w:color="auto"/>
                            <w:bottom w:val="none" w:sz="0" w:space="0" w:color="auto"/>
                            <w:right w:val="none" w:sz="0" w:space="0" w:color="auto"/>
                          </w:divBdr>
                          <w:divsChild>
                            <w:div w:id="1918590437">
                              <w:marLeft w:val="0"/>
                              <w:marRight w:val="0"/>
                              <w:marTop w:val="0"/>
                              <w:marBottom w:val="0"/>
                              <w:divBdr>
                                <w:top w:val="none" w:sz="0" w:space="0" w:color="auto"/>
                                <w:left w:val="none" w:sz="0" w:space="0" w:color="auto"/>
                                <w:bottom w:val="none" w:sz="0" w:space="0" w:color="auto"/>
                                <w:right w:val="none" w:sz="0" w:space="0" w:color="auto"/>
                              </w:divBdr>
                              <w:divsChild>
                                <w:div w:id="1532376030">
                                  <w:marLeft w:val="0"/>
                                  <w:marRight w:val="0"/>
                                  <w:marTop w:val="0"/>
                                  <w:marBottom w:val="0"/>
                                  <w:divBdr>
                                    <w:top w:val="none" w:sz="0" w:space="0" w:color="auto"/>
                                    <w:left w:val="none" w:sz="0" w:space="0" w:color="auto"/>
                                    <w:bottom w:val="none" w:sz="0" w:space="0" w:color="auto"/>
                                    <w:right w:val="none" w:sz="0" w:space="0" w:color="auto"/>
                                  </w:divBdr>
                                  <w:divsChild>
                                    <w:div w:id="1383990307">
                                      <w:marLeft w:val="0"/>
                                      <w:marRight w:val="0"/>
                                      <w:marTop w:val="0"/>
                                      <w:marBottom w:val="0"/>
                                      <w:divBdr>
                                        <w:top w:val="none" w:sz="0" w:space="0" w:color="auto"/>
                                        <w:left w:val="none" w:sz="0" w:space="0" w:color="auto"/>
                                        <w:bottom w:val="none" w:sz="0" w:space="0" w:color="auto"/>
                                        <w:right w:val="none" w:sz="0" w:space="0" w:color="auto"/>
                                      </w:divBdr>
                                      <w:divsChild>
                                        <w:div w:id="1873686340">
                                          <w:marLeft w:val="0"/>
                                          <w:marRight w:val="0"/>
                                          <w:marTop w:val="0"/>
                                          <w:marBottom w:val="0"/>
                                          <w:divBdr>
                                            <w:top w:val="none" w:sz="0" w:space="0" w:color="auto"/>
                                            <w:left w:val="none" w:sz="0" w:space="0" w:color="auto"/>
                                            <w:bottom w:val="none" w:sz="0" w:space="0" w:color="auto"/>
                                            <w:right w:val="none" w:sz="0" w:space="0" w:color="auto"/>
                                          </w:divBdr>
                                          <w:divsChild>
                                            <w:div w:id="966620884">
                                              <w:marLeft w:val="0"/>
                                              <w:marRight w:val="0"/>
                                              <w:marTop w:val="0"/>
                                              <w:marBottom w:val="0"/>
                                              <w:divBdr>
                                                <w:top w:val="none" w:sz="0" w:space="0" w:color="auto"/>
                                                <w:left w:val="none" w:sz="0" w:space="0" w:color="auto"/>
                                                <w:bottom w:val="none" w:sz="0" w:space="0" w:color="auto"/>
                                                <w:right w:val="none" w:sz="0" w:space="0" w:color="auto"/>
                                              </w:divBdr>
                                              <w:divsChild>
                                                <w:div w:id="272516999">
                                                  <w:marLeft w:val="0"/>
                                                  <w:marRight w:val="0"/>
                                                  <w:marTop w:val="0"/>
                                                  <w:marBottom w:val="0"/>
                                                  <w:divBdr>
                                                    <w:top w:val="none" w:sz="0" w:space="0" w:color="auto"/>
                                                    <w:left w:val="none" w:sz="0" w:space="0" w:color="auto"/>
                                                    <w:bottom w:val="none" w:sz="0" w:space="0" w:color="auto"/>
                                                    <w:right w:val="none" w:sz="0" w:space="0" w:color="auto"/>
                                                  </w:divBdr>
                                                  <w:divsChild>
                                                    <w:div w:id="768310269">
                                                      <w:marLeft w:val="0"/>
                                                      <w:marRight w:val="0"/>
                                                      <w:marTop w:val="0"/>
                                                      <w:marBottom w:val="0"/>
                                                      <w:divBdr>
                                                        <w:top w:val="none" w:sz="0" w:space="0" w:color="auto"/>
                                                        <w:left w:val="none" w:sz="0" w:space="0" w:color="auto"/>
                                                        <w:bottom w:val="none" w:sz="0" w:space="0" w:color="auto"/>
                                                        <w:right w:val="none" w:sz="0" w:space="0" w:color="auto"/>
                                                      </w:divBdr>
                                                      <w:divsChild>
                                                        <w:div w:id="282737250">
                                                          <w:marLeft w:val="0"/>
                                                          <w:marRight w:val="0"/>
                                                          <w:marTop w:val="0"/>
                                                          <w:marBottom w:val="0"/>
                                                          <w:divBdr>
                                                            <w:top w:val="none" w:sz="0" w:space="0" w:color="auto"/>
                                                            <w:left w:val="none" w:sz="0" w:space="0" w:color="auto"/>
                                                            <w:bottom w:val="none" w:sz="0" w:space="0" w:color="auto"/>
                                                            <w:right w:val="none" w:sz="0" w:space="0" w:color="auto"/>
                                                          </w:divBdr>
                                                          <w:divsChild>
                                                            <w:div w:id="295113818">
                                                              <w:marLeft w:val="0"/>
                                                              <w:marRight w:val="0"/>
                                                              <w:marTop w:val="0"/>
                                                              <w:marBottom w:val="0"/>
                                                              <w:divBdr>
                                                                <w:top w:val="none" w:sz="0" w:space="0" w:color="auto"/>
                                                                <w:left w:val="none" w:sz="0" w:space="0" w:color="auto"/>
                                                                <w:bottom w:val="none" w:sz="0" w:space="0" w:color="auto"/>
                                                                <w:right w:val="none" w:sz="0" w:space="0" w:color="auto"/>
                                                              </w:divBdr>
                                                              <w:divsChild>
                                                                <w:div w:id="1047724234">
                                                                  <w:marLeft w:val="0"/>
                                                                  <w:marRight w:val="0"/>
                                                                  <w:marTop w:val="0"/>
                                                                  <w:marBottom w:val="0"/>
                                                                  <w:divBdr>
                                                                    <w:top w:val="none" w:sz="0" w:space="0" w:color="auto"/>
                                                                    <w:left w:val="none" w:sz="0" w:space="0" w:color="auto"/>
                                                                    <w:bottom w:val="none" w:sz="0" w:space="0" w:color="auto"/>
                                                                    <w:right w:val="none" w:sz="0" w:space="0" w:color="auto"/>
                                                                  </w:divBdr>
                                                                  <w:divsChild>
                                                                    <w:div w:id="1931429218">
                                                                      <w:marLeft w:val="0"/>
                                                                      <w:marRight w:val="0"/>
                                                                      <w:marTop w:val="0"/>
                                                                      <w:marBottom w:val="0"/>
                                                                      <w:divBdr>
                                                                        <w:top w:val="none" w:sz="0" w:space="0" w:color="auto"/>
                                                                        <w:left w:val="none" w:sz="0" w:space="0" w:color="auto"/>
                                                                        <w:bottom w:val="none" w:sz="0" w:space="0" w:color="auto"/>
                                                                        <w:right w:val="none" w:sz="0" w:space="0" w:color="auto"/>
                                                                      </w:divBdr>
                                                                      <w:divsChild>
                                                                        <w:div w:id="1390374996">
                                                                          <w:marLeft w:val="0"/>
                                                                          <w:marRight w:val="0"/>
                                                                          <w:marTop w:val="0"/>
                                                                          <w:marBottom w:val="0"/>
                                                                          <w:divBdr>
                                                                            <w:top w:val="none" w:sz="0" w:space="0" w:color="auto"/>
                                                                            <w:left w:val="none" w:sz="0" w:space="0" w:color="auto"/>
                                                                            <w:bottom w:val="none" w:sz="0" w:space="0" w:color="auto"/>
                                                                            <w:right w:val="none" w:sz="0" w:space="0" w:color="auto"/>
                                                                          </w:divBdr>
                                                                          <w:divsChild>
                                                                            <w:div w:id="146628557">
                                                                              <w:marLeft w:val="0"/>
                                                                              <w:marRight w:val="0"/>
                                                                              <w:marTop w:val="0"/>
                                                                              <w:marBottom w:val="0"/>
                                                                              <w:divBdr>
                                                                                <w:top w:val="none" w:sz="0" w:space="0" w:color="auto"/>
                                                                                <w:left w:val="none" w:sz="0" w:space="0" w:color="auto"/>
                                                                                <w:bottom w:val="none" w:sz="0" w:space="0" w:color="auto"/>
                                                                                <w:right w:val="none" w:sz="0" w:space="0" w:color="auto"/>
                                                                              </w:divBdr>
                                                                              <w:divsChild>
                                                                                <w:div w:id="995842976">
                                                                                  <w:marLeft w:val="0"/>
                                                                                  <w:marRight w:val="0"/>
                                                                                  <w:marTop w:val="0"/>
                                                                                  <w:marBottom w:val="0"/>
                                                                                  <w:divBdr>
                                                                                    <w:top w:val="none" w:sz="0" w:space="0" w:color="auto"/>
                                                                                    <w:left w:val="none" w:sz="0" w:space="0" w:color="auto"/>
                                                                                    <w:bottom w:val="none" w:sz="0" w:space="0" w:color="auto"/>
                                                                                    <w:right w:val="none" w:sz="0" w:space="0" w:color="auto"/>
                                                                                  </w:divBdr>
                                                                                  <w:divsChild>
                                                                                    <w:div w:id="9332565">
                                                                                      <w:marLeft w:val="0"/>
                                                                                      <w:marRight w:val="0"/>
                                                                                      <w:marTop w:val="0"/>
                                                                                      <w:marBottom w:val="0"/>
                                                                                      <w:divBdr>
                                                                                        <w:top w:val="none" w:sz="0" w:space="0" w:color="auto"/>
                                                                                        <w:left w:val="none" w:sz="0" w:space="0" w:color="auto"/>
                                                                                        <w:bottom w:val="none" w:sz="0" w:space="0" w:color="auto"/>
                                                                                        <w:right w:val="none" w:sz="0" w:space="0" w:color="auto"/>
                                                                                      </w:divBdr>
                                                                                      <w:divsChild>
                                                                                        <w:div w:id="911037389">
                                                                                          <w:marLeft w:val="0"/>
                                                                                          <w:marRight w:val="0"/>
                                                                                          <w:marTop w:val="0"/>
                                                                                          <w:marBottom w:val="0"/>
                                                                                          <w:divBdr>
                                                                                            <w:top w:val="none" w:sz="0" w:space="0" w:color="auto"/>
                                                                                            <w:left w:val="none" w:sz="0" w:space="0" w:color="auto"/>
                                                                                            <w:bottom w:val="none" w:sz="0" w:space="0" w:color="auto"/>
                                                                                            <w:right w:val="none" w:sz="0" w:space="0" w:color="auto"/>
                                                                                          </w:divBdr>
                                                                                          <w:divsChild>
                                                                                            <w:div w:id="666708575">
                                                                                              <w:marLeft w:val="0"/>
                                                                                              <w:marRight w:val="0"/>
                                                                                              <w:marTop w:val="0"/>
                                                                                              <w:marBottom w:val="0"/>
                                                                                              <w:divBdr>
                                                                                                <w:top w:val="none" w:sz="0" w:space="0" w:color="auto"/>
                                                                                                <w:left w:val="none" w:sz="0" w:space="0" w:color="auto"/>
                                                                                                <w:bottom w:val="none" w:sz="0" w:space="0" w:color="auto"/>
                                                                                                <w:right w:val="none" w:sz="0" w:space="0" w:color="auto"/>
                                                                                              </w:divBdr>
                                                                                              <w:divsChild>
                                                                                                <w:div w:id="797377355">
                                                                                                  <w:marLeft w:val="0"/>
                                                                                                  <w:marRight w:val="0"/>
                                                                                                  <w:marTop w:val="0"/>
                                                                                                  <w:marBottom w:val="0"/>
                                                                                                  <w:divBdr>
                                                                                                    <w:top w:val="none" w:sz="0" w:space="0" w:color="auto"/>
                                                                                                    <w:left w:val="none" w:sz="0" w:space="0" w:color="auto"/>
                                                                                                    <w:bottom w:val="none" w:sz="0" w:space="0" w:color="auto"/>
                                                                                                    <w:right w:val="none" w:sz="0" w:space="0" w:color="auto"/>
                                                                                                  </w:divBdr>
                                                                                                  <w:divsChild>
                                                                                                    <w:div w:id="1314868765">
                                                                                                      <w:marLeft w:val="0"/>
                                                                                                      <w:marRight w:val="0"/>
                                                                                                      <w:marTop w:val="0"/>
                                                                                                      <w:marBottom w:val="0"/>
                                                                                                      <w:divBdr>
                                                                                                        <w:top w:val="none" w:sz="0" w:space="0" w:color="auto"/>
                                                                                                        <w:left w:val="none" w:sz="0" w:space="0" w:color="auto"/>
                                                                                                        <w:bottom w:val="none" w:sz="0" w:space="0" w:color="auto"/>
                                                                                                        <w:right w:val="none" w:sz="0" w:space="0" w:color="auto"/>
                                                                                                      </w:divBdr>
                                                                                                      <w:divsChild>
                                                                                                        <w:div w:id="2137335994">
                                                                                                          <w:marLeft w:val="0"/>
                                                                                                          <w:marRight w:val="0"/>
                                                                                                          <w:marTop w:val="0"/>
                                                                                                          <w:marBottom w:val="0"/>
                                                                                                          <w:divBdr>
                                                                                                            <w:top w:val="none" w:sz="0" w:space="0" w:color="auto"/>
                                                                                                            <w:left w:val="none" w:sz="0" w:space="0" w:color="auto"/>
                                                                                                            <w:bottom w:val="none" w:sz="0" w:space="0" w:color="auto"/>
                                                                                                            <w:right w:val="none" w:sz="0" w:space="0" w:color="auto"/>
                                                                                                          </w:divBdr>
                                                                                                          <w:divsChild>
                                                                                                            <w:div w:id="1721006310">
                                                                                                              <w:marLeft w:val="0"/>
                                                                                                              <w:marRight w:val="0"/>
                                                                                                              <w:marTop w:val="0"/>
                                                                                                              <w:marBottom w:val="0"/>
                                                                                                              <w:divBdr>
                                                                                                                <w:top w:val="none" w:sz="0" w:space="0" w:color="auto"/>
                                                                                                                <w:left w:val="none" w:sz="0" w:space="0" w:color="auto"/>
                                                                                                                <w:bottom w:val="none" w:sz="0" w:space="0" w:color="auto"/>
                                                                                                                <w:right w:val="none" w:sz="0" w:space="0" w:color="auto"/>
                                                                                                              </w:divBdr>
                                                                                                              <w:divsChild>
                                                                                                                <w:div w:id="1716660300">
                                                                                                                  <w:marLeft w:val="0"/>
                                                                                                                  <w:marRight w:val="0"/>
                                                                                                                  <w:marTop w:val="0"/>
                                                                                                                  <w:marBottom w:val="0"/>
                                                                                                                  <w:divBdr>
                                                                                                                    <w:top w:val="none" w:sz="0" w:space="0" w:color="auto"/>
                                                                                                                    <w:left w:val="none" w:sz="0" w:space="0" w:color="auto"/>
                                                                                                                    <w:bottom w:val="none" w:sz="0" w:space="0" w:color="auto"/>
                                                                                                                    <w:right w:val="none" w:sz="0" w:space="0" w:color="auto"/>
                                                                                                                  </w:divBdr>
                                                                                                                  <w:divsChild>
                                                                                                                    <w:div w:id="28997978">
                                                                                                                      <w:marLeft w:val="0"/>
                                                                                                                      <w:marRight w:val="0"/>
                                                                                                                      <w:marTop w:val="0"/>
                                                                                                                      <w:marBottom w:val="0"/>
                                                                                                                      <w:divBdr>
                                                                                                                        <w:top w:val="none" w:sz="0" w:space="0" w:color="auto"/>
                                                                                                                        <w:left w:val="none" w:sz="0" w:space="0" w:color="auto"/>
                                                                                                                        <w:bottom w:val="none" w:sz="0" w:space="0" w:color="auto"/>
                                                                                                                        <w:right w:val="none" w:sz="0" w:space="0" w:color="auto"/>
                                                                                                                      </w:divBdr>
                                                                                                                      <w:divsChild>
                                                                                                                        <w:div w:id="1223365223">
                                                                                                                          <w:marLeft w:val="0"/>
                                                                                                                          <w:marRight w:val="0"/>
                                                                                                                          <w:marTop w:val="0"/>
                                                                                                                          <w:marBottom w:val="0"/>
                                                                                                                          <w:divBdr>
                                                                                                                            <w:top w:val="none" w:sz="0" w:space="0" w:color="auto"/>
                                                                                                                            <w:left w:val="none" w:sz="0" w:space="0" w:color="auto"/>
                                                                                                                            <w:bottom w:val="none" w:sz="0" w:space="0" w:color="auto"/>
                                                                                                                            <w:right w:val="none" w:sz="0" w:space="0" w:color="auto"/>
                                                                                                                          </w:divBdr>
                                                                                                                          <w:divsChild>
                                                                                                                            <w:div w:id="514610454">
                                                                                                                              <w:marLeft w:val="0"/>
                                                                                                                              <w:marRight w:val="0"/>
                                                                                                                              <w:marTop w:val="0"/>
                                                                                                                              <w:marBottom w:val="0"/>
                                                                                                                              <w:divBdr>
                                                                                                                                <w:top w:val="none" w:sz="0" w:space="0" w:color="auto"/>
                                                                                                                                <w:left w:val="none" w:sz="0" w:space="0" w:color="auto"/>
                                                                                                                                <w:bottom w:val="none" w:sz="0" w:space="0" w:color="auto"/>
                                                                                                                                <w:right w:val="none" w:sz="0" w:space="0" w:color="auto"/>
                                                                                                                              </w:divBdr>
                                                                                                                              <w:divsChild>
                                                                                                                                <w:div w:id="653069345">
                                                                                                                                  <w:marLeft w:val="0"/>
                                                                                                                                  <w:marRight w:val="0"/>
                                                                                                                                  <w:marTop w:val="0"/>
                                                                                                                                  <w:marBottom w:val="0"/>
                                                                                                                                  <w:divBdr>
                                                                                                                                    <w:top w:val="none" w:sz="0" w:space="0" w:color="auto"/>
                                                                                                                                    <w:left w:val="none" w:sz="0" w:space="0" w:color="auto"/>
                                                                                                                                    <w:bottom w:val="none" w:sz="0" w:space="0" w:color="auto"/>
                                                                                                                                    <w:right w:val="none" w:sz="0" w:space="0" w:color="auto"/>
                                                                                                                                  </w:divBdr>
                                                                                                                                  <w:divsChild>
                                                                                                                                    <w:div w:id="276451223">
                                                                                                                                      <w:marLeft w:val="0"/>
                                                                                                                                      <w:marRight w:val="0"/>
                                                                                                                                      <w:marTop w:val="0"/>
                                                                                                                                      <w:marBottom w:val="0"/>
                                                                                                                                      <w:divBdr>
                                                                                                                                        <w:top w:val="none" w:sz="0" w:space="0" w:color="auto"/>
                                                                                                                                        <w:left w:val="none" w:sz="0" w:space="0" w:color="auto"/>
                                                                                                                                        <w:bottom w:val="none" w:sz="0" w:space="0" w:color="auto"/>
                                                                                                                                        <w:right w:val="none" w:sz="0" w:space="0" w:color="auto"/>
                                                                                                                                      </w:divBdr>
                                                                                                                                      <w:divsChild>
                                                                                                                                        <w:div w:id="908075368">
                                                                                                                                          <w:marLeft w:val="0"/>
                                                                                                                                          <w:marRight w:val="0"/>
                                                                                                                                          <w:marTop w:val="0"/>
                                                                                                                                          <w:marBottom w:val="0"/>
                                                                                                                                          <w:divBdr>
                                                                                                                                            <w:top w:val="none" w:sz="0" w:space="0" w:color="auto"/>
                                                                                                                                            <w:left w:val="none" w:sz="0" w:space="0" w:color="auto"/>
                                                                                                                                            <w:bottom w:val="none" w:sz="0" w:space="0" w:color="auto"/>
                                                                                                                                            <w:right w:val="none" w:sz="0" w:space="0" w:color="auto"/>
                                                                                                                                          </w:divBdr>
                                                                                                                                          <w:divsChild>
                                                                                                                                            <w:div w:id="1748266368">
                                                                                                                                              <w:marLeft w:val="0"/>
                                                                                                                                              <w:marRight w:val="0"/>
                                                                                                                                              <w:marTop w:val="0"/>
                                                                                                                                              <w:marBottom w:val="0"/>
                                                                                                                                              <w:divBdr>
                                                                                                                                                <w:top w:val="none" w:sz="0" w:space="0" w:color="auto"/>
                                                                                                                                                <w:left w:val="none" w:sz="0" w:space="0" w:color="auto"/>
                                                                                                                                                <w:bottom w:val="none" w:sz="0" w:space="0" w:color="auto"/>
                                                                                                                                                <w:right w:val="none" w:sz="0" w:space="0" w:color="auto"/>
                                                                                                                                              </w:divBdr>
                                                                                                                                              <w:divsChild>
                                                                                                                                                <w:div w:id="1131705776">
                                                                                                                                                  <w:marLeft w:val="0"/>
                                                                                                                                                  <w:marRight w:val="0"/>
                                                                                                                                                  <w:marTop w:val="0"/>
                                                                                                                                                  <w:marBottom w:val="0"/>
                                                                                                                                                  <w:divBdr>
                                                                                                                                                    <w:top w:val="none" w:sz="0" w:space="0" w:color="auto"/>
                                                                                                                                                    <w:left w:val="none" w:sz="0" w:space="0" w:color="auto"/>
                                                                                                                                                    <w:bottom w:val="none" w:sz="0" w:space="0" w:color="auto"/>
                                                                                                                                                    <w:right w:val="none" w:sz="0" w:space="0" w:color="auto"/>
                                                                                                                                                  </w:divBdr>
                                                                                                                                                  <w:divsChild>
                                                                                                                                                    <w:div w:id="1508786298">
                                                                                                                                                      <w:marLeft w:val="0"/>
                                                                                                                                                      <w:marRight w:val="0"/>
                                                                                                                                                      <w:marTop w:val="0"/>
                                                                                                                                                      <w:marBottom w:val="0"/>
                                                                                                                                                      <w:divBdr>
                                                                                                                                                        <w:top w:val="none" w:sz="0" w:space="0" w:color="auto"/>
                                                                                                                                                        <w:left w:val="none" w:sz="0" w:space="0" w:color="auto"/>
                                                                                                                                                        <w:bottom w:val="none" w:sz="0" w:space="0" w:color="auto"/>
                                                                                                                                                        <w:right w:val="none" w:sz="0" w:space="0" w:color="auto"/>
                                                                                                                                                      </w:divBdr>
                                                                                                                                                      <w:divsChild>
                                                                                                                                                        <w:div w:id="17627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1048758">
      <w:bodyDiv w:val="1"/>
      <w:marLeft w:val="0"/>
      <w:marRight w:val="0"/>
      <w:marTop w:val="0"/>
      <w:marBottom w:val="0"/>
      <w:divBdr>
        <w:top w:val="none" w:sz="0" w:space="0" w:color="auto"/>
        <w:left w:val="none" w:sz="0" w:space="0" w:color="auto"/>
        <w:bottom w:val="none" w:sz="0" w:space="0" w:color="auto"/>
        <w:right w:val="none" w:sz="0" w:space="0" w:color="auto"/>
      </w:divBdr>
    </w:div>
    <w:div w:id="1547450914">
      <w:bodyDiv w:val="1"/>
      <w:marLeft w:val="0"/>
      <w:marRight w:val="0"/>
      <w:marTop w:val="0"/>
      <w:marBottom w:val="0"/>
      <w:divBdr>
        <w:top w:val="none" w:sz="0" w:space="0" w:color="auto"/>
        <w:left w:val="none" w:sz="0" w:space="0" w:color="auto"/>
        <w:bottom w:val="none" w:sz="0" w:space="0" w:color="auto"/>
        <w:right w:val="none" w:sz="0" w:space="0" w:color="auto"/>
      </w:divBdr>
    </w:div>
    <w:div w:id="1617177929">
      <w:bodyDiv w:val="1"/>
      <w:marLeft w:val="0"/>
      <w:marRight w:val="0"/>
      <w:marTop w:val="0"/>
      <w:marBottom w:val="0"/>
      <w:divBdr>
        <w:top w:val="none" w:sz="0" w:space="0" w:color="auto"/>
        <w:left w:val="none" w:sz="0" w:space="0" w:color="auto"/>
        <w:bottom w:val="none" w:sz="0" w:space="0" w:color="auto"/>
        <w:right w:val="none" w:sz="0" w:space="0" w:color="auto"/>
      </w:divBdr>
    </w:div>
    <w:div w:id="1670979162">
      <w:bodyDiv w:val="1"/>
      <w:marLeft w:val="0"/>
      <w:marRight w:val="0"/>
      <w:marTop w:val="0"/>
      <w:marBottom w:val="0"/>
      <w:divBdr>
        <w:top w:val="none" w:sz="0" w:space="0" w:color="auto"/>
        <w:left w:val="none" w:sz="0" w:space="0" w:color="auto"/>
        <w:bottom w:val="none" w:sz="0" w:space="0" w:color="auto"/>
        <w:right w:val="none" w:sz="0" w:space="0" w:color="auto"/>
      </w:divBdr>
    </w:div>
    <w:div w:id="2099593045">
      <w:bodyDiv w:val="1"/>
      <w:marLeft w:val="0"/>
      <w:marRight w:val="0"/>
      <w:marTop w:val="0"/>
      <w:marBottom w:val="0"/>
      <w:divBdr>
        <w:top w:val="none" w:sz="0" w:space="0" w:color="auto"/>
        <w:left w:val="none" w:sz="0" w:space="0" w:color="auto"/>
        <w:bottom w:val="none" w:sz="0" w:space="0" w:color="auto"/>
        <w:right w:val="none" w:sz="0" w:space="0" w:color="auto"/>
      </w:divBdr>
      <w:divsChild>
        <w:div w:id="1246497386">
          <w:marLeft w:val="0"/>
          <w:marRight w:val="0"/>
          <w:marTop w:val="0"/>
          <w:marBottom w:val="0"/>
          <w:divBdr>
            <w:top w:val="none" w:sz="0" w:space="0" w:color="auto"/>
            <w:left w:val="none" w:sz="0" w:space="0" w:color="auto"/>
            <w:bottom w:val="none" w:sz="0" w:space="0" w:color="auto"/>
            <w:right w:val="none" w:sz="0" w:space="0" w:color="auto"/>
          </w:divBdr>
          <w:divsChild>
            <w:div w:id="11955119">
              <w:marLeft w:val="0"/>
              <w:marRight w:val="0"/>
              <w:marTop w:val="0"/>
              <w:marBottom w:val="0"/>
              <w:divBdr>
                <w:top w:val="none" w:sz="0" w:space="0" w:color="auto"/>
                <w:left w:val="none" w:sz="0" w:space="0" w:color="auto"/>
                <w:bottom w:val="none" w:sz="0" w:space="0" w:color="auto"/>
                <w:right w:val="none" w:sz="0" w:space="0" w:color="auto"/>
              </w:divBdr>
              <w:divsChild>
                <w:div w:id="14404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A3B5-5115-2248-B7FE-D40C23F9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7551</TotalTime>
  <Pages>45</Pages>
  <Words>11874</Words>
  <Characters>67686</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518</cp:revision>
  <cp:lastPrinted>2014-03-02T16:51:00Z</cp:lastPrinted>
  <dcterms:created xsi:type="dcterms:W3CDTF">2014-02-25T13:27:00Z</dcterms:created>
  <dcterms:modified xsi:type="dcterms:W3CDTF">2019-10-15T17:56:00Z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y fmtid="{D5CDD505-2E9C-101B-9397-08002B2CF9AE}" pid="25" name="ZOTERO_PREF_1">
    <vt:lpwstr>&lt;data data-version="3" zotero-version="5.0.75"&gt;&lt;session id="00jqizZ5"/&gt;&lt;style id="http://www.zotero.org/styles/biological-invasions" hasBibliography="1" bibliographyStyleHasBeenSet="1"/&gt;&lt;prefs&gt;&lt;pref name="fieldType" value="Field"/&gt;&lt;pref name="delayCitatio</vt:lpwstr>
  </property>
  <property fmtid="{D5CDD505-2E9C-101B-9397-08002B2CF9AE}" pid="26" name="ZOTERO_PREF_2">
    <vt:lpwstr>nUpdates" value="true"/&gt;&lt;/prefs&gt;&lt;/data&gt;</vt:lpwstr>
  </property>
</Properties>
</file>